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9C60B" w14:textId="1C97BDC1" w:rsidR="00561DF2" w:rsidRPr="00561DF2" w:rsidRDefault="00561DF2" w:rsidP="00561DF2">
      <w:pPr>
        <w:spacing w:line="480" w:lineRule="auto"/>
        <w:rPr>
          <w:lang w:val="en-US"/>
        </w:rPr>
      </w:pPr>
      <w:r w:rsidRPr="00561DF2">
        <w:rPr>
          <w:lang w:val="en-US"/>
        </w:rPr>
        <w:t>Table 5. Predictive Factors of Final Visual Acuity at 6 Months in Multivariate Analysis According to Operating Delay Thresholds - Complex RRD Subgroup</w:t>
      </w:r>
    </w:p>
    <w:tbl>
      <w:tblPr>
        <w:tblStyle w:val="Tableausimple4"/>
        <w:tblW w:w="0" w:type="auto"/>
        <w:tblLook w:val="0600" w:firstRow="0" w:lastRow="0" w:firstColumn="0" w:lastColumn="0" w:noHBand="1" w:noVBand="1"/>
      </w:tblPr>
      <w:tblGrid>
        <w:gridCol w:w="1812"/>
        <w:gridCol w:w="1812"/>
        <w:gridCol w:w="1812"/>
        <w:gridCol w:w="1813"/>
        <w:gridCol w:w="1813"/>
      </w:tblGrid>
      <w:tr w:rsidR="00561DF2" w:rsidRPr="00AB4777" w14:paraId="28E18550" w14:textId="77777777" w:rsidTr="00561DF2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6A102296" w14:textId="2A4E638D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Factor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080BCACF" w14:textId="77777777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Modality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47701368" w14:textId="70923A0E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24 Hours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31A55D11" w14:textId="660DE48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72 Hours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15E7F286" w14:textId="7E4FB440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7 Days</w:t>
            </w:r>
          </w:p>
          <w:p w14:paraId="2FF01850" w14:textId="245CC46B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threshold model</w:t>
            </w:r>
          </w:p>
        </w:tc>
      </w:tr>
      <w:tr w:rsidR="00561DF2" w:rsidRPr="00AB4777" w14:paraId="272B5321" w14:textId="77777777" w:rsidTr="00561DF2">
        <w:tc>
          <w:tcPr>
            <w:tcW w:w="1812" w:type="dxa"/>
            <w:tcBorders>
              <w:top w:val="single" w:sz="4" w:space="0" w:color="auto"/>
            </w:tcBorders>
          </w:tcPr>
          <w:p w14:paraId="6EC41624" w14:textId="77777777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Surgical delay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7392593D" w14:textId="77777777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Delay &gt; 24h (Vs ≤ 24h)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5076643B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0.32 (-0.13–0.77); P = 0.16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68F01B00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—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5E48BA98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—</w:t>
            </w:r>
          </w:p>
        </w:tc>
      </w:tr>
      <w:tr w:rsidR="00561DF2" w:rsidRPr="00AB4777" w14:paraId="5A0376D1" w14:textId="77777777" w:rsidTr="00561DF2">
        <w:tc>
          <w:tcPr>
            <w:tcW w:w="1812" w:type="dxa"/>
          </w:tcPr>
          <w:p w14:paraId="4420E0C5" w14:textId="244D6E5C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</w:tcPr>
          <w:p w14:paraId="3C5BBFDB" w14:textId="387E4253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Delay &gt; 72h (Vs ≤ 72h)</w:t>
            </w:r>
          </w:p>
        </w:tc>
        <w:tc>
          <w:tcPr>
            <w:tcW w:w="1812" w:type="dxa"/>
          </w:tcPr>
          <w:p w14:paraId="26DC09AE" w14:textId="591F69F8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—</w:t>
            </w:r>
          </w:p>
        </w:tc>
        <w:tc>
          <w:tcPr>
            <w:tcW w:w="1813" w:type="dxa"/>
          </w:tcPr>
          <w:p w14:paraId="626C18DF" w14:textId="0EFBF764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0.40 (-0.05–0.85); P = 0.08</w:t>
            </w:r>
          </w:p>
        </w:tc>
        <w:tc>
          <w:tcPr>
            <w:tcW w:w="1813" w:type="dxa"/>
          </w:tcPr>
          <w:p w14:paraId="680319D9" w14:textId="36CDA6F5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—</w:t>
            </w:r>
          </w:p>
        </w:tc>
      </w:tr>
      <w:tr w:rsidR="00561DF2" w:rsidRPr="00AB4777" w14:paraId="1DE89A89" w14:textId="77777777" w:rsidTr="00561DF2">
        <w:tc>
          <w:tcPr>
            <w:tcW w:w="1812" w:type="dxa"/>
          </w:tcPr>
          <w:p w14:paraId="51F219B9" w14:textId="61DBA1D8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</w:tcPr>
          <w:p w14:paraId="4FD1BA54" w14:textId="53FAC22D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Delay &gt; 7 days (Vs ≤ 7 days)</w:t>
            </w:r>
          </w:p>
        </w:tc>
        <w:tc>
          <w:tcPr>
            <w:tcW w:w="1812" w:type="dxa"/>
          </w:tcPr>
          <w:p w14:paraId="3BE6067A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—</w:t>
            </w:r>
          </w:p>
        </w:tc>
        <w:tc>
          <w:tcPr>
            <w:tcW w:w="1813" w:type="dxa"/>
          </w:tcPr>
          <w:p w14:paraId="0293479F" w14:textId="2071E089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—</w:t>
            </w:r>
          </w:p>
        </w:tc>
        <w:tc>
          <w:tcPr>
            <w:tcW w:w="1813" w:type="dxa"/>
          </w:tcPr>
          <w:p w14:paraId="672F554F" w14:textId="6FBD69CF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0.65 (0.21–1.11); P &lt; 0.01</w:t>
            </w:r>
          </w:p>
        </w:tc>
      </w:tr>
      <w:tr w:rsidR="00561DF2" w:rsidRPr="00AB4777" w14:paraId="288F79C0" w14:textId="77777777" w:rsidTr="00561DF2">
        <w:tc>
          <w:tcPr>
            <w:tcW w:w="1812" w:type="dxa"/>
          </w:tcPr>
          <w:p w14:paraId="7F7D3449" w14:textId="77777777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Macular status</w:t>
            </w:r>
          </w:p>
        </w:tc>
        <w:tc>
          <w:tcPr>
            <w:tcW w:w="1812" w:type="dxa"/>
          </w:tcPr>
          <w:p w14:paraId="014BCF68" w14:textId="77777777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Macula-OFF / Macula-ON</w:t>
            </w:r>
          </w:p>
        </w:tc>
        <w:tc>
          <w:tcPr>
            <w:tcW w:w="1812" w:type="dxa"/>
          </w:tcPr>
          <w:p w14:paraId="5460780F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0.57 (-0.15–1.30); P = 0.12</w:t>
            </w:r>
          </w:p>
        </w:tc>
        <w:tc>
          <w:tcPr>
            <w:tcW w:w="1813" w:type="dxa"/>
          </w:tcPr>
          <w:p w14:paraId="13EAC8E5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0.53 (-0.19–1.25); P = 0.15</w:t>
            </w:r>
          </w:p>
        </w:tc>
        <w:tc>
          <w:tcPr>
            <w:tcW w:w="1813" w:type="dxa"/>
          </w:tcPr>
          <w:p w14:paraId="3129B848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0.55 (-0.12–1.23); P = 0.11</w:t>
            </w:r>
          </w:p>
        </w:tc>
      </w:tr>
      <w:tr w:rsidR="00561DF2" w:rsidRPr="00AB4777" w14:paraId="69A4AF62" w14:textId="77777777" w:rsidTr="00561DF2">
        <w:tc>
          <w:tcPr>
            <w:tcW w:w="1812" w:type="dxa"/>
            <w:tcBorders>
              <w:bottom w:val="single" w:sz="4" w:space="0" w:color="auto"/>
            </w:tcBorders>
          </w:tcPr>
          <w:p w14:paraId="233E7B31" w14:textId="77777777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Lens status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F08C25F" w14:textId="77777777" w:rsidR="00561DF2" w:rsidRPr="00AB4777" w:rsidRDefault="00561DF2" w:rsidP="00AB4777">
            <w:pPr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Phakic / Pseudophakic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7E15797F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0.02 (-0.72–0.76); P = 0.95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18E2E5D0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0.00 (-0.72–0.72); P = 1.00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53972CF6" w14:textId="77777777" w:rsidR="00561DF2" w:rsidRPr="00AB4777" w:rsidRDefault="00561DF2" w:rsidP="00AB4777">
            <w:pPr>
              <w:jc w:val="center"/>
              <w:rPr>
                <w:sz w:val="20"/>
                <w:szCs w:val="20"/>
                <w:lang w:val="en-US"/>
              </w:rPr>
            </w:pPr>
            <w:r w:rsidRPr="00AB4777">
              <w:rPr>
                <w:sz w:val="20"/>
                <w:szCs w:val="20"/>
                <w:lang w:val="en-US"/>
              </w:rPr>
              <w:t>-0.02 (-0.70–0.65); P = 0.95</w:t>
            </w:r>
          </w:p>
        </w:tc>
      </w:tr>
    </w:tbl>
    <w:p w14:paraId="6FD988F7" w14:textId="77777777" w:rsidR="00561DF2" w:rsidRPr="00AB4777" w:rsidRDefault="00561DF2" w:rsidP="00AB4777">
      <w:pPr>
        <w:spacing w:line="240" w:lineRule="auto"/>
        <w:rPr>
          <w:sz w:val="20"/>
          <w:szCs w:val="20"/>
          <w:lang w:val="en-US"/>
        </w:rPr>
      </w:pPr>
      <w:r w:rsidRPr="00AB4777">
        <w:rPr>
          <w:sz w:val="20"/>
          <w:szCs w:val="20"/>
          <w:lang w:val="en-US"/>
        </w:rPr>
        <w:t xml:space="preserve">CI, confidence interval. All models compare surgery performed after the specified threshold versus before or at the threshold (Vs ≤ threshold). Data are presented as </w:t>
      </w:r>
      <w:r w:rsidRPr="00AB4777">
        <w:rPr>
          <w:sz w:val="20"/>
          <w:szCs w:val="20"/>
        </w:rPr>
        <w:t>β</w:t>
      </w:r>
      <w:r w:rsidRPr="00AB4777">
        <w:rPr>
          <w:sz w:val="20"/>
          <w:szCs w:val="20"/>
          <w:lang w:val="en-US"/>
        </w:rPr>
        <w:t xml:space="preserve"> (95% CI). Analysis performed using multiple linear regression models for each time threshold. The estimation coefficients (</w:t>
      </w:r>
      <w:r w:rsidRPr="00AB4777">
        <w:rPr>
          <w:sz w:val="20"/>
          <w:szCs w:val="20"/>
        </w:rPr>
        <w:t>β</w:t>
      </w:r>
      <w:r w:rsidRPr="00AB4777">
        <w:rPr>
          <w:sz w:val="20"/>
          <w:szCs w:val="20"/>
          <w:lang w:val="en-US"/>
        </w:rPr>
        <w:t xml:space="preserve">) represent the change in </w:t>
      </w:r>
      <w:proofErr w:type="spellStart"/>
      <w:r w:rsidRPr="00AB4777">
        <w:rPr>
          <w:sz w:val="20"/>
          <w:szCs w:val="20"/>
          <w:lang w:val="en-US"/>
        </w:rPr>
        <w:t>logMAR</w:t>
      </w:r>
      <w:proofErr w:type="spellEnd"/>
      <w:r w:rsidRPr="00AB4777">
        <w:rPr>
          <w:sz w:val="20"/>
          <w:szCs w:val="20"/>
          <w:lang w:val="en-US"/>
        </w:rPr>
        <w:t xml:space="preserve"> for each variable after adjusting for all other variables included in the respective model. A negative </w:t>
      </w:r>
      <w:r w:rsidRPr="00AB4777">
        <w:rPr>
          <w:sz w:val="20"/>
          <w:szCs w:val="20"/>
        </w:rPr>
        <w:t>β</w:t>
      </w:r>
      <w:r w:rsidRPr="00AB4777">
        <w:rPr>
          <w:sz w:val="20"/>
          <w:szCs w:val="20"/>
          <w:lang w:val="en-US"/>
        </w:rPr>
        <w:t xml:space="preserve"> coefficient indicates a visual acuity improvement (decrease in </w:t>
      </w:r>
      <w:proofErr w:type="spellStart"/>
      <w:r w:rsidRPr="00AB4777">
        <w:rPr>
          <w:sz w:val="20"/>
          <w:szCs w:val="20"/>
          <w:lang w:val="en-US"/>
        </w:rPr>
        <w:t>logMAR</w:t>
      </w:r>
      <w:proofErr w:type="spellEnd"/>
      <w:r w:rsidRPr="00AB4777">
        <w:rPr>
          <w:sz w:val="20"/>
          <w:szCs w:val="20"/>
          <w:lang w:val="en-US"/>
        </w:rPr>
        <w:t xml:space="preserve">), whereas a positive </w:t>
      </w:r>
      <w:r w:rsidRPr="00AB4777">
        <w:rPr>
          <w:sz w:val="20"/>
          <w:szCs w:val="20"/>
        </w:rPr>
        <w:t>β</w:t>
      </w:r>
      <w:r w:rsidRPr="00AB4777">
        <w:rPr>
          <w:sz w:val="20"/>
          <w:szCs w:val="20"/>
          <w:lang w:val="en-US"/>
        </w:rPr>
        <w:t xml:space="preserve"> coefficient indicates a visual acuity degradation (increase in </w:t>
      </w:r>
      <w:proofErr w:type="spellStart"/>
      <w:r w:rsidRPr="00AB4777">
        <w:rPr>
          <w:sz w:val="20"/>
          <w:szCs w:val="20"/>
          <w:lang w:val="en-US"/>
        </w:rPr>
        <w:t>logMAR</w:t>
      </w:r>
      <w:proofErr w:type="spellEnd"/>
      <w:r w:rsidRPr="00AB4777">
        <w:rPr>
          <w:sz w:val="20"/>
          <w:szCs w:val="20"/>
          <w:lang w:val="en-US"/>
        </w:rPr>
        <w:t>).</w:t>
      </w:r>
    </w:p>
    <w:p w14:paraId="2FFE1D77" w14:textId="7BEDBA47" w:rsidR="00E11D82" w:rsidRPr="00561DF2" w:rsidRDefault="00E11D82" w:rsidP="00561DF2">
      <w:pPr>
        <w:rPr>
          <w:lang w:val="en-US"/>
        </w:rPr>
      </w:pPr>
    </w:p>
    <w:sectPr w:rsidR="00E11D82" w:rsidRPr="0056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DF2"/>
    <w:rsid w:val="000F18F6"/>
    <w:rsid w:val="00561DF2"/>
    <w:rsid w:val="008131BC"/>
    <w:rsid w:val="00AB4777"/>
    <w:rsid w:val="00C17710"/>
    <w:rsid w:val="00CE438C"/>
    <w:rsid w:val="00DF702F"/>
    <w:rsid w:val="00E11D82"/>
    <w:rsid w:val="00E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23DC8"/>
  <w15:chartTrackingRefBased/>
  <w15:docId w15:val="{D9543CE9-6062-48AE-A834-24A493CBA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61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1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1D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1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1D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1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1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1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1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1D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61D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61D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61DF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61DF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61DF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61DF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61DF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61D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61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1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1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1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61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1D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61DF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1DF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1D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1DF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61DF2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61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4">
    <w:name w:val="Plain Table 4"/>
    <w:basedOn w:val="TableauNormal"/>
    <w:uiPriority w:val="44"/>
    <w:rsid w:val="00561DF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BENAHMED</dc:creator>
  <cp:keywords/>
  <dc:description/>
  <cp:lastModifiedBy>Léa Dormegny</cp:lastModifiedBy>
  <cp:revision>3</cp:revision>
  <dcterms:created xsi:type="dcterms:W3CDTF">2026-08-08T15:28:00Z</dcterms:created>
  <dcterms:modified xsi:type="dcterms:W3CDTF">2026-08-08T15:28:00Z</dcterms:modified>
</cp:coreProperties>
</file>