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DB2F" w14:textId="55F36067" w:rsidR="00C34B57" w:rsidRPr="00C34B57" w:rsidRDefault="00C34B57" w:rsidP="00C34B57">
      <w:pPr>
        <w:spacing w:line="480" w:lineRule="auto"/>
        <w:rPr>
          <w:lang w:val="en-US"/>
        </w:rPr>
      </w:pPr>
      <w:r w:rsidRPr="00C34B57">
        <w:rPr>
          <w:lang w:val="en-US"/>
        </w:rPr>
        <w:t>Supplemental Digital Content 4. Predictive Factors of Final Visual Acuity at 6 Months in Multivariate Analysis According to Operating Delay Thresholds - Macula-ON Simple RRD Subgroup</w:t>
      </w:r>
    </w:p>
    <w:tbl>
      <w:tblPr>
        <w:tblStyle w:val="Tableausimple3"/>
        <w:tblW w:w="0" w:type="auto"/>
        <w:tblLook w:val="0600" w:firstRow="0" w:lastRow="0" w:firstColumn="0" w:lastColumn="0" w:noHBand="1" w:noVBand="1"/>
      </w:tblPr>
      <w:tblGrid>
        <w:gridCol w:w="1812"/>
        <w:gridCol w:w="1812"/>
        <w:gridCol w:w="1812"/>
        <w:gridCol w:w="1813"/>
        <w:gridCol w:w="1813"/>
      </w:tblGrid>
      <w:tr w:rsidR="00C34B57" w:rsidRPr="00C34B57" w14:paraId="2F3674D5" w14:textId="77777777" w:rsidTr="00C34B57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6E3093D6" w14:textId="7D8A72B6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9A7DA7">
              <w:rPr>
                <w:lang w:val="en-US"/>
              </w:rPr>
              <w:t>Factor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58A45859" w14:textId="46360B68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9A7DA7">
              <w:rPr>
                <w:lang w:val="en-US"/>
              </w:rPr>
              <w:t>Modality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33DE45D8" w14:textId="65C05B1E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24 Hours</w:t>
            </w:r>
            <w:r>
              <w:rPr>
                <w:lang w:val="en-US"/>
              </w:rPr>
              <w:t xml:space="preserve">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712A3E71" w14:textId="517FDB0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72 Hours</w:t>
            </w:r>
            <w:r>
              <w:rPr>
                <w:lang w:val="en-US"/>
              </w:rPr>
              <w:t xml:space="preserve"> threshold model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47131A20" w14:textId="77777777" w:rsid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9A7DA7">
              <w:rPr>
                <w:lang w:val="en-US"/>
              </w:rPr>
              <w:t>7 Days</w:t>
            </w:r>
          </w:p>
          <w:p w14:paraId="7CAA601F" w14:textId="42DE1FEE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threshold model</w:t>
            </w:r>
          </w:p>
        </w:tc>
      </w:tr>
      <w:tr w:rsidR="00C34B57" w:rsidRPr="00C34B57" w14:paraId="3A17E274" w14:textId="77777777" w:rsidTr="00C34B57">
        <w:tc>
          <w:tcPr>
            <w:tcW w:w="1812" w:type="dxa"/>
            <w:tcBorders>
              <w:top w:val="single" w:sz="4" w:space="0" w:color="auto"/>
            </w:tcBorders>
          </w:tcPr>
          <w:p w14:paraId="572CD4B0" w14:textId="77777777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C34B57">
              <w:rPr>
                <w:lang w:val="en-US"/>
              </w:rPr>
              <w:t>Surgical delay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6DE83E73" w14:textId="77777777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C34B57">
              <w:rPr>
                <w:lang w:val="en-US"/>
              </w:rPr>
              <w:t>Delay &gt; 24h (Vs ≤ 24h)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1B0ABCE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0.19 (-0.21–0.59); P = 0.33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1BBB235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—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48B09A2F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—</w:t>
            </w:r>
          </w:p>
        </w:tc>
      </w:tr>
      <w:tr w:rsidR="00C34B57" w:rsidRPr="00C34B57" w14:paraId="60D2BCE2" w14:textId="77777777" w:rsidTr="00C34B57">
        <w:tc>
          <w:tcPr>
            <w:tcW w:w="1812" w:type="dxa"/>
          </w:tcPr>
          <w:p w14:paraId="41574CC4" w14:textId="505EDCCB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12" w:type="dxa"/>
          </w:tcPr>
          <w:p w14:paraId="4D28BFC3" w14:textId="6DC17DE5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C34B57">
              <w:rPr>
                <w:lang w:val="en-US"/>
              </w:rPr>
              <w:t>Delay &gt; 72h (Vs ≤ 72h)</w:t>
            </w:r>
          </w:p>
        </w:tc>
        <w:tc>
          <w:tcPr>
            <w:tcW w:w="1812" w:type="dxa"/>
          </w:tcPr>
          <w:p w14:paraId="2F517D66" w14:textId="3FD11AA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6444788F" w14:textId="55B72ADB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-0.19 (-0.67–0.29); P = 0.42</w:t>
            </w:r>
          </w:p>
        </w:tc>
        <w:tc>
          <w:tcPr>
            <w:tcW w:w="1813" w:type="dxa"/>
          </w:tcPr>
          <w:p w14:paraId="31D2033B" w14:textId="0B5E7E8A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—</w:t>
            </w:r>
          </w:p>
        </w:tc>
      </w:tr>
      <w:tr w:rsidR="00C34B57" w:rsidRPr="00C34B57" w14:paraId="232D5F9B" w14:textId="77777777" w:rsidTr="00C34B57">
        <w:tc>
          <w:tcPr>
            <w:tcW w:w="1812" w:type="dxa"/>
          </w:tcPr>
          <w:p w14:paraId="0FA50AC3" w14:textId="3DE4ADC4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12" w:type="dxa"/>
          </w:tcPr>
          <w:p w14:paraId="499A9A74" w14:textId="5D5BC23E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C34B57">
              <w:rPr>
                <w:lang w:val="en-US"/>
              </w:rPr>
              <w:t>Delay &gt; 7 days (Vs ≤ 7 days)</w:t>
            </w:r>
          </w:p>
        </w:tc>
        <w:tc>
          <w:tcPr>
            <w:tcW w:w="1812" w:type="dxa"/>
          </w:tcPr>
          <w:p w14:paraId="4B243625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473E19C2" w14:textId="58B80913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—</w:t>
            </w:r>
          </w:p>
        </w:tc>
        <w:tc>
          <w:tcPr>
            <w:tcW w:w="1813" w:type="dxa"/>
          </w:tcPr>
          <w:p w14:paraId="346F0C08" w14:textId="5AC0224F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-0.19 (-0.67–0.29); P = 0.42</w:t>
            </w:r>
          </w:p>
        </w:tc>
      </w:tr>
      <w:tr w:rsidR="00C34B57" w:rsidRPr="00C34B57" w14:paraId="77B4E00D" w14:textId="77777777" w:rsidTr="00C34B57">
        <w:tc>
          <w:tcPr>
            <w:tcW w:w="1812" w:type="dxa"/>
            <w:tcBorders>
              <w:bottom w:val="single" w:sz="4" w:space="0" w:color="auto"/>
            </w:tcBorders>
          </w:tcPr>
          <w:p w14:paraId="1EB988D7" w14:textId="77777777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C34B57">
              <w:rPr>
                <w:lang w:val="en-US"/>
              </w:rPr>
              <w:t>Lens status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EC3572D" w14:textId="77777777" w:rsidR="00C34B57" w:rsidRPr="00C34B57" w:rsidRDefault="00C34B57" w:rsidP="00C34B57">
            <w:pPr>
              <w:spacing w:line="480" w:lineRule="auto"/>
              <w:rPr>
                <w:lang w:val="en-US"/>
              </w:rPr>
            </w:pPr>
            <w:r w:rsidRPr="00C34B57">
              <w:rPr>
                <w:lang w:val="en-US"/>
              </w:rPr>
              <w:t>Phakic / Pseudophakic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36F44698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0.03 (-0.23–0.29); P = 0.33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5445089D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0.05 (-0.21–0.31); P = 0.70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77684F3D" w14:textId="77777777" w:rsidR="00C34B57" w:rsidRPr="00C34B57" w:rsidRDefault="00C34B57" w:rsidP="00C34B57">
            <w:pPr>
              <w:spacing w:line="480" w:lineRule="auto"/>
              <w:jc w:val="center"/>
              <w:rPr>
                <w:lang w:val="en-US"/>
              </w:rPr>
            </w:pPr>
            <w:r w:rsidRPr="00C34B57">
              <w:rPr>
                <w:lang w:val="en-US"/>
              </w:rPr>
              <w:t>0.05 (-0.21–0.31); P = 0.70</w:t>
            </w:r>
          </w:p>
        </w:tc>
      </w:tr>
    </w:tbl>
    <w:p w14:paraId="139D3141" w14:textId="77777777" w:rsidR="00C34B57" w:rsidRPr="00C34B57" w:rsidRDefault="00C34B57" w:rsidP="00C34B57">
      <w:pPr>
        <w:spacing w:line="480" w:lineRule="auto"/>
        <w:rPr>
          <w:lang w:val="en-US"/>
        </w:rPr>
      </w:pPr>
      <w:r w:rsidRPr="00C34B57">
        <w:rPr>
          <w:lang w:val="en-US"/>
        </w:rPr>
        <w:t>CI, confidence interval; RRD, rhegmatogenous retinal detachment.</w:t>
      </w:r>
    </w:p>
    <w:p w14:paraId="3CBBBAD2" w14:textId="10773BFF" w:rsidR="00E11D82" w:rsidRPr="00C34B57" w:rsidRDefault="00C34B57" w:rsidP="00C34B57">
      <w:pPr>
        <w:spacing w:line="480" w:lineRule="auto"/>
        <w:rPr>
          <w:lang w:val="en-US"/>
        </w:rPr>
      </w:pPr>
      <w:r w:rsidRPr="00C34B57">
        <w:rPr>
          <w:lang w:val="en-US"/>
        </w:rPr>
        <w:t xml:space="preserve">All models compare surgery performed after the specified threshold versus before or at the threshold (Vs ≤ threshold). Data are presented as β (95% CI). Analysis performed using multiple linear regression models for each time threshold. The estimation coefficients (β) represent the change in </w:t>
      </w:r>
      <w:proofErr w:type="spellStart"/>
      <w:r w:rsidRPr="00C34B57">
        <w:rPr>
          <w:lang w:val="en-US"/>
        </w:rPr>
        <w:t>logMAR</w:t>
      </w:r>
      <w:proofErr w:type="spellEnd"/>
      <w:r w:rsidRPr="00C34B57">
        <w:rPr>
          <w:lang w:val="en-US"/>
        </w:rPr>
        <w:t xml:space="preserve"> for each variable after adjusting for all other variables included in the respective model. A negative β coefficient indicates a visual acuity improvement (decrease in </w:t>
      </w:r>
      <w:proofErr w:type="spellStart"/>
      <w:r w:rsidRPr="00C34B57">
        <w:rPr>
          <w:lang w:val="en-US"/>
        </w:rPr>
        <w:t>logMAR</w:t>
      </w:r>
      <w:proofErr w:type="spellEnd"/>
      <w:r w:rsidRPr="00C34B57">
        <w:rPr>
          <w:lang w:val="en-US"/>
        </w:rPr>
        <w:t xml:space="preserve">), whereas a positive β coefficient indicates a visual acuity degradation (increase in </w:t>
      </w:r>
      <w:proofErr w:type="spellStart"/>
      <w:r w:rsidRPr="00C34B57">
        <w:rPr>
          <w:lang w:val="en-US"/>
        </w:rPr>
        <w:t>logMAR</w:t>
      </w:r>
      <w:proofErr w:type="spellEnd"/>
      <w:r w:rsidRPr="00C34B57">
        <w:rPr>
          <w:lang w:val="en-US"/>
        </w:rPr>
        <w:t>).</w:t>
      </w:r>
    </w:p>
    <w:sectPr w:rsidR="00E11D82" w:rsidRPr="00C3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57"/>
    <w:rsid w:val="00085E58"/>
    <w:rsid w:val="000F18F6"/>
    <w:rsid w:val="006A619D"/>
    <w:rsid w:val="00C17710"/>
    <w:rsid w:val="00C34B57"/>
    <w:rsid w:val="00CE438C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53BA"/>
  <w15:chartTrackingRefBased/>
  <w15:docId w15:val="{311A4082-C6F1-478A-8E81-0C4F6840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34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4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4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4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4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4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4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4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4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4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4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4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4B5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4B5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4B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4B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4B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4B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4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4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4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4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4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4B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4B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4B5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4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4B5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4B57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34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C34B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2</cp:revision>
  <dcterms:created xsi:type="dcterms:W3CDTF">2026-08-27T18:18:00Z</dcterms:created>
  <dcterms:modified xsi:type="dcterms:W3CDTF">2026-08-27T18:18:00Z</dcterms:modified>
</cp:coreProperties>
</file>