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F07FB" w14:textId="170F0349" w:rsidR="00DE4DE4" w:rsidRPr="00DE4DE4" w:rsidRDefault="00DE4DE4" w:rsidP="00DE4DE4">
      <w:pPr>
        <w:spacing w:line="480" w:lineRule="auto"/>
        <w:rPr>
          <w:lang w:val="en-US"/>
        </w:rPr>
      </w:pPr>
      <w:r w:rsidRPr="00DE4DE4">
        <w:rPr>
          <w:lang w:val="en-US"/>
        </w:rPr>
        <w:t>Supplemental Digital Content 1. Predictive Factors of Final Visual Acuity at 6 Months in Multivariate Analysis According to Tamponade and Associated Procedures</w:t>
      </w:r>
    </w:p>
    <w:tbl>
      <w:tblPr>
        <w:tblStyle w:val="Tableausimple3"/>
        <w:tblW w:w="9355" w:type="dxa"/>
        <w:tblLook w:val="0600" w:firstRow="0" w:lastRow="0" w:firstColumn="0" w:lastColumn="0" w:noHBand="1" w:noVBand="1"/>
      </w:tblPr>
      <w:tblGrid>
        <w:gridCol w:w="2835"/>
        <w:gridCol w:w="2835"/>
        <w:gridCol w:w="2835"/>
        <w:gridCol w:w="850"/>
      </w:tblGrid>
      <w:tr w:rsidR="00DE4DE4" w:rsidRPr="00DE4DE4" w14:paraId="5F108839" w14:textId="77777777" w:rsidTr="00DE4DE4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39F1A9E" w14:textId="2202ECB1" w:rsidR="00DE4DE4" w:rsidRPr="00DE4DE4" w:rsidRDefault="00DE4DE4" w:rsidP="00DE4DE4">
            <w:pPr>
              <w:spacing w:line="480" w:lineRule="auto"/>
              <w:rPr>
                <w:lang w:val="en-US"/>
              </w:rPr>
            </w:pPr>
            <w:r w:rsidRPr="00DE4DE4">
              <w:rPr>
                <w:lang w:val="en-US"/>
              </w:rPr>
              <w:t>Factor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9CCE9E0" w14:textId="77777777" w:rsidR="00DE4DE4" w:rsidRPr="00DE4DE4" w:rsidRDefault="00DE4DE4" w:rsidP="00DE4DE4">
            <w:pPr>
              <w:spacing w:line="480" w:lineRule="auto"/>
              <w:rPr>
                <w:lang w:val="en-US"/>
              </w:rPr>
            </w:pPr>
            <w:r w:rsidRPr="00DE4DE4">
              <w:rPr>
                <w:lang w:val="en-US"/>
              </w:rPr>
              <w:t>Modality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5352559" w14:textId="77777777" w:rsidR="00DE4DE4" w:rsidRPr="00DE4DE4" w:rsidRDefault="00DE4DE4" w:rsidP="00DE4DE4">
            <w:pPr>
              <w:spacing w:line="480" w:lineRule="auto"/>
              <w:jc w:val="center"/>
              <w:rPr>
                <w:lang w:val="en-US"/>
              </w:rPr>
            </w:pPr>
            <w:r w:rsidRPr="00DE4DE4">
              <w:rPr>
                <w:lang w:val="en-US"/>
              </w:rPr>
              <w:t>β (95% CI); P-value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2E67B30" w14:textId="77777777" w:rsidR="00DE4DE4" w:rsidRPr="00DE4DE4" w:rsidRDefault="00DE4DE4" w:rsidP="00DE4DE4">
            <w:pPr>
              <w:spacing w:line="480" w:lineRule="auto"/>
              <w:jc w:val="center"/>
              <w:rPr>
                <w:lang w:val="en-US"/>
              </w:rPr>
            </w:pPr>
            <w:r w:rsidRPr="00DE4DE4">
              <w:rPr>
                <w:lang w:val="en-US"/>
              </w:rPr>
              <w:t>VIF</w:t>
            </w:r>
          </w:p>
        </w:tc>
      </w:tr>
      <w:tr w:rsidR="00DE4DE4" w:rsidRPr="00DE4DE4" w14:paraId="5597055A" w14:textId="77777777" w:rsidTr="00DE4DE4">
        <w:tc>
          <w:tcPr>
            <w:tcW w:w="2835" w:type="dxa"/>
            <w:tcBorders>
              <w:top w:val="single" w:sz="4" w:space="0" w:color="auto"/>
            </w:tcBorders>
          </w:tcPr>
          <w:p w14:paraId="1846DDDC" w14:textId="77777777" w:rsidR="00DE4DE4" w:rsidRPr="00DE4DE4" w:rsidRDefault="00DE4DE4" w:rsidP="00DE4DE4">
            <w:pPr>
              <w:spacing w:line="480" w:lineRule="auto"/>
              <w:rPr>
                <w:lang w:val="en-US"/>
              </w:rPr>
            </w:pPr>
            <w:r w:rsidRPr="00DE4DE4">
              <w:rPr>
                <w:lang w:val="en-US"/>
              </w:rPr>
              <w:t>Macular status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1BA01A8" w14:textId="77777777" w:rsidR="00DE4DE4" w:rsidRPr="00DE4DE4" w:rsidRDefault="00DE4DE4" w:rsidP="00DE4DE4">
            <w:pPr>
              <w:spacing w:line="480" w:lineRule="auto"/>
              <w:rPr>
                <w:lang w:val="en-US"/>
              </w:rPr>
            </w:pPr>
            <w:r w:rsidRPr="00DE4DE4">
              <w:rPr>
                <w:lang w:val="en-US"/>
              </w:rPr>
              <w:t>Macula-OFF / Macula-ON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7DE87D7" w14:textId="77777777" w:rsidR="00DE4DE4" w:rsidRPr="00DE4DE4" w:rsidRDefault="00DE4DE4" w:rsidP="00DE4DE4">
            <w:pPr>
              <w:spacing w:line="480" w:lineRule="auto"/>
              <w:jc w:val="center"/>
              <w:rPr>
                <w:lang w:val="en-US"/>
              </w:rPr>
            </w:pPr>
            <w:r w:rsidRPr="00DE4DE4">
              <w:rPr>
                <w:lang w:val="en-US"/>
              </w:rPr>
              <w:t>0.18 (-0.07–0.43); P = 0.16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F0DF5AE" w14:textId="77777777" w:rsidR="00DE4DE4" w:rsidRPr="00DE4DE4" w:rsidRDefault="00DE4DE4" w:rsidP="00DE4DE4">
            <w:pPr>
              <w:spacing w:line="480" w:lineRule="auto"/>
              <w:jc w:val="center"/>
              <w:rPr>
                <w:lang w:val="en-US"/>
              </w:rPr>
            </w:pPr>
            <w:r w:rsidRPr="00DE4DE4">
              <w:rPr>
                <w:lang w:val="en-US"/>
              </w:rPr>
              <w:t>1.15</w:t>
            </w:r>
          </w:p>
        </w:tc>
      </w:tr>
      <w:tr w:rsidR="00DE4DE4" w:rsidRPr="00DE4DE4" w14:paraId="0C3AD9AF" w14:textId="77777777" w:rsidTr="00DE4DE4">
        <w:tc>
          <w:tcPr>
            <w:tcW w:w="2835" w:type="dxa"/>
          </w:tcPr>
          <w:p w14:paraId="1DB53254" w14:textId="77777777" w:rsidR="00DE4DE4" w:rsidRPr="00DE4DE4" w:rsidRDefault="00DE4DE4" w:rsidP="00DE4DE4">
            <w:pPr>
              <w:spacing w:line="480" w:lineRule="auto"/>
              <w:rPr>
                <w:lang w:val="en-US"/>
              </w:rPr>
            </w:pPr>
            <w:r w:rsidRPr="00DE4DE4">
              <w:rPr>
                <w:lang w:val="en-US"/>
              </w:rPr>
              <w:t>Lens status at 6 months</w:t>
            </w:r>
          </w:p>
        </w:tc>
        <w:tc>
          <w:tcPr>
            <w:tcW w:w="2835" w:type="dxa"/>
          </w:tcPr>
          <w:p w14:paraId="4B5871D1" w14:textId="77777777" w:rsidR="00DE4DE4" w:rsidRPr="00DE4DE4" w:rsidRDefault="00DE4DE4" w:rsidP="00DE4DE4">
            <w:pPr>
              <w:spacing w:line="480" w:lineRule="auto"/>
              <w:rPr>
                <w:lang w:val="en-US"/>
              </w:rPr>
            </w:pPr>
            <w:r w:rsidRPr="00DE4DE4">
              <w:rPr>
                <w:lang w:val="en-US"/>
              </w:rPr>
              <w:t>Phakic / Pseudophakic</w:t>
            </w:r>
          </w:p>
        </w:tc>
        <w:tc>
          <w:tcPr>
            <w:tcW w:w="2835" w:type="dxa"/>
          </w:tcPr>
          <w:p w14:paraId="1B134CB3" w14:textId="77777777" w:rsidR="00DE4DE4" w:rsidRPr="00DE4DE4" w:rsidRDefault="00DE4DE4" w:rsidP="00DE4DE4">
            <w:pPr>
              <w:spacing w:line="480" w:lineRule="auto"/>
              <w:jc w:val="center"/>
              <w:rPr>
                <w:lang w:val="en-US"/>
              </w:rPr>
            </w:pPr>
            <w:r w:rsidRPr="00DE4DE4">
              <w:rPr>
                <w:lang w:val="en-US"/>
              </w:rPr>
              <w:t>0.19 (-0.05–0.43); P = 0.11</w:t>
            </w:r>
          </w:p>
        </w:tc>
        <w:tc>
          <w:tcPr>
            <w:tcW w:w="850" w:type="dxa"/>
          </w:tcPr>
          <w:p w14:paraId="4E722679" w14:textId="77777777" w:rsidR="00DE4DE4" w:rsidRPr="00DE4DE4" w:rsidRDefault="00DE4DE4" w:rsidP="00DE4DE4">
            <w:pPr>
              <w:spacing w:line="480" w:lineRule="auto"/>
              <w:jc w:val="center"/>
              <w:rPr>
                <w:lang w:val="en-US"/>
              </w:rPr>
            </w:pPr>
            <w:r w:rsidRPr="00DE4DE4">
              <w:rPr>
                <w:lang w:val="en-US"/>
              </w:rPr>
              <w:t>1.07</w:t>
            </w:r>
          </w:p>
        </w:tc>
      </w:tr>
      <w:tr w:rsidR="00DE4DE4" w:rsidRPr="00DE4DE4" w14:paraId="4551FF08" w14:textId="77777777" w:rsidTr="00DE4DE4">
        <w:tc>
          <w:tcPr>
            <w:tcW w:w="2835" w:type="dxa"/>
          </w:tcPr>
          <w:p w14:paraId="48BDCD5D" w14:textId="77777777" w:rsidR="00DE4DE4" w:rsidRPr="00DE4DE4" w:rsidRDefault="00DE4DE4" w:rsidP="00DE4DE4">
            <w:pPr>
              <w:spacing w:line="480" w:lineRule="auto"/>
              <w:rPr>
                <w:lang w:val="en-US"/>
              </w:rPr>
            </w:pPr>
            <w:r w:rsidRPr="00DE4DE4">
              <w:rPr>
                <w:lang w:val="en-US"/>
              </w:rPr>
              <w:t>Retinal detachment complexity</w:t>
            </w:r>
          </w:p>
        </w:tc>
        <w:tc>
          <w:tcPr>
            <w:tcW w:w="2835" w:type="dxa"/>
          </w:tcPr>
          <w:p w14:paraId="347C4ADE" w14:textId="77777777" w:rsidR="00DE4DE4" w:rsidRPr="00DE4DE4" w:rsidRDefault="00DE4DE4" w:rsidP="00DE4DE4">
            <w:pPr>
              <w:spacing w:line="480" w:lineRule="auto"/>
              <w:rPr>
                <w:lang w:val="en-US"/>
              </w:rPr>
            </w:pPr>
            <w:r w:rsidRPr="00DE4DE4">
              <w:rPr>
                <w:lang w:val="en-US"/>
              </w:rPr>
              <w:t>Complex / Simple</w:t>
            </w:r>
          </w:p>
        </w:tc>
        <w:tc>
          <w:tcPr>
            <w:tcW w:w="2835" w:type="dxa"/>
          </w:tcPr>
          <w:p w14:paraId="1F50F793" w14:textId="77777777" w:rsidR="00DE4DE4" w:rsidRPr="00DE4DE4" w:rsidRDefault="00DE4DE4" w:rsidP="00DE4DE4">
            <w:pPr>
              <w:spacing w:line="480" w:lineRule="auto"/>
              <w:jc w:val="center"/>
              <w:rPr>
                <w:lang w:val="en-US"/>
              </w:rPr>
            </w:pPr>
            <w:r w:rsidRPr="00DE4DE4">
              <w:rPr>
                <w:lang w:val="en-US"/>
              </w:rPr>
              <w:t>0.20 (-0.09–0.49); P = 0.17</w:t>
            </w:r>
          </w:p>
        </w:tc>
        <w:tc>
          <w:tcPr>
            <w:tcW w:w="850" w:type="dxa"/>
          </w:tcPr>
          <w:p w14:paraId="00367C7A" w14:textId="77777777" w:rsidR="00DE4DE4" w:rsidRPr="00DE4DE4" w:rsidRDefault="00DE4DE4" w:rsidP="00DE4DE4">
            <w:pPr>
              <w:spacing w:line="480" w:lineRule="auto"/>
              <w:jc w:val="center"/>
              <w:rPr>
                <w:lang w:val="en-US"/>
              </w:rPr>
            </w:pPr>
            <w:r w:rsidRPr="00DE4DE4">
              <w:rPr>
                <w:lang w:val="en-US"/>
              </w:rPr>
              <w:t>2.22</w:t>
            </w:r>
          </w:p>
        </w:tc>
      </w:tr>
      <w:tr w:rsidR="00DE4DE4" w:rsidRPr="00DE4DE4" w14:paraId="432E8FBE" w14:textId="77777777" w:rsidTr="00DE4DE4">
        <w:tc>
          <w:tcPr>
            <w:tcW w:w="2835" w:type="dxa"/>
          </w:tcPr>
          <w:p w14:paraId="75B19DE9" w14:textId="77777777" w:rsidR="00DE4DE4" w:rsidRPr="00DE4DE4" w:rsidRDefault="00DE4DE4" w:rsidP="00DE4DE4">
            <w:pPr>
              <w:spacing w:line="480" w:lineRule="auto"/>
              <w:rPr>
                <w:lang w:val="en-US"/>
              </w:rPr>
            </w:pPr>
            <w:r w:rsidRPr="00DE4DE4">
              <w:rPr>
                <w:lang w:val="en-US"/>
              </w:rPr>
              <w:t>ILM peeling</w:t>
            </w:r>
          </w:p>
        </w:tc>
        <w:tc>
          <w:tcPr>
            <w:tcW w:w="2835" w:type="dxa"/>
          </w:tcPr>
          <w:p w14:paraId="3A03F13A" w14:textId="77777777" w:rsidR="00DE4DE4" w:rsidRPr="00DE4DE4" w:rsidRDefault="00DE4DE4" w:rsidP="00DE4DE4">
            <w:pPr>
              <w:spacing w:line="480" w:lineRule="auto"/>
              <w:rPr>
                <w:lang w:val="en-US"/>
              </w:rPr>
            </w:pPr>
            <w:r w:rsidRPr="00DE4DE4">
              <w:rPr>
                <w:lang w:val="en-US"/>
              </w:rPr>
              <w:t>Yes / No</w:t>
            </w:r>
          </w:p>
        </w:tc>
        <w:tc>
          <w:tcPr>
            <w:tcW w:w="2835" w:type="dxa"/>
          </w:tcPr>
          <w:p w14:paraId="444A0208" w14:textId="77777777" w:rsidR="00DE4DE4" w:rsidRPr="00DE4DE4" w:rsidRDefault="00DE4DE4" w:rsidP="00DE4DE4">
            <w:pPr>
              <w:spacing w:line="480" w:lineRule="auto"/>
              <w:jc w:val="center"/>
              <w:rPr>
                <w:lang w:val="en-US"/>
              </w:rPr>
            </w:pPr>
            <w:r w:rsidRPr="00DE4DE4">
              <w:rPr>
                <w:lang w:val="en-US"/>
              </w:rPr>
              <w:t>0.30 (0.01–0.58); P = 0.04</w:t>
            </w:r>
          </w:p>
        </w:tc>
        <w:tc>
          <w:tcPr>
            <w:tcW w:w="850" w:type="dxa"/>
          </w:tcPr>
          <w:p w14:paraId="663CBD14" w14:textId="77777777" w:rsidR="00DE4DE4" w:rsidRPr="00DE4DE4" w:rsidRDefault="00DE4DE4" w:rsidP="00DE4DE4">
            <w:pPr>
              <w:spacing w:line="480" w:lineRule="auto"/>
              <w:jc w:val="center"/>
              <w:rPr>
                <w:lang w:val="en-US"/>
              </w:rPr>
            </w:pPr>
            <w:r w:rsidRPr="00DE4DE4">
              <w:rPr>
                <w:lang w:val="en-US"/>
              </w:rPr>
              <w:t>1.75</w:t>
            </w:r>
          </w:p>
        </w:tc>
      </w:tr>
      <w:tr w:rsidR="00DE4DE4" w:rsidRPr="00DE4DE4" w14:paraId="674A36DD" w14:textId="77777777" w:rsidTr="00DE4DE4">
        <w:tc>
          <w:tcPr>
            <w:tcW w:w="2835" w:type="dxa"/>
          </w:tcPr>
          <w:p w14:paraId="6C4D3FF1" w14:textId="77777777" w:rsidR="00DE4DE4" w:rsidRPr="00DE4DE4" w:rsidRDefault="00DE4DE4" w:rsidP="00DE4DE4">
            <w:pPr>
              <w:spacing w:line="480" w:lineRule="auto"/>
              <w:rPr>
                <w:lang w:val="en-US"/>
              </w:rPr>
            </w:pPr>
            <w:r w:rsidRPr="00DE4DE4">
              <w:rPr>
                <w:lang w:val="en-US"/>
              </w:rPr>
              <w:t>Use of perfluorocarbon liquid</w:t>
            </w:r>
          </w:p>
        </w:tc>
        <w:tc>
          <w:tcPr>
            <w:tcW w:w="2835" w:type="dxa"/>
          </w:tcPr>
          <w:p w14:paraId="6A9AEB2C" w14:textId="77777777" w:rsidR="00DE4DE4" w:rsidRPr="00DE4DE4" w:rsidRDefault="00DE4DE4" w:rsidP="00DE4DE4">
            <w:pPr>
              <w:spacing w:line="480" w:lineRule="auto"/>
              <w:rPr>
                <w:lang w:val="en-US"/>
              </w:rPr>
            </w:pPr>
            <w:r w:rsidRPr="00DE4DE4">
              <w:rPr>
                <w:lang w:val="en-US"/>
              </w:rPr>
              <w:t>Yes / No</w:t>
            </w:r>
          </w:p>
        </w:tc>
        <w:tc>
          <w:tcPr>
            <w:tcW w:w="2835" w:type="dxa"/>
          </w:tcPr>
          <w:p w14:paraId="543CE31B" w14:textId="77777777" w:rsidR="00DE4DE4" w:rsidRPr="00DE4DE4" w:rsidRDefault="00DE4DE4" w:rsidP="00DE4DE4">
            <w:pPr>
              <w:spacing w:line="480" w:lineRule="auto"/>
              <w:jc w:val="center"/>
              <w:rPr>
                <w:lang w:val="en-US"/>
              </w:rPr>
            </w:pPr>
            <w:r w:rsidRPr="00DE4DE4">
              <w:rPr>
                <w:lang w:val="en-US"/>
              </w:rPr>
              <w:t>0.06 (-0.18–0.29); P = 0.62</w:t>
            </w:r>
          </w:p>
        </w:tc>
        <w:tc>
          <w:tcPr>
            <w:tcW w:w="850" w:type="dxa"/>
          </w:tcPr>
          <w:p w14:paraId="3EE160C5" w14:textId="77777777" w:rsidR="00DE4DE4" w:rsidRPr="00DE4DE4" w:rsidRDefault="00DE4DE4" w:rsidP="00DE4DE4">
            <w:pPr>
              <w:spacing w:line="480" w:lineRule="auto"/>
              <w:jc w:val="center"/>
              <w:rPr>
                <w:lang w:val="en-US"/>
              </w:rPr>
            </w:pPr>
            <w:r w:rsidRPr="00DE4DE4">
              <w:rPr>
                <w:lang w:val="en-US"/>
              </w:rPr>
              <w:t>1.59</w:t>
            </w:r>
          </w:p>
        </w:tc>
      </w:tr>
      <w:tr w:rsidR="00DE4DE4" w:rsidRPr="00DE4DE4" w14:paraId="46D4FCB1" w14:textId="77777777" w:rsidTr="00DE4DE4">
        <w:tc>
          <w:tcPr>
            <w:tcW w:w="2835" w:type="dxa"/>
            <w:tcBorders>
              <w:bottom w:val="single" w:sz="4" w:space="0" w:color="auto"/>
            </w:tcBorders>
          </w:tcPr>
          <w:p w14:paraId="25279933" w14:textId="77777777" w:rsidR="00DE4DE4" w:rsidRPr="00DE4DE4" w:rsidRDefault="00DE4DE4" w:rsidP="00DE4DE4">
            <w:pPr>
              <w:spacing w:line="480" w:lineRule="auto"/>
              <w:rPr>
                <w:lang w:val="en-US"/>
              </w:rPr>
            </w:pPr>
            <w:r w:rsidRPr="00DE4DE4">
              <w:rPr>
                <w:lang w:val="en-US"/>
              </w:rPr>
              <w:t>Tamponate agent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B2CF5FE" w14:textId="77777777" w:rsidR="00DE4DE4" w:rsidRPr="00DE4DE4" w:rsidRDefault="00DE4DE4" w:rsidP="00DE4DE4">
            <w:pPr>
              <w:spacing w:line="480" w:lineRule="auto"/>
              <w:rPr>
                <w:lang w:val="en-US"/>
              </w:rPr>
            </w:pPr>
            <w:r w:rsidRPr="00DE4DE4">
              <w:rPr>
                <w:lang w:val="en-US"/>
              </w:rPr>
              <w:t>Silicone oil / Gas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6E60185" w14:textId="77777777" w:rsidR="00DE4DE4" w:rsidRPr="00DE4DE4" w:rsidRDefault="00DE4DE4" w:rsidP="00DE4DE4">
            <w:pPr>
              <w:spacing w:line="480" w:lineRule="auto"/>
              <w:jc w:val="center"/>
              <w:rPr>
                <w:lang w:val="en-US"/>
              </w:rPr>
            </w:pPr>
            <w:r w:rsidRPr="00DE4DE4">
              <w:rPr>
                <w:lang w:val="en-US"/>
              </w:rPr>
              <w:t>0.50 (0.25–0.75); P &lt; 0.01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0D502B0" w14:textId="77777777" w:rsidR="00DE4DE4" w:rsidRPr="00DE4DE4" w:rsidRDefault="00DE4DE4" w:rsidP="00DE4DE4">
            <w:pPr>
              <w:spacing w:line="480" w:lineRule="auto"/>
              <w:jc w:val="center"/>
              <w:rPr>
                <w:lang w:val="en-US"/>
              </w:rPr>
            </w:pPr>
            <w:r w:rsidRPr="00DE4DE4">
              <w:rPr>
                <w:lang w:val="en-US"/>
              </w:rPr>
              <w:t>1.80</w:t>
            </w:r>
          </w:p>
        </w:tc>
      </w:tr>
    </w:tbl>
    <w:p w14:paraId="7D675913" w14:textId="307C10DA" w:rsidR="00E11D82" w:rsidRPr="00DE4DE4" w:rsidRDefault="00DE4DE4" w:rsidP="00DE4DE4">
      <w:pPr>
        <w:spacing w:line="480" w:lineRule="auto"/>
        <w:rPr>
          <w:lang w:val="en-US"/>
        </w:rPr>
      </w:pPr>
      <w:r w:rsidRPr="00DE4DE4">
        <w:rPr>
          <w:lang w:val="en-US"/>
        </w:rPr>
        <w:t>CI, confidence interval; ILM, internal limiting membrane; VIF, variance inflation factor. Analysis performed using multiple linear regression. The estimation coefficients (</w:t>
      </w:r>
      <w:r w:rsidRPr="00DE4DE4">
        <w:t>β</w:t>
      </w:r>
      <w:r w:rsidRPr="00DE4DE4">
        <w:rPr>
          <w:lang w:val="en-US"/>
        </w:rPr>
        <w:t xml:space="preserve">) represent the change in logMAR for each variable after adjusting for all other variables included in the table. A negative </w:t>
      </w:r>
      <w:r w:rsidRPr="00DE4DE4">
        <w:t>β</w:t>
      </w:r>
      <w:r w:rsidRPr="00DE4DE4">
        <w:rPr>
          <w:lang w:val="en-US"/>
        </w:rPr>
        <w:t xml:space="preserve"> coefficient indicates a visual acuity improvement (decrease in logMAR), whereas a positive </w:t>
      </w:r>
      <w:r w:rsidRPr="00DE4DE4">
        <w:t>β</w:t>
      </w:r>
      <w:r w:rsidRPr="00DE4DE4">
        <w:rPr>
          <w:lang w:val="en-US"/>
        </w:rPr>
        <w:t xml:space="preserve"> coefficient indicates a visual acuity degradation (increase in logMAR).</w:t>
      </w:r>
    </w:p>
    <w:sectPr w:rsidR="00E11D82" w:rsidRPr="00DE4D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DE4"/>
    <w:rsid w:val="00085E58"/>
    <w:rsid w:val="000F18F6"/>
    <w:rsid w:val="00BB54F3"/>
    <w:rsid w:val="00C17710"/>
    <w:rsid w:val="00CE438C"/>
    <w:rsid w:val="00DE4DE4"/>
    <w:rsid w:val="00E11D82"/>
    <w:rsid w:val="00ED5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CE364"/>
  <w15:chartTrackingRefBased/>
  <w15:docId w15:val="{3768E68C-B37C-42ED-B060-38F467F23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E4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E4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E4D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E4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E4D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E4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E4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E4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E4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E4D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E4D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E4D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E4DE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E4DE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E4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E4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E4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E4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E4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E4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E4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E4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E4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E4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E4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E4DE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E4D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E4DE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E4DE4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DE4D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3">
    <w:name w:val="Plain Table 3"/>
    <w:basedOn w:val="TableauNormal"/>
    <w:uiPriority w:val="43"/>
    <w:rsid w:val="00DE4D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926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Romain BENAHMED</dc:creator>
  <cp:keywords/>
  <dc:description/>
  <cp:lastModifiedBy>Léa Dormegny</cp:lastModifiedBy>
  <cp:revision>2</cp:revision>
  <dcterms:created xsi:type="dcterms:W3CDTF">2026-08-27T18:16:00Z</dcterms:created>
  <dcterms:modified xsi:type="dcterms:W3CDTF">2026-08-27T18:16:00Z</dcterms:modified>
</cp:coreProperties>
</file>