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332220" cy="8397875"/>
            <wp:effectExtent l="0" t="0" r="0" b="0"/>
            <wp:wrapSquare wrapText="largest"/>
            <wp:docPr id="1"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title=""/>
                    <pic:cNvPicPr>
                      <a:picLocks noChangeAspect="1" noChangeArrowheads="1"/>
                    </pic:cNvPicPr>
                  </pic:nvPicPr>
                  <pic:blipFill>
                    <a:blip r:embed="rId2"/>
                    <a:stretch>
                      <a:fillRect/>
                    </a:stretch>
                  </pic:blipFill>
                  <pic:spPr bwMode="auto">
                    <a:xfrm>
                      <a:off x="0" y="0"/>
                      <a:ext cx="6332220" cy="8397875"/>
                    </a:xfrm>
                    <a:prstGeom prst="rect">
                      <a:avLst/>
                    </a:prstGeom>
                  </pic:spPr>
                </pic:pic>
              </a:graphicData>
            </a:graphic>
          </wp:anchor>
        </w:drawing>
      </w:r>
      <w:r>
        <w:rPr>
          <w:rFonts w:eastAsia="DejaVu Sans" w:cs="DejaVu Sans" w:ascii="arial" w:hAnsi="arial"/>
          <w:b/>
          <w:bCs/>
          <w:i w:val="false"/>
          <w:iCs w:val="false"/>
          <w:color w:val="000000"/>
          <w:sz w:val="22"/>
          <w:szCs w:val="22"/>
          <w:shd w:fill="auto" w:val="clear"/>
        </w:rPr>
        <w:t>Figure S1. (A)</w:t>
      </w:r>
      <w:r>
        <w:rPr>
          <w:rFonts w:eastAsia="DejaVu Sans" w:cs="DejaVu Sans" w:ascii="arial" w:hAnsi="arial"/>
          <w:b w:val="false"/>
          <w:bCs w:val="false"/>
          <w:i w:val="false"/>
          <w:iCs w:val="false"/>
          <w:color w:val="000000"/>
          <w:sz w:val="22"/>
          <w:szCs w:val="22"/>
          <w:shd w:fill="auto" w:val="clear"/>
        </w:rPr>
        <w:t xml:space="preserve"> Sequencing reads from VT and enrichment experiments were trimmed, and then filtered to remove adapters, human, and </w:t>
      </w:r>
      <w:r>
        <w:rPr>
          <w:rFonts w:eastAsia="DejaVu Sans" w:cs="DejaVu Sans" w:ascii="arial" w:hAnsi="arial"/>
          <w:b w:val="false"/>
          <w:bCs w:val="false"/>
          <w:i/>
          <w:iCs/>
          <w:color w:val="000000"/>
          <w:sz w:val="22"/>
          <w:szCs w:val="22"/>
          <w:shd w:fill="auto" w:val="clear"/>
        </w:rPr>
        <w:t xml:space="preserve">P. vulgatus </w:t>
      </w:r>
      <w:r>
        <w:rPr>
          <w:rFonts w:eastAsia="DejaVu Sans" w:cs="DejaVu Sans" w:ascii="arial" w:hAnsi="arial"/>
          <w:b w:val="false"/>
          <w:bCs w:val="false"/>
          <w:i w:val="false"/>
          <w:iCs w:val="false"/>
          <w:color w:val="000000"/>
          <w:sz w:val="22"/>
          <w:szCs w:val="22"/>
          <w:shd w:fill="auto" w:val="clear"/>
        </w:rPr>
        <w:t xml:space="preserve">genome sequence. Reads that aligned with the bacterial genome with an identity of ≥98% were removed. </w:t>
      </w:r>
      <w:r>
        <w:rPr>
          <w:rFonts w:eastAsia="DejaVu Sans" w:cs="DejaVu Sans" w:ascii="arial" w:hAnsi="arial"/>
          <w:b/>
          <w:bCs/>
          <w:i w:val="false"/>
          <w:iCs w:val="false"/>
          <w:color w:val="000000"/>
          <w:sz w:val="22"/>
          <w:szCs w:val="22"/>
          <w:shd w:fill="auto" w:val="clear"/>
        </w:rPr>
        <w:t>(B)</w:t>
      </w:r>
      <w:r>
        <w:rPr>
          <w:rFonts w:eastAsia="DejaVu Sans" w:cs="DejaVu Sans" w:ascii="arial" w:hAnsi="arial"/>
          <w:b w:val="false"/>
          <w:bCs w:val="false"/>
          <w:i w:val="false"/>
          <w:iCs w:val="false"/>
          <w:color w:val="000000"/>
          <w:sz w:val="22"/>
          <w:szCs w:val="22"/>
          <w:shd w:fill="auto" w:val="clear"/>
        </w:rPr>
        <w:t xml:space="preserve"> Coverage rarefaction curves for all 365 VT contigs were generated by mapping trimmed reads from individual VT fractions. Reads were subsampled to specified read counts prior to mapping. </w:t>
      </w:r>
      <w:r>
        <w:rPr>
          <w:rFonts w:eastAsia="DejaVu Sans" w:cs="DejaVu Sans" w:ascii="arial" w:hAnsi="arial"/>
          <w:b/>
          <w:bCs/>
          <w:i w:val="false"/>
          <w:iCs w:val="false"/>
          <w:color w:val="000000"/>
          <w:sz w:val="22"/>
          <w:szCs w:val="22"/>
          <w:shd w:fill="auto" w:val="clear"/>
        </w:rPr>
        <w:t xml:space="preserve">(C) </w:t>
      </w:r>
      <w:r>
        <w:rPr>
          <w:rFonts w:eastAsia="DejaVu Sans" w:cs="DejaVu Sans" w:ascii="arial" w:hAnsi="arial"/>
          <w:b w:val="false"/>
          <w:bCs w:val="false"/>
          <w:i w:val="false"/>
          <w:iCs w:val="false"/>
          <w:color w:val="000000"/>
          <w:sz w:val="22"/>
          <w:szCs w:val="22"/>
          <w:shd w:fill="auto" w:val="clear"/>
        </w:rPr>
        <w:t xml:space="preserve">Coverage rarefaction curves for all metavirome contigs by mapping trimmed reads from individual small cohort viromes (CD, </w:t>
      </w:r>
      <w:r>
        <w:rPr>
          <w:rFonts w:eastAsia="DejaVu Sans" w:cs="DejaVu Sans" w:ascii="arial" w:hAnsi="arial"/>
          <w:b w:val="false"/>
          <w:bCs w:val="false"/>
          <w:i/>
          <w:iCs/>
          <w:color w:val="000000"/>
          <w:sz w:val="22"/>
          <w:szCs w:val="22"/>
          <w:shd w:fill="auto" w:val="clear"/>
        </w:rPr>
        <w:t xml:space="preserve">n </w:t>
      </w:r>
      <w:r>
        <w:rPr>
          <w:rFonts w:eastAsia="DejaVu Sans" w:cs="DejaVu Sans" w:ascii="arial" w:hAnsi="arial"/>
          <w:b w:val="false"/>
          <w:bCs w:val="false"/>
          <w:i w:val="false"/>
          <w:iCs w:val="false"/>
          <w:color w:val="000000"/>
          <w:sz w:val="22"/>
          <w:szCs w:val="22"/>
          <w:shd w:fill="auto" w:val="clear"/>
        </w:rPr>
        <w:t xml:space="preserve">= 9; HHC, </w:t>
      </w:r>
      <w:r>
        <w:rPr>
          <w:rFonts w:eastAsia="DejaVu Sans" w:cs="DejaVu Sans" w:ascii="arial" w:hAnsi="arial"/>
          <w:b w:val="false"/>
          <w:bCs w:val="false"/>
          <w:i/>
          <w:iCs/>
          <w:color w:val="000000"/>
          <w:sz w:val="22"/>
          <w:szCs w:val="22"/>
          <w:shd w:fill="auto" w:val="clear"/>
        </w:rPr>
        <w:t xml:space="preserve">n </w:t>
      </w:r>
      <w:r>
        <w:rPr>
          <w:rFonts w:eastAsia="DejaVu Sans" w:cs="DejaVu Sans" w:ascii="arial" w:hAnsi="arial"/>
          <w:b w:val="false"/>
          <w:bCs w:val="false"/>
          <w:i w:val="false"/>
          <w:iCs w:val="false"/>
          <w:color w:val="000000"/>
          <w:sz w:val="22"/>
          <w:szCs w:val="22"/>
          <w:shd w:fill="auto" w:val="clear"/>
        </w:rPr>
        <w:t xml:space="preserve">= 10). </w:t>
      </w:r>
      <w:r>
        <w:rPr>
          <w:rFonts w:eastAsia="DejaVu Sans" w:cs="DejaVu Sans" w:ascii="arial" w:hAnsi="arial"/>
          <w:b/>
          <w:bCs/>
          <w:i w:val="false"/>
          <w:iCs w:val="false"/>
          <w:color w:val="000000"/>
          <w:sz w:val="22"/>
          <w:szCs w:val="22"/>
          <w:shd w:fill="auto" w:val="clear"/>
        </w:rPr>
        <w:t>(D)</w:t>
      </w:r>
      <w:r>
        <w:rPr>
          <w:rFonts w:eastAsia="DejaVu Sans" w:cs="DejaVu Sans" w:ascii="arial" w:hAnsi="arial"/>
          <w:b w:val="false"/>
          <w:bCs w:val="false"/>
          <w:i w:val="false"/>
          <w:iCs w:val="false"/>
          <w:color w:val="000000"/>
          <w:sz w:val="22"/>
          <w:szCs w:val="22"/>
          <w:shd w:fill="auto" w:val="clear"/>
        </w:rPr>
        <w:t xml:space="preserve"> Full taxonomic classification of VT, enrichment, and virome contigs was performed with GeNomad</w:t>
      </w:r>
      <w:r>
        <w:rPr>
          <w:rFonts w:eastAsia="DejaVu Sans" w:cs="DejaVu Sans" w:ascii="arial" w:hAnsi="arial"/>
          <w:b w:val="false"/>
          <w:bCs w:val="false"/>
          <w:i w:val="false"/>
          <w:iCs w:val="false"/>
          <w:color w:val="000000"/>
          <w:sz w:val="22"/>
          <w:szCs w:val="22"/>
          <w:shd w:fill="auto" w:val="clear"/>
          <w:vertAlign w:val="superscript"/>
        </w:rPr>
        <w:t>34</w:t>
      </w:r>
      <w:r>
        <w:rPr>
          <w:rFonts w:eastAsia="DejaVu Sans" w:cs="DejaVu Sans" w:ascii="arial" w:hAnsi="arial"/>
          <w:b w:val="false"/>
          <w:bCs w:val="false"/>
          <w:i w:val="false"/>
          <w:iCs w:val="false"/>
          <w:color w:val="000000"/>
          <w:sz w:val="22"/>
          <w:szCs w:val="22"/>
          <w:shd w:fill="auto" w:val="clear"/>
        </w:rPr>
        <w:t xml:space="preserve">. Only contigs classified as viruses are shown. </w:t>
      </w:r>
      <w:r>
        <w:rPr>
          <w:rFonts w:eastAsia="DejaVu Sans" w:cs="DejaVu Sans" w:ascii="arial" w:hAnsi="arial"/>
          <w:b/>
          <w:bCs/>
          <w:i w:val="false"/>
          <w:iCs w:val="false"/>
          <w:color w:val="000000"/>
          <w:sz w:val="22"/>
          <w:szCs w:val="22"/>
          <w:shd w:fill="auto" w:val="clear"/>
        </w:rPr>
        <w:t>(E)</w:t>
      </w:r>
      <w:r>
        <w:rPr>
          <w:rFonts w:eastAsia="DejaVu Sans" w:cs="DejaVu Sans" w:ascii="arial" w:hAnsi="arial"/>
          <w:b w:val="false"/>
          <w:bCs w:val="false"/>
          <w:i w:val="false"/>
          <w:iCs w:val="false"/>
          <w:color w:val="000000"/>
          <w:sz w:val="22"/>
          <w:szCs w:val="22"/>
          <w:shd w:fill="auto" w:val="clear"/>
        </w:rPr>
        <w:t xml:space="preserve"> Richness rarefaction curves were generated by mapping trimmed reads from VT to the longest representative contigs of each vOTU. Reads were subsampled to specified read counts prior to mapping. Counts of contigs according to vOTU assignment. Count of vOTUs detected by read mapping. </w:t>
      </w:r>
      <w:r>
        <w:rPr>
          <w:rFonts w:eastAsia="DejaVu Sans" w:cs="DejaVu Sans" w:ascii="arial" w:hAnsi="arial"/>
          <w:b/>
          <w:bCs/>
          <w:i w:val="false"/>
          <w:iCs w:val="false"/>
          <w:color w:val="000000"/>
          <w:sz w:val="22"/>
          <w:szCs w:val="22"/>
          <w:shd w:fill="auto" w:val="clear"/>
        </w:rPr>
        <w:t xml:space="preserve">(F) </w:t>
      </w:r>
      <w:r>
        <w:rPr>
          <w:rFonts w:eastAsia="DejaVu Sans" w:cs="DejaVu Sans" w:ascii="arial" w:hAnsi="arial"/>
          <w:b w:val="false"/>
          <w:bCs w:val="false"/>
          <w:i w:val="false"/>
          <w:iCs w:val="false"/>
          <w:color w:val="000000"/>
          <w:sz w:val="22"/>
          <w:szCs w:val="22"/>
          <w:shd w:fill="auto" w:val="clear"/>
        </w:rPr>
        <w:t>Relative abundance of vOTUs in individual VT and enrichment samples, calculated by normalizing mapped read counts to total sample mapped reads.</w:t>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6332220" cy="4142740"/>
            <wp:effectExtent l="0" t="0" r="0" b="0"/>
            <wp:wrapSquare wrapText="largest"/>
            <wp:docPr id="2"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title=""/>
                    <pic:cNvPicPr>
                      <a:picLocks noChangeAspect="1" noChangeArrowheads="1"/>
                    </pic:cNvPicPr>
                  </pic:nvPicPr>
                  <pic:blipFill>
                    <a:blip r:embed="rId3"/>
                    <a:stretch>
                      <a:fillRect/>
                    </a:stretch>
                  </pic:blipFill>
                  <pic:spPr bwMode="auto">
                    <a:xfrm>
                      <a:off x="0" y="0"/>
                      <a:ext cx="6332220" cy="4142740"/>
                    </a:xfrm>
                    <a:prstGeom prst="rect">
                      <a:avLst/>
                    </a:prstGeom>
                  </pic:spPr>
                </pic:pic>
              </a:graphicData>
            </a:graphic>
          </wp:anchor>
        </w:drawing>
      </w:r>
      <w:r>
        <w:rPr>
          <w:rFonts w:eastAsia="DejaVu Sans" w:cs="DejaVu Sans" w:ascii="arial" w:hAnsi="arial"/>
          <w:b/>
          <w:bCs/>
          <w:i w:val="false"/>
          <w:iCs w:val="false"/>
          <w:color w:val="000000"/>
          <w:position w:val="0"/>
          <w:sz w:val="22"/>
          <w:sz w:val="22"/>
          <w:szCs w:val="22"/>
          <w:shd w:fill="auto" w:val="clear"/>
          <w:vertAlign w:val="baseline"/>
        </w:rPr>
        <w:t xml:space="preserve">Figure S2. (A)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vOTU relative abundance across three sample cohorts: experimental (enrichment, </w:t>
      </w:r>
      <w:r>
        <w:rPr>
          <w:rFonts w:eastAsia="DejaVu Sans" w:cs="DejaVu Sans" w:ascii="arial" w:hAnsi="arial"/>
          <w:b w:val="false"/>
          <w:bCs w:val="false"/>
          <w:i/>
          <w:iCs/>
          <w:color w:val="000000"/>
          <w:position w:val="0"/>
          <w:sz w:val="22"/>
          <w:sz w:val="22"/>
          <w:szCs w:val="22"/>
          <w:shd w:fill="auto" w:val="clear"/>
          <w:vertAlign w:val="baseline"/>
        </w:rPr>
        <w:t xml:space="preserve">n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2; VT, </w:t>
      </w:r>
      <w:r>
        <w:rPr>
          <w:rFonts w:eastAsia="DejaVu Sans" w:cs="DejaVu Sans" w:ascii="arial" w:hAnsi="arial"/>
          <w:b w:val="false"/>
          <w:bCs w:val="false"/>
          <w:i/>
          <w:iCs/>
          <w:color w:val="000000"/>
          <w:position w:val="0"/>
          <w:sz w:val="22"/>
          <w:sz w:val="22"/>
          <w:szCs w:val="22"/>
          <w:shd w:fill="auto" w:val="clear"/>
          <w:vertAlign w:val="baseline"/>
        </w:rPr>
        <w:t>n</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 23), small cohort viromes used as inputs for VT (</w:t>
      </w:r>
      <w:r>
        <w:rPr>
          <w:rFonts w:eastAsia="DejaVu Sans" w:cs="DejaVu Sans" w:ascii="arial" w:hAnsi="arial"/>
          <w:b w:val="false"/>
          <w:bCs w:val="false"/>
          <w:i/>
          <w:iCs/>
          <w:color w:val="000000"/>
          <w:position w:val="0"/>
          <w:sz w:val="22"/>
          <w:sz w:val="22"/>
          <w:szCs w:val="22"/>
          <w:shd w:fill="auto" w:val="clear"/>
          <w:vertAlign w:val="baseline"/>
        </w:rPr>
        <w:t xml:space="preserve">n </w:t>
      </w:r>
      <w:r>
        <w:rPr>
          <w:rFonts w:eastAsia="DejaVu Sans" w:cs="DejaVu Sans" w:ascii="arial" w:hAnsi="arial"/>
          <w:b w:val="false"/>
          <w:bCs w:val="false"/>
          <w:i w:val="false"/>
          <w:iCs w:val="false"/>
          <w:color w:val="000000"/>
          <w:position w:val="0"/>
          <w:sz w:val="22"/>
          <w:sz w:val="22"/>
          <w:szCs w:val="22"/>
          <w:shd w:fill="auto" w:val="clear"/>
          <w:vertAlign w:val="baseline"/>
        </w:rPr>
        <w:t>= 19), and a large previously published IBD cohort (</w:t>
      </w:r>
      <w:r>
        <w:rPr>
          <w:rFonts w:eastAsia="DejaVu Sans" w:cs="DejaVu Sans" w:ascii="arial" w:hAnsi="arial"/>
          <w:b w:val="false"/>
          <w:bCs w:val="false"/>
          <w:i/>
          <w:iCs/>
          <w:color w:val="000000"/>
          <w:position w:val="0"/>
          <w:sz w:val="22"/>
          <w:sz w:val="22"/>
          <w:szCs w:val="22"/>
          <w:shd w:fill="auto" w:val="clear"/>
          <w:vertAlign w:val="baseline"/>
        </w:rPr>
        <w:t xml:space="preserve">n </w:t>
      </w:r>
      <w:r>
        <w:rPr>
          <w:rFonts w:eastAsia="DejaVu Sans" w:cs="DejaVu Sans" w:ascii="arial" w:hAnsi="arial"/>
          <w:b w:val="false"/>
          <w:bCs w:val="false"/>
          <w:i w:val="false"/>
          <w:iCs w:val="false"/>
          <w:color w:val="000000"/>
          <w:position w:val="0"/>
          <w:sz w:val="22"/>
          <w:sz w:val="22"/>
          <w:szCs w:val="22"/>
          <w:shd w:fill="auto" w:val="clear"/>
          <w:vertAlign w:val="baseline"/>
        </w:rPr>
        <w:t>= 169)</w:t>
      </w:r>
      <w:r>
        <w:rPr>
          <w:rFonts w:eastAsia="DejaVu Sans" w:cs="DejaVu Sans" w:ascii="arial" w:hAnsi="arial"/>
          <w:b w:val="false"/>
          <w:bCs w:val="false"/>
          <w:i w:val="false"/>
          <w:iCs w:val="false"/>
          <w:color w:val="000000"/>
          <w:sz w:val="22"/>
          <w:szCs w:val="22"/>
          <w:shd w:fill="auto" w:val="clear"/>
          <w:vertAlign w:val="superscript"/>
        </w:rPr>
        <w:t>3</w:t>
      </w:r>
      <w:r>
        <w:rPr>
          <w:rFonts w:eastAsia="DejaVu Sans" w:cs="DejaVu Sans" w:ascii="arial" w:hAnsi="arial"/>
          <w:b w:val="false"/>
          <w:bCs w:val="false"/>
          <w:i w:val="false"/>
          <w:iCs w:val="false"/>
          <w:color w:val="000000"/>
          <w:position w:val="0"/>
          <w:sz w:val="22"/>
          <w:sz w:val="22"/>
          <w:szCs w:val="22"/>
          <w:shd w:fill="auto" w:val="clear"/>
          <w:vertAlign w:val="baseline"/>
        </w:rPr>
        <w:t>. Only vOTUs observed by VT and/or enrichment assemblies shown. Coverage of vOTU_10 in UC from the large cohort represents a single sample. vOTU relative abundances were calculated as transcripts per million (TPM) by normalizing raw mapped read counts by contig length in kilobases (RPK) and scaling to total sample RPK. A detection floor threshold of 0.5 TPM was applied to eliminate non-specific mapping noise (values &lt; 0.5 TPM set to 0; shown as white). Individual contig TPMs were aggregated by summing across vOTU clusters.</w:t>
      </w:r>
      <w:r>
        <w:rPr>
          <w:rFonts w:eastAsia="DejaVu Sans" w:cs="DejaVu Sans" w:ascii="arial" w:hAnsi="arial"/>
          <w:b/>
          <w:bCs/>
          <w:i w:val="false"/>
          <w:iCs w:val="false"/>
          <w:color w:val="000000"/>
          <w:position w:val="0"/>
          <w:sz w:val="22"/>
          <w:sz w:val="22"/>
          <w:szCs w:val="22"/>
          <w:shd w:fill="auto" w:val="clear"/>
          <w:vertAlign w:val="baseline"/>
        </w:rPr>
        <w:t xml:space="preserve"> (B)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Differentially abundant vOTUs between at least two conditions in the large cohort. Only vOTUs occurring in at least 5% of samples in any individual condition were considered. No significantly different comparisons were observed in the small cohort or for any other vOTU. Asterisks denote statistically significant pairwise differences calculated via uncorrected two-sided Mann-Whitney U test (* </w:t>
      </w:r>
      <w:r>
        <w:rPr>
          <w:rFonts w:eastAsia="DejaVu Sans" w:cs="DejaVu Sans" w:ascii="arial" w:hAnsi="arial"/>
          <w:b w:val="false"/>
          <w:bCs w:val="false"/>
          <w:i/>
          <w:iCs/>
          <w:color w:val="000000"/>
          <w:position w:val="0"/>
          <w:sz w:val="22"/>
          <w:sz w:val="22"/>
          <w:szCs w:val="22"/>
          <w:shd w:fill="auto" w:val="clear"/>
          <w:vertAlign w:val="baseline"/>
        </w:rPr>
        <w:t xml:space="preserve">p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&lt; 0.05, ** </w:t>
      </w:r>
      <w:r>
        <w:rPr>
          <w:rFonts w:eastAsia="DejaVu Sans" w:cs="DejaVu Sans" w:ascii="arial" w:hAnsi="arial"/>
          <w:b w:val="false"/>
          <w:bCs w:val="false"/>
          <w:i/>
          <w:iCs/>
          <w:color w:val="000000"/>
          <w:position w:val="0"/>
          <w:sz w:val="22"/>
          <w:sz w:val="22"/>
          <w:szCs w:val="22"/>
          <w:shd w:fill="auto" w:val="clear"/>
          <w:vertAlign w:val="baseline"/>
        </w:rPr>
        <w:t>p</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&lt; 0.01).</w:t>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5721985" cy="7182485"/>
            <wp:effectExtent l="0" t="0" r="0" b="0"/>
            <wp:wrapSquare wrapText="largest"/>
            <wp:docPr id="3"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title=""/>
                    <pic:cNvPicPr>
                      <a:picLocks noChangeAspect="1" noChangeArrowheads="1"/>
                    </pic:cNvPicPr>
                  </pic:nvPicPr>
                  <pic:blipFill>
                    <a:blip r:embed="rId4"/>
                    <a:stretch>
                      <a:fillRect/>
                    </a:stretch>
                  </pic:blipFill>
                  <pic:spPr bwMode="auto">
                    <a:xfrm>
                      <a:off x="0" y="0"/>
                      <a:ext cx="5721985" cy="7182485"/>
                    </a:xfrm>
                    <a:prstGeom prst="rect">
                      <a:avLst/>
                    </a:prstGeom>
                  </pic:spPr>
                </pic:pic>
              </a:graphicData>
            </a:graphic>
          </wp:anchor>
        </w:drawing>
      </w:r>
      <w:r>
        <w:rPr>
          <w:rFonts w:eastAsia="DejaVu Sans" w:cs="DejaVu Sans" w:ascii="arial" w:hAnsi="arial"/>
          <w:b/>
          <w:bCs/>
          <w:i w:val="false"/>
          <w:iCs w:val="false"/>
          <w:color w:val="000000"/>
          <w:position w:val="0"/>
          <w:sz w:val="22"/>
          <w:sz w:val="22"/>
          <w:szCs w:val="22"/>
          <w:shd w:fill="auto" w:val="clear"/>
          <w:vertAlign w:val="baseline"/>
        </w:rPr>
        <w:t xml:space="preserve">Figure S3. (A)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Phylogeny of BV01-like contigs and select </w:t>
      </w:r>
      <w:r>
        <w:rPr>
          <w:rFonts w:eastAsia="DejaVu Sans" w:cs="DejaVu Sans" w:ascii="arial" w:hAnsi="arial"/>
          <w:b w:val="false"/>
          <w:bCs w:val="false"/>
          <w:i/>
          <w:iCs/>
          <w:color w:val="000000"/>
          <w:position w:val="0"/>
          <w:sz w:val="22"/>
          <w:sz w:val="22"/>
          <w:szCs w:val="22"/>
          <w:shd w:fill="auto" w:val="clear"/>
          <w:vertAlign w:val="baseline"/>
        </w:rPr>
        <w:t xml:space="preserve">Salyersviridae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phages by multilocus sequence alignment of a concatenation of 6 conserved proteins: portal protein, major capsid protein, head maturation protease, ssDNA binding protein, RNA polymerase sigma factor, and RecE-like recombination exonuclease. Only contigs with completeness great enough to include all marker genes were included. </w:t>
      </w:r>
      <w:r>
        <w:rPr>
          <w:rFonts w:eastAsia="DejaVu Sans" w:cs="DejaVu Sans" w:ascii="arial" w:hAnsi="arial"/>
          <w:b/>
          <w:bCs/>
          <w:i w:val="false"/>
          <w:iCs w:val="false"/>
          <w:color w:val="000000"/>
          <w:position w:val="0"/>
          <w:sz w:val="22"/>
          <w:sz w:val="22"/>
          <w:szCs w:val="22"/>
          <w:shd w:fill="auto" w:val="clear"/>
          <w:vertAlign w:val="baseline"/>
        </w:rPr>
        <w:t>(B)</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Protein similarity alignment of phage BV01, consensus contigs generated by co-assembly of all CD or HHC VT reads, and 4 additional complete BV01-like contigs from individual VT fraction assemblies. Terminal shifted genome regions are due to differential assembly breaks of the circular genome. The alignment was generated with Clinker</w:t>
      </w:r>
      <w:r>
        <w:rPr>
          <w:rFonts w:eastAsia="DejaVu Sans" w:cs="DejaVu Sans" w:ascii="arial" w:hAnsi="arial"/>
          <w:b w:val="false"/>
          <w:bCs w:val="false"/>
          <w:i w:val="false"/>
          <w:iCs w:val="false"/>
          <w:color w:val="000000"/>
          <w:sz w:val="22"/>
          <w:szCs w:val="22"/>
          <w:shd w:fill="auto" w:val="clear"/>
          <w:vertAlign w:val="superscript"/>
        </w:rPr>
        <w:t>71</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w:t>
      </w:r>
      <w:r>
        <w:rPr>
          <w:rFonts w:eastAsia="DejaVu Sans" w:cs="DejaVu Sans" w:ascii="arial" w:hAnsi="arial"/>
          <w:b/>
          <w:bCs/>
          <w:i w:val="false"/>
          <w:iCs w:val="false"/>
          <w:color w:val="000000"/>
          <w:position w:val="0"/>
          <w:sz w:val="22"/>
          <w:sz w:val="22"/>
          <w:szCs w:val="22"/>
          <w:shd w:fill="auto" w:val="clear"/>
          <w:vertAlign w:val="baseline"/>
        </w:rPr>
        <w:t xml:space="preserve">(C)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Average nucleotide identity (ANI) between vOTU-related metavirome contigs and related </w:t>
      </w:r>
      <w:r>
        <w:rPr>
          <w:rFonts w:eastAsia="DejaVu Sans" w:cs="DejaVu Sans" w:ascii="arial" w:hAnsi="arial"/>
          <w:b w:val="false"/>
          <w:bCs w:val="false"/>
          <w:i/>
          <w:iCs/>
          <w:color w:val="000000"/>
          <w:position w:val="0"/>
          <w:sz w:val="22"/>
          <w:sz w:val="22"/>
          <w:szCs w:val="22"/>
          <w:shd w:fill="auto" w:val="clear"/>
          <w:vertAlign w:val="baseline"/>
        </w:rPr>
        <w:t xml:space="preserve">Salyersviridae </w:t>
      </w:r>
      <w:r>
        <w:rPr>
          <w:rFonts w:eastAsia="DejaVu Sans" w:cs="DejaVu Sans" w:ascii="arial" w:hAnsi="arial"/>
          <w:b w:val="false"/>
          <w:bCs w:val="false"/>
          <w:i w:val="false"/>
          <w:iCs w:val="false"/>
          <w:color w:val="000000"/>
          <w:position w:val="0"/>
          <w:sz w:val="22"/>
          <w:sz w:val="22"/>
          <w:szCs w:val="22"/>
          <w:shd w:fill="auto" w:val="clear"/>
          <w:vertAlign w:val="baseline"/>
        </w:rPr>
        <w:t>phages. ANI was calculated as the length-weighted ANI of reciprocal local alignments &gt;2 kb based on reciprocal BLASTn</w:t>
      </w:r>
      <w:r>
        <w:rPr>
          <w:rFonts w:eastAsia="DejaVu Sans" w:cs="DejaVu Sans" w:ascii="arial" w:hAnsi="arial"/>
          <w:b w:val="false"/>
          <w:bCs w:val="false"/>
          <w:i w:val="false"/>
          <w:iCs w:val="false"/>
          <w:color w:val="000000"/>
          <w:sz w:val="22"/>
          <w:szCs w:val="22"/>
          <w:shd w:fill="auto" w:val="clear"/>
          <w:vertAlign w:val="superscript"/>
        </w:rPr>
        <w:t>33</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outputs. </w:t>
      </w:r>
      <w:r>
        <w:rPr>
          <w:rFonts w:eastAsia="DejaVu Sans" w:cs="DejaVu Sans" w:ascii="arial" w:hAnsi="arial"/>
          <w:b/>
          <w:bCs/>
          <w:i w:val="false"/>
          <w:iCs w:val="false"/>
          <w:color w:val="000000"/>
          <w:position w:val="0"/>
          <w:sz w:val="22"/>
          <w:sz w:val="22"/>
          <w:szCs w:val="22"/>
          <w:shd w:fill="auto" w:val="clear"/>
          <w:vertAlign w:val="baseline"/>
        </w:rPr>
        <w:t xml:space="preserve">(D)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Protein-similarity alignments of 5 related virome contigs outside vOTU_0 with BV01 and other related </w:t>
      </w:r>
      <w:r>
        <w:rPr>
          <w:rFonts w:eastAsia="DejaVu Sans" w:cs="DejaVu Sans" w:ascii="arial" w:hAnsi="arial"/>
          <w:b w:val="false"/>
          <w:bCs w:val="false"/>
          <w:i/>
          <w:iCs/>
          <w:color w:val="000000"/>
          <w:position w:val="0"/>
          <w:sz w:val="22"/>
          <w:sz w:val="22"/>
          <w:szCs w:val="22"/>
          <w:shd w:fill="auto" w:val="clear"/>
          <w:vertAlign w:val="baseline"/>
        </w:rPr>
        <w:t xml:space="preserve">Salyersviridae </w:t>
      </w:r>
      <w:r>
        <w:rPr>
          <w:rFonts w:eastAsia="DejaVu Sans" w:cs="DejaVu Sans" w:ascii="arial" w:hAnsi="arial"/>
          <w:b w:val="false"/>
          <w:bCs w:val="false"/>
          <w:i w:val="false"/>
          <w:iCs w:val="false"/>
          <w:color w:val="000000"/>
          <w:position w:val="0"/>
          <w:sz w:val="22"/>
          <w:sz w:val="22"/>
          <w:szCs w:val="22"/>
          <w:shd w:fill="auto" w:val="clear"/>
          <w:vertAlign w:val="baseline"/>
        </w:rPr>
        <w:t>phage genomes. The alignments were generated with Clinker</w:t>
      </w:r>
      <w:r>
        <w:rPr>
          <w:rFonts w:eastAsia="DejaVu Sans" w:cs="DejaVu Sans" w:ascii="arial" w:hAnsi="arial"/>
          <w:b w:val="false"/>
          <w:bCs w:val="false"/>
          <w:i w:val="false"/>
          <w:iCs w:val="false"/>
          <w:color w:val="000000"/>
          <w:sz w:val="22"/>
          <w:szCs w:val="22"/>
          <w:shd w:fill="auto" w:val="clear"/>
          <w:vertAlign w:val="superscript"/>
        </w:rPr>
        <w:t>71</w:t>
      </w:r>
      <w:r>
        <w:rPr>
          <w:rFonts w:eastAsia="DejaVu Sans" w:cs="DejaVu Sans" w:ascii="arial" w:hAnsi="arial"/>
          <w:b w:val="false"/>
          <w:bCs w:val="false"/>
          <w:i w:val="false"/>
          <w:iCs w:val="false"/>
          <w:color w:val="000000"/>
          <w:position w:val="0"/>
          <w:sz w:val="22"/>
          <w:sz w:val="22"/>
          <w:szCs w:val="22"/>
          <w:shd w:fill="auto" w:val="clear"/>
          <w:vertAlign w:val="baseline"/>
        </w:rPr>
        <w:t>.</w:t>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5728970" cy="8005445"/>
            <wp:effectExtent l="0" t="0" r="0" b="0"/>
            <wp:wrapSquare wrapText="largest"/>
            <wp:docPr id="4"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 descr="" title=""/>
                    <pic:cNvPicPr>
                      <a:picLocks noChangeAspect="1" noChangeArrowheads="1"/>
                    </pic:cNvPicPr>
                  </pic:nvPicPr>
                  <pic:blipFill>
                    <a:blip r:embed="rId5"/>
                    <a:stretch>
                      <a:fillRect/>
                    </a:stretch>
                  </pic:blipFill>
                  <pic:spPr bwMode="auto">
                    <a:xfrm>
                      <a:off x="0" y="0"/>
                      <a:ext cx="5728970" cy="8005445"/>
                    </a:xfrm>
                    <a:prstGeom prst="rect">
                      <a:avLst/>
                    </a:prstGeom>
                  </pic:spPr>
                </pic:pic>
              </a:graphicData>
            </a:graphic>
          </wp:anchor>
        </w:drawing>
      </w:r>
      <w:r>
        <w:rPr>
          <w:rFonts w:eastAsia="DejaVu Sans" w:cs="DejaVu Sans" w:ascii="arial" w:hAnsi="arial"/>
          <w:b/>
          <w:bCs/>
          <w:i w:val="false"/>
          <w:iCs w:val="false"/>
          <w:color w:val="000000"/>
          <w:position w:val="0"/>
          <w:sz w:val="22"/>
          <w:sz w:val="22"/>
          <w:szCs w:val="22"/>
          <w:shd w:fill="auto" w:val="clear"/>
          <w:vertAlign w:val="baseline"/>
        </w:rPr>
        <w:t>Figure S4. (A, B)</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Raw depth coverage profiles of the BV01 genome for input (</w:t>
      </w:r>
      <w:r>
        <w:rPr>
          <w:rFonts w:eastAsia="DejaVu Sans" w:cs="DejaVu Sans" w:ascii="arial" w:hAnsi="arial"/>
          <w:b w:val="false"/>
          <w:bCs w:val="false"/>
          <w:i/>
          <w:iCs/>
          <w:color w:val="000000"/>
          <w:position w:val="0"/>
          <w:sz w:val="22"/>
          <w:sz w:val="22"/>
          <w:szCs w:val="22"/>
          <w:shd w:fill="auto" w:val="clear"/>
          <w:vertAlign w:val="baseline"/>
        </w:rPr>
        <w:t xml:space="preserve">n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19) </w:t>
      </w:r>
      <w:r>
        <w:rPr>
          <w:rFonts w:eastAsia="DejaVu Sans" w:cs="DejaVu Sans" w:ascii="arial" w:hAnsi="arial"/>
          <w:b/>
          <w:bCs/>
          <w:i w:val="false"/>
          <w:iCs w:val="false"/>
          <w:color w:val="000000"/>
          <w:position w:val="0"/>
          <w:sz w:val="22"/>
          <w:sz w:val="22"/>
          <w:szCs w:val="22"/>
          <w:shd w:fill="auto" w:val="clear"/>
          <w:vertAlign w:val="baseline"/>
        </w:rPr>
        <w:t xml:space="preserve">(A) </w:t>
      </w:r>
      <w:r>
        <w:rPr>
          <w:rFonts w:eastAsia="DejaVu Sans" w:cs="DejaVu Sans" w:ascii="arial" w:hAnsi="arial"/>
          <w:b w:val="false"/>
          <w:bCs w:val="false"/>
          <w:i w:val="false"/>
          <w:iCs w:val="false"/>
          <w:color w:val="000000"/>
          <w:position w:val="0"/>
          <w:sz w:val="22"/>
          <w:sz w:val="22"/>
          <w:szCs w:val="22"/>
          <w:shd w:fill="auto" w:val="clear"/>
          <w:vertAlign w:val="baseline"/>
        </w:rPr>
        <w:t>and large (</w:t>
      </w:r>
      <w:r>
        <w:rPr>
          <w:rFonts w:eastAsia="DejaVu Sans" w:cs="DejaVu Sans" w:ascii="arial" w:hAnsi="arial"/>
          <w:b w:val="false"/>
          <w:bCs w:val="false"/>
          <w:i/>
          <w:iCs/>
          <w:color w:val="000000"/>
          <w:position w:val="0"/>
          <w:sz w:val="22"/>
          <w:sz w:val="22"/>
          <w:szCs w:val="22"/>
          <w:shd w:fill="auto" w:val="clear"/>
          <w:vertAlign w:val="baseline"/>
        </w:rPr>
        <w:t xml:space="preserve">n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169) </w:t>
      </w:r>
      <w:r>
        <w:rPr>
          <w:rFonts w:eastAsia="DejaVu Sans" w:cs="DejaVu Sans" w:ascii="arial" w:hAnsi="arial"/>
          <w:b/>
          <w:bCs/>
          <w:i w:val="false"/>
          <w:iCs w:val="false"/>
          <w:color w:val="000000"/>
          <w:position w:val="0"/>
          <w:sz w:val="22"/>
          <w:sz w:val="22"/>
          <w:szCs w:val="22"/>
          <w:shd w:fill="auto" w:val="clear"/>
          <w:vertAlign w:val="baseline"/>
        </w:rPr>
        <w:t xml:space="preserve">(B)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cohort viromes. Each curve represents an individual virome; curves depict a 50 bp rolling-mean smoothed read depth. </w:t>
      </w:r>
      <w:r>
        <w:rPr>
          <w:rFonts w:eastAsia="DejaVu Sans" w:cs="DejaVu Sans" w:ascii="arial" w:hAnsi="arial"/>
          <w:b/>
          <w:bCs/>
          <w:i w:val="false"/>
          <w:iCs w:val="false"/>
          <w:color w:val="000000"/>
          <w:position w:val="0"/>
          <w:sz w:val="22"/>
          <w:sz w:val="22"/>
          <w:szCs w:val="22"/>
          <w:shd w:fill="auto" w:val="clear"/>
          <w:vertAlign w:val="baseline"/>
        </w:rPr>
        <w:t xml:space="preserve">(C) </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Average </w:t>
      </w:r>
      <w:r>
        <w:rPr>
          <w:rFonts w:eastAsia="DejaVu Sans" w:cs="DejaVu Sans" w:ascii="arial" w:hAnsi="arial"/>
          <w:b w:val="false"/>
          <w:bCs w:val="false"/>
          <w:i/>
          <w:iCs/>
          <w:color w:val="000000"/>
          <w:position w:val="0"/>
          <w:sz w:val="22"/>
          <w:sz w:val="22"/>
          <w:szCs w:val="22"/>
          <w:shd w:fill="auto" w:val="clear"/>
          <w:vertAlign w:val="baseline"/>
        </w:rPr>
        <w:t>P</w:t>
      </w:r>
      <w:r>
        <w:rPr>
          <w:rFonts w:eastAsia="DejaVu Sans" w:cs="DejaVu Sans" w:ascii="arial" w:hAnsi="arial"/>
          <w:b w:val="false"/>
          <w:bCs w:val="false"/>
          <w:i/>
          <w:iCs/>
          <w:color w:val="000000"/>
          <w:sz w:val="22"/>
          <w:szCs w:val="22"/>
          <w:shd w:fill="auto" w:val="clear"/>
          <w:vertAlign w:val="subscript"/>
        </w:rPr>
        <w:t>n</w:t>
      </w:r>
      <w:r>
        <w:rPr>
          <w:rFonts w:eastAsia="DejaVu Sans" w:cs="DejaVu Sans" w:ascii="arial" w:hAnsi="arial"/>
          <w:b w:val="false"/>
          <w:bCs w:val="false"/>
          <w:i/>
          <w:iCs/>
          <w:color w:val="000000"/>
          <w:position w:val="0"/>
          <w:sz w:val="22"/>
          <w:sz w:val="22"/>
          <w:szCs w:val="22"/>
          <w:shd w:fill="auto" w:val="clear"/>
          <w:vertAlign w:val="baseline"/>
        </w:rPr>
        <w:t>/P</w:t>
      </w:r>
      <w:r>
        <w:rPr>
          <w:rFonts w:eastAsia="DejaVu Sans" w:cs="DejaVu Sans" w:ascii="arial" w:hAnsi="arial"/>
          <w:b w:val="false"/>
          <w:bCs w:val="false"/>
          <w:i/>
          <w:iCs/>
          <w:color w:val="000000"/>
          <w:sz w:val="22"/>
          <w:szCs w:val="22"/>
          <w:shd w:fill="auto" w:val="clear"/>
          <w:vertAlign w:val="subscript"/>
        </w:rPr>
        <w:t>s</w:t>
      </w:r>
      <w:r>
        <w:rPr>
          <w:rFonts w:eastAsia="DejaVu Sans" w:cs="DejaVu Sans" w:ascii="arial" w:hAnsi="arial"/>
          <w:b w:val="false"/>
          <w:bCs w:val="false"/>
          <w:i/>
          <w:iCs/>
          <w:color w:val="000000"/>
          <w:position w:val="0"/>
          <w:sz w:val="22"/>
          <w:sz w:val="22"/>
          <w:szCs w:val="22"/>
          <w:shd w:fill="auto" w:val="clear"/>
          <w:vertAlign w:val="baseline"/>
        </w:rPr>
        <w:t xml:space="preserve"> </w:t>
      </w:r>
      <w:r>
        <w:rPr>
          <w:rFonts w:eastAsia="DejaVu Sans" w:cs="DejaVu Sans" w:ascii="arial" w:hAnsi="arial"/>
          <w:b w:val="false"/>
          <w:bCs w:val="false"/>
          <w:i w:val="false"/>
          <w:iCs w:val="false"/>
          <w:color w:val="000000"/>
          <w:position w:val="0"/>
          <w:sz w:val="22"/>
          <w:sz w:val="22"/>
          <w:szCs w:val="22"/>
          <w:shd w:fill="auto" w:val="clear"/>
          <w:vertAlign w:val="baseline"/>
        </w:rPr>
        <w:t>was calculated for each gene (</w:t>
      </w:r>
      <w:r>
        <w:rPr>
          <w:rFonts w:eastAsia="DejaVu Sans" w:cs="DejaVu Sans" w:ascii="arial" w:hAnsi="arial"/>
          <w:b w:val="false"/>
          <w:bCs w:val="false"/>
          <w:i/>
          <w:iCs/>
          <w:color w:val="000000"/>
          <w:position w:val="0"/>
          <w:sz w:val="22"/>
          <w:sz w:val="22"/>
          <w:szCs w:val="22"/>
          <w:shd w:fill="auto" w:val="clear"/>
          <w:vertAlign w:val="baseline"/>
        </w:rPr>
        <w:t>n</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 84) in CD and HHC from self-mapping data. Highlighted and labeled genes exhibit significant divergence from neutral selection (</w:t>
      </w:r>
      <w:r>
        <w:rPr>
          <w:rFonts w:eastAsia="DejaVu Sans" w:cs="DejaVu Sans" w:ascii="arial" w:hAnsi="arial"/>
          <w:b w:val="false"/>
          <w:bCs w:val="false"/>
          <w:i/>
          <w:iCs/>
          <w:color w:val="000000"/>
          <w:position w:val="0"/>
          <w:sz w:val="22"/>
          <w:sz w:val="22"/>
          <w:szCs w:val="22"/>
          <w:shd w:fill="auto" w:val="clear"/>
          <w:vertAlign w:val="baseline"/>
        </w:rPr>
        <w:t>P</w:t>
      </w:r>
      <w:r>
        <w:rPr>
          <w:rFonts w:eastAsia="DejaVu Sans" w:cs="DejaVu Sans" w:ascii="arial" w:hAnsi="arial"/>
          <w:b w:val="false"/>
          <w:bCs w:val="false"/>
          <w:i/>
          <w:iCs/>
          <w:color w:val="000000"/>
          <w:sz w:val="22"/>
          <w:szCs w:val="22"/>
          <w:shd w:fill="auto" w:val="clear"/>
          <w:vertAlign w:val="subscript"/>
        </w:rPr>
        <w:t>n</w:t>
      </w:r>
      <w:r>
        <w:rPr>
          <w:rFonts w:eastAsia="DejaVu Sans" w:cs="DejaVu Sans" w:ascii="arial" w:hAnsi="arial"/>
          <w:b w:val="false"/>
          <w:bCs w:val="false"/>
          <w:i/>
          <w:iCs/>
          <w:color w:val="000000"/>
          <w:position w:val="0"/>
          <w:sz w:val="22"/>
          <w:sz w:val="22"/>
          <w:szCs w:val="22"/>
          <w:shd w:fill="auto" w:val="clear"/>
          <w:vertAlign w:val="baseline"/>
        </w:rPr>
        <w:t>/P</w:t>
      </w:r>
      <w:r>
        <w:rPr>
          <w:rFonts w:eastAsia="DejaVu Sans" w:cs="DejaVu Sans" w:ascii="arial" w:hAnsi="arial"/>
          <w:b w:val="false"/>
          <w:bCs w:val="false"/>
          <w:i/>
          <w:iCs/>
          <w:color w:val="000000"/>
          <w:sz w:val="22"/>
          <w:szCs w:val="22"/>
          <w:shd w:fill="auto" w:val="clear"/>
          <w:vertAlign w:val="subscript"/>
        </w:rPr>
        <w:t>s</w:t>
      </w:r>
      <w:r>
        <w:rPr>
          <w:rFonts w:eastAsia="DejaVu Sans" w:cs="DejaVu Sans" w:ascii="arial" w:hAnsi="arial"/>
          <w:b w:val="false"/>
          <w:bCs w:val="false"/>
          <w:i/>
          <w:iCs/>
          <w:color w:val="000000"/>
          <w:position w:val="0"/>
          <w:sz w:val="22"/>
          <w:sz w:val="22"/>
          <w:szCs w:val="22"/>
          <w:shd w:fill="auto" w:val="clear"/>
          <w:vertAlign w:val="baseline"/>
        </w:rPr>
        <w:t xml:space="preserve"> </w:t>
      </w:r>
      <w:r>
        <w:rPr>
          <w:rFonts w:eastAsia="DejaVu Sans" w:cs="DejaVu Sans" w:ascii="arial" w:hAnsi="arial"/>
          <w:b w:val="false"/>
          <w:bCs w:val="false"/>
          <w:i w:val="false"/>
          <w:iCs w:val="false"/>
          <w:color w:val="000000"/>
          <w:position w:val="0"/>
          <w:sz w:val="22"/>
          <w:sz w:val="22"/>
          <w:szCs w:val="22"/>
          <w:shd w:fill="auto" w:val="clear"/>
          <w:vertAlign w:val="baseline"/>
        </w:rPr>
        <w:t>= 1) in HHC VT samples. A pseudocount of 10</w:t>
      </w:r>
      <w:r>
        <w:rPr>
          <w:rFonts w:eastAsia="DejaVu Sans" w:cs="DejaVu Sans" w:ascii="arial" w:hAnsi="arial"/>
          <w:b w:val="false"/>
          <w:bCs w:val="false"/>
          <w:i w:val="false"/>
          <w:iCs w:val="false"/>
          <w:color w:val="000000"/>
          <w:sz w:val="22"/>
          <w:szCs w:val="22"/>
          <w:shd w:fill="auto" w:val="clear"/>
          <w:vertAlign w:val="superscript"/>
        </w:rPr>
        <w:t>-7</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was applied to all genes. No genes were significantly different from neutral selection in CD VT. Significant genes were identified by Wilcoxon signed-rank test with Benjamini-Hochberg False Discovery Rate multiple testing corrections</w:t>
      </w:r>
      <w:r>
        <w:rPr>
          <w:rFonts w:eastAsia="DejaVu Sans" w:cs="DejaVu Sans" w:ascii="arial" w:hAnsi="arial"/>
          <w:b w:val="false"/>
          <w:bCs w:val="false"/>
          <w:i/>
          <w:iCs/>
          <w:color w:val="000000"/>
          <w:position w:val="0"/>
          <w:sz w:val="22"/>
          <w:sz w:val="22"/>
          <w:szCs w:val="22"/>
          <w:shd w:fill="auto" w:val="clear"/>
          <w:vertAlign w:val="baseline"/>
        </w:rPr>
        <w:t xml:space="preserve"> q</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&lt; 0.05. </w:t>
      </w:r>
      <w:r>
        <w:rPr>
          <w:rFonts w:eastAsia="DejaVu Sans" w:cs="DejaVu Sans" w:ascii="arial" w:hAnsi="arial"/>
          <w:b/>
          <w:bCs/>
          <w:i w:val="false"/>
          <w:iCs w:val="false"/>
          <w:color w:val="000000"/>
          <w:position w:val="0"/>
          <w:sz w:val="22"/>
          <w:sz w:val="22"/>
          <w:szCs w:val="22"/>
          <w:shd w:fill="auto" w:val="clear"/>
          <w:vertAlign w:val="baseline"/>
        </w:rPr>
        <w:t xml:space="preserve">(D) </w:t>
      </w:r>
      <w:r>
        <w:rPr>
          <w:rFonts w:eastAsia="DejaVu Sans" w:cs="DejaVu Sans" w:ascii="arial" w:hAnsi="arial"/>
          <w:b w:val="false"/>
          <w:bCs w:val="false"/>
          <w:i w:val="false"/>
          <w:iCs w:val="false"/>
          <w:color w:val="000000"/>
          <w:position w:val="0"/>
          <w:sz w:val="22"/>
          <w:sz w:val="22"/>
          <w:szCs w:val="22"/>
          <w:shd w:fill="auto" w:val="clear"/>
          <w:vertAlign w:val="baseline"/>
        </w:rPr>
        <w:t>Volcano plot of effect size and significance of nucleotide diversity (</w:t>
      </w:r>
      <w:r>
        <w:rPr>
          <w:rFonts w:eastAsia="DejaVu Sans" w:cs="DejaVu Sans" w:ascii="arial" w:hAnsi="arial"/>
          <w:b w:val="false"/>
          <w:bCs w:val="false"/>
          <w:i/>
          <w:iCs/>
          <w:color w:val="000000"/>
          <w:position w:val="0"/>
          <w:sz w:val="22"/>
          <w:sz w:val="22"/>
          <w:szCs w:val="22"/>
          <w:shd w:fill="auto" w:val="clear"/>
          <w:vertAlign w:val="baseline"/>
        </w:rPr>
        <w:t>π</w:t>
      </w:r>
      <w:r>
        <w:rPr>
          <w:rFonts w:eastAsia="DejaVu Sans" w:cs="DejaVu Sans" w:ascii="arial" w:hAnsi="arial"/>
          <w:b w:val="false"/>
          <w:bCs w:val="false"/>
          <w:i w:val="false"/>
          <w:iCs w:val="false"/>
          <w:color w:val="000000"/>
          <w:position w:val="0"/>
          <w:sz w:val="22"/>
          <w:sz w:val="22"/>
          <w:szCs w:val="22"/>
          <w:shd w:fill="auto" w:val="clear"/>
          <w:vertAlign w:val="baseline"/>
        </w:rPr>
        <w:t>) for all BV01 genes (</w:t>
      </w:r>
      <w:r>
        <w:rPr>
          <w:rFonts w:eastAsia="DejaVu Sans" w:cs="DejaVu Sans" w:ascii="arial" w:hAnsi="arial"/>
          <w:b w:val="false"/>
          <w:bCs w:val="false"/>
          <w:i/>
          <w:iCs/>
          <w:color w:val="000000"/>
          <w:position w:val="0"/>
          <w:sz w:val="22"/>
          <w:sz w:val="22"/>
          <w:szCs w:val="22"/>
          <w:shd w:fill="auto" w:val="clear"/>
          <w:vertAlign w:val="baseline"/>
        </w:rPr>
        <w:t xml:space="preserve">n </w:t>
      </w:r>
      <w:r>
        <w:rPr>
          <w:rFonts w:eastAsia="DejaVu Sans" w:cs="DejaVu Sans" w:ascii="arial" w:hAnsi="arial"/>
          <w:b w:val="false"/>
          <w:bCs w:val="false"/>
          <w:i w:val="false"/>
          <w:iCs w:val="false"/>
          <w:color w:val="000000"/>
          <w:position w:val="0"/>
          <w:sz w:val="22"/>
          <w:sz w:val="22"/>
          <w:szCs w:val="22"/>
          <w:shd w:fill="auto" w:val="clear"/>
          <w:vertAlign w:val="baseline"/>
        </w:rPr>
        <w:t>= 84) based on BV01-mapping. Statistical significance was calculated using a two-sided Fisher’s exact test. Effect sizes are expressed on the horizontal axis as the log</w:t>
      </w:r>
      <w:r>
        <w:rPr>
          <w:rFonts w:eastAsia="DejaVu Sans" w:cs="DejaVu Sans" w:ascii="arial" w:hAnsi="arial"/>
          <w:b w:val="false"/>
          <w:bCs w:val="false"/>
          <w:i w:val="false"/>
          <w:iCs w:val="false"/>
          <w:color w:val="000000"/>
          <w:sz w:val="22"/>
          <w:szCs w:val="22"/>
          <w:shd w:fill="auto" w:val="clear"/>
          <w:vertAlign w:val="subscript"/>
        </w:rPr>
        <w:t>2</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-fold change between CD and HHC. Highlighted points indicate genes crossing a nominal significance threshold of raw </w:t>
      </w:r>
      <w:r>
        <w:rPr>
          <w:rFonts w:eastAsia="DejaVu Sans" w:cs="DejaVu Sans" w:ascii="arial" w:hAnsi="arial"/>
          <w:b w:val="false"/>
          <w:bCs w:val="false"/>
          <w:i/>
          <w:iCs/>
          <w:color w:val="000000"/>
          <w:position w:val="0"/>
          <w:sz w:val="22"/>
          <w:sz w:val="22"/>
          <w:szCs w:val="22"/>
          <w:shd w:fill="auto" w:val="clear"/>
          <w:vertAlign w:val="baseline"/>
        </w:rPr>
        <w:t>p</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&lt; 0.05. </w:t>
      </w:r>
      <w:r>
        <w:rPr>
          <w:rFonts w:eastAsia="DejaVu Sans" w:cs="DejaVu Sans" w:ascii="arial" w:hAnsi="arial"/>
          <w:b/>
          <w:bCs/>
          <w:i w:val="false"/>
          <w:iCs w:val="false"/>
          <w:color w:val="000000"/>
          <w:position w:val="0"/>
          <w:sz w:val="22"/>
          <w:sz w:val="22"/>
          <w:szCs w:val="22"/>
          <w:shd w:fill="auto" w:val="clear"/>
          <w:vertAlign w:val="baseline"/>
        </w:rPr>
        <w:t xml:space="preserve">(E) </w:t>
      </w:r>
      <w:r>
        <w:rPr>
          <w:rFonts w:eastAsia="DejaVu Sans" w:cs="DejaVu Sans" w:ascii="arial" w:hAnsi="arial"/>
          <w:b w:val="false"/>
          <w:bCs w:val="false"/>
          <w:i w:val="false"/>
          <w:iCs w:val="false"/>
          <w:color w:val="000000"/>
          <w:position w:val="0"/>
          <w:sz w:val="22"/>
          <w:sz w:val="22"/>
          <w:szCs w:val="22"/>
          <w:shd w:fill="auto" w:val="clear"/>
          <w:vertAlign w:val="baseline"/>
        </w:rPr>
        <w:t>Volcano plot of effect size and significance of mutation density for all BV01 genes (</w:t>
      </w:r>
      <w:r>
        <w:rPr>
          <w:rFonts w:eastAsia="DejaVu Sans" w:cs="DejaVu Sans" w:ascii="arial" w:hAnsi="arial"/>
          <w:b w:val="false"/>
          <w:bCs w:val="false"/>
          <w:i/>
          <w:iCs/>
          <w:color w:val="000000"/>
          <w:position w:val="0"/>
          <w:sz w:val="22"/>
          <w:sz w:val="22"/>
          <w:szCs w:val="22"/>
          <w:shd w:fill="auto" w:val="clear"/>
          <w:vertAlign w:val="baseline"/>
        </w:rPr>
        <w:t xml:space="preserve">n </w:t>
      </w:r>
      <w:r>
        <w:rPr>
          <w:rFonts w:eastAsia="DejaVu Sans" w:cs="DejaVu Sans" w:ascii="arial" w:hAnsi="arial"/>
          <w:b w:val="false"/>
          <w:bCs w:val="false"/>
          <w:i w:val="false"/>
          <w:iCs w:val="false"/>
          <w:color w:val="000000"/>
          <w:position w:val="0"/>
          <w:sz w:val="22"/>
          <w:sz w:val="22"/>
          <w:szCs w:val="22"/>
          <w:shd w:fill="auto" w:val="clear"/>
          <w:vertAlign w:val="baseline"/>
        </w:rPr>
        <w:t>= 84) based on BV01-mapping. Statistical significance was calculated using a two-sided Fisher’s exact test. Effect sizes are expressed on the horizontal axis as the log</w:t>
      </w:r>
      <w:r>
        <w:rPr>
          <w:rFonts w:eastAsia="DejaVu Sans" w:cs="DejaVu Sans" w:ascii="arial" w:hAnsi="arial"/>
          <w:b w:val="false"/>
          <w:bCs w:val="false"/>
          <w:i w:val="false"/>
          <w:iCs w:val="false"/>
          <w:color w:val="000000"/>
          <w:sz w:val="22"/>
          <w:szCs w:val="22"/>
          <w:shd w:fill="auto" w:val="clear"/>
          <w:vertAlign w:val="subscript"/>
        </w:rPr>
        <w:t>2</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-fold change between CD and HHC. Highlighted points indicate genes crossing a nominal significance threshold of raw </w:t>
      </w:r>
      <w:r>
        <w:rPr>
          <w:rFonts w:eastAsia="DejaVu Sans" w:cs="DejaVu Sans" w:ascii="arial" w:hAnsi="arial"/>
          <w:b w:val="false"/>
          <w:bCs w:val="false"/>
          <w:i/>
          <w:iCs/>
          <w:color w:val="000000"/>
          <w:position w:val="0"/>
          <w:sz w:val="22"/>
          <w:sz w:val="22"/>
          <w:szCs w:val="22"/>
          <w:shd w:fill="auto" w:val="clear"/>
          <w:vertAlign w:val="baseline"/>
        </w:rPr>
        <w:t>p</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&lt; 0.05. </w:t>
      </w:r>
      <w:r>
        <w:rPr>
          <w:rFonts w:eastAsia="DejaVu Sans" w:cs="DejaVu Sans" w:ascii="arial" w:hAnsi="arial"/>
          <w:b/>
          <w:bCs/>
          <w:i w:val="false"/>
          <w:iCs w:val="false"/>
          <w:color w:val="000000"/>
          <w:position w:val="0"/>
          <w:sz w:val="22"/>
          <w:sz w:val="22"/>
          <w:szCs w:val="22"/>
          <w:shd w:fill="auto" w:val="clear"/>
          <w:vertAlign w:val="baseline"/>
        </w:rPr>
        <w:t xml:space="preserve">(F) </w:t>
      </w:r>
      <w:r>
        <w:rPr>
          <w:rFonts w:eastAsia="DejaVu Sans" w:cs="DejaVu Sans" w:ascii="arial" w:hAnsi="arial"/>
          <w:b w:val="false"/>
          <w:bCs w:val="false"/>
          <w:i w:val="false"/>
          <w:iCs w:val="false"/>
          <w:color w:val="000000"/>
          <w:position w:val="0"/>
          <w:sz w:val="22"/>
          <w:sz w:val="22"/>
          <w:szCs w:val="22"/>
          <w:shd w:fill="auto" w:val="clear"/>
          <w:vertAlign w:val="baseline"/>
        </w:rPr>
        <w:t>Lollipop plots depicting mean allele frequency across samples and sample prevalence for additional proteins of interest. Blue indicates alleles in HHC; maroon indicates alleles in CD. Only nonsynonymous SNPs are shown.</w:t>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rPr/>
      </w:r>
    </w:p>
    <w:p>
      <w:pPr>
        <w:pStyle w:val="Normal"/>
        <w:bidi w:val="0"/>
        <w:spacing w:lineRule="auto" w:line="240" w:before="114" w:after="114"/>
        <w:jc w:val="both"/>
        <w:rPr>
          <w:rFonts w:ascii="arial" w:hAnsi="arial" w:eastAsia="DejaVu Sans" w:cs="DejaVu Sans"/>
          <w:b w:val="false"/>
          <w:b w:val="false"/>
          <w:bCs w:val="false"/>
          <w:i w:val="false"/>
          <w:i w:val="false"/>
          <w:iCs w:val="false"/>
          <w:color w:val="000000"/>
          <w:position w:val="0"/>
          <w:sz w:val="22"/>
          <w:sz w:val="22"/>
          <w:szCs w:val="22"/>
          <w:shd w:fill="auto" w:val="clear"/>
          <w:vertAlign w:val="baseline"/>
        </w:rPr>
      </w:pPr>
      <w: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6332220" cy="4594860"/>
            <wp:effectExtent l="0" t="0" r="0" b="0"/>
            <wp:wrapSquare wrapText="largest"/>
            <wp:docPr id="5"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title=""/>
                    <pic:cNvPicPr>
                      <a:picLocks noChangeAspect="1" noChangeArrowheads="1"/>
                    </pic:cNvPicPr>
                  </pic:nvPicPr>
                  <pic:blipFill>
                    <a:blip r:embed="rId6"/>
                    <a:stretch>
                      <a:fillRect/>
                    </a:stretch>
                  </pic:blipFill>
                  <pic:spPr bwMode="auto">
                    <a:xfrm>
                      <a:off x="0" y="0"/>
                      <a:ext cx="6332220" cy="4594860"/>
                    </a:xfrm>
                    <a:prstGeom prst="rect">
                      <a:avLst/>
                    </a:prstGeom>
                  </pic:spPr>
                </pic:pic>
              </a:graphicData>
            </a:graphic>
          </wp:anchor>
        </w:drawing>
      </w:r>
      <w:r>
        <w:rPr>
          <w:rFonts w:eastAsia="DejaVu Sans" w:cs="DejaVu Sans" w:ascii="arial" w:hAnsi="arial"/>
          <w:b/>
          <w:bCs/>
          <w:i w:val="false"/>
          <w:iCs w:val="false"/>
          <w:color w:val="000000"/>
          <w:position w:val="0"/>
          <w:sz w:val="22"/>
          <w:sz w:val="22"/>
          <w:szCs w:val="22"/>
          <w:shd w:fill="auto" w:val="clear"/>
          <w:vertAlign w:val="baseline"/>
        </w:rPr>
        <w:t>Figure S5.</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w:t>
      </w:r>
      <w:r>
        <w:rPr>
          <w:rFonts w:eastAsia="DejaVu Sans" w:cs="DejaVu Sans" w:ascii="arial" w:hAnsi="arial"/>
          <w:b/>
          <w:bCs/>
          <w:i w:val="false"/>
          <w:iCs w:val="false"/>
          <w:color w:val="000000"/>
          <w:position w:val="0"/>
          <w:sz w:val="22"/>
          <w:sz w:val="22"/>
          <w:szCs w:val="22"/>
          <w:shd w:fill="auto" w:val="clear"/>
          <w:vertAlign w:val="baseline"/>
        </w:rPr>
        <w:t>(A)</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ANI similarity matrix of all 11 PvIno1 genomes based on weighted ANI. ANI was calculated as the length-weighted average nucleotide identity of reciprocal local alignments  &gt;500 bp based on reciprocal BLASTn</w:t>
      </w:r>
      <w:r>
        <w:rPr>
          <w:rFonts w:eastAsia="DejaVu Sans" w:cs="DejaVu Sans" w:ascii="arial" w:hAnsi="arial"/>
          <w:b w:val="false"/>
          <w:bCs w:val="false"/>
          <w:i w:val="false"/>
          <w:iCs w:val="false"/>
          <w:color w:val="000000"/>
          <w:sz w:val="22"/>
          <w:szCs w:val="22"/>
          <w:shd w:fill="auto" w:val="clear"/>
          <w:vertAlign w:val="superscript"/>
        </w:rPr>
        <w:t>33</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outputs. </w:t>
      </w:r>
      <w:r>
        <w:rPr>
          <w:rFonts w:eastAsia="DejaVu Sans" w:cs="DejaVu Sans" w:ascii="arial" w:hAnsi="arial"/>
          <w:b/>
          <w:bCs/>
          <w:i w:val="false"/>
          <w:iCs w:val="false"/>
          <w:color w:val="000000"/>
          <w:position w:val="0"/>
          <w:sz w:val="22"/>
          <w:sz w:val="22"/>
          <w:szCs w:val="22"/>
          <w:shd w:fill="auto" w:val="clear"/>
          <w:vertAlign w:val="baseline"/>
        </w:rPr>
        <w:t xml:space="preserve">(B) </w:t>
      </w:r>
      <w:r>
        <w:rPr>
          <w:rFonts w:eastAsia="DejaVu Sans" w:cs="DejaVu Sans" w:ascii="arial" w:hAnsi="arial"/>
          <w:b w:val="false"/>
          <w:bCs w:val="false"/>
          <w:i w:val="false"/>
          <w:iCs w:val="false"/>
          <w:color w:val="000000"/>
          <w:position w:val="0"/>
          <w:sz w:val="22"/>
          <w:sz w:val="22"/>
          <w:szCs w:val="22"/>
          <w:shd w:fill="auto" w:val="clear"/>
          <w:vertAlign w:val="baseline"/>
        </w:rPr>
        <w:t>Protein-similarity alignment of all pvIno1 genomes. The alignment was generated with Clinker</w:t>
      </w:r>
      <w:r>
        <w:rPr>
          <w:rFonts w:eastAsia="DejaVu Sans" w:cs="DejaVu Sans" w:ascii="arial" w:hAnsi="arial"/>
          <w:b w:val="false"/>
          <w:bCs w:val="false"/>
          <w:i w:val="false"/>
          <w:iCs w:val="false"/>
          <w:color w:val="000000"/>
          <w:sz w:val="22"/>
          <w:szCs w:val="22"/>
          <w:shd w:fill="auto" w:val="clear"/>
          <w:vertAlign w:val="superscript"/>
        </w:rPr>
        <w:t>71</w:t>
      </w:r>
      <w:r>
        <w:rPr>
          <w:rFonts w:eastAsia="DejaVu Sans" w:cs="DejaVu Sans" w:ascii="arial" w:hAnsi="arial"/>
          <w:b w:val="false"/>
          <w:bCs w:val="false"/>
          <w:i w:val="false"/>
          <w:iCs w:val="false"/>
          <w:color w:val="000000"/>
          <w:position w:val="0"/>
          <w:sz w:val="22"/>
          <w:sz w:val="22"/>
          <w:szCs w:val="22"/>
          <w:shd w:fill="auto" w:val="clear"/>
          <w:vertAlign w:val="baseline"/>
        </w:rPr>
        <w:t xml:space="preserve">. </w:t>
      </w:r>
      <w:r>
        <w:rPr>
          <w:rFonts w:eastAsia="DejaVu Sans" w:cs="DejaVu Sans" w:ascii="arial" w:hAnsi="arial"/>
          <w:b/>
          <w:bCs/>
          <w:i w:val="false"/>
          <w:iCs w:val="false"/>
          <w:color w:val="000000"/>
          <w:position w:val="0"/>
          <w:sz w:val="22"/>
          <w:sz w:val="22"/>
          <w:szCs w:val="22"/>
          <w:shd w:fill="auto" w:val="clear"/>
          <w:vertAlign w:val="baseline"/>
        </w:rPr>
        <w:t xml:space="preserve">(C) </w:t>
      </w:r>
      <w:r>
        <w:rPr>
          <w:rFonts w:eastAsia="DejaVu Sans" w:cs="DejaVu Sans" w:ascii="arial" w:hAnsi="arial"/>
          <w:b w:val="false"/>
          <w:bCs w:val="false"/>
          <w:i w:val="false"/>
          <w:iCs w:val="false"/>
          <w:color w:val="000000"/>
          <w:position w:val="0"/>
          <w:sz w:val="22"/>
          <w:sz w:val="22"/>
          <w:szCs w:val="22"/>
          <w:shd w:fill="auto" w:val="clear"/>
          <w:vertAlign w:val="baseline"/>
        </w:rPr>
        <w:t>Raw coverage curve of PvIno1 representative contig Pv_CD_3_k141_801 by individual CD VT fractions.</w:t>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start"/>
    </w:pPr>
    <w:rPr>
      <w:rFonts w:ascii="Liberation Serif" w:hAnsi="Liberation Serif" w:eastAsia="Noto Serif CJK SC" w:cs="Lohit Devanagari"/>
      <w:color w:val="auto"/>
      <w:kern w:val="2"/>
      <w:sz w:val="24"/>
      <w:szCs w:val="24"/>
      <w:lang w:val="en-US" w:eastAsia="zh-CN" w:bidi="hi-IN"/>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General</Template>
  <TotalTime>2686</TotalTime>
  <Application>LibreOffice/7.3.7.2$Linux_X86_64 LibreOffice_project/30$Build-2</Application>
  <AppVersion>15.0000</AppVersion>
  <Pages>8</Pages>
  <Words>858</Words>
  <Characters>4775</Characters>
  <CharactersWithSpaces>5629</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2026-07-14T11:02:41Z</dcterms:created>
  <dc:creator/>
  <dc:description/>
  <dc:language>en-US</dc:language>
  <cp:lastModifiedBy/>
  <dcterms:modified xsi:type="dcterms:W3CDTF">2026-08-27T17:58:06Z</dcterms:modified>
  <cp:revision>48</cp:revision>
  <dc:subject/>
  <dc:title>General</dc:title>
</cp:coreProperties>
</file>

<file path=docProps/custom.xml><?xml version="1.0" encoding="utf-8"?>
<Properties xmlns="http://schemas.openxmlformats.org/officeDocument/2006/custom-properties" xmlns:vt="http://schemas.openxmlformats.org/officeDocument/2006/docPropsVTypes"/>
</file>