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4115" w:rsidP="346E14C0" w:rsidRDefault="00B84115" w14:paraId="2C078E63" w14:textId="5D0241E8">
      <w:pPr>
        <w:keepNext w:val="1"/>
        <w:keepLines w:val="1"/>
        <w:widowControl w:val="0"/>
        <w:rPr>
          <w:rFonts w:ascii="Times New Roman" w:hAnsi="Times New Roman" w:eastAsia="Times New Roman" w:cs="Times New Roman"/>
          <w:color w:val="000000" w:themeColor="text1" w:themeTint="FF" w:themeShade="FF"/>
        </w:rPr>
      </w:pPr>
      <w:r w:rsidRPr="346E14C0" w:rsidR="4698D36A">
        <w:rPr>
          <w:rFonts w:ascii="Times New Roman" w:hAnsi="Times New Roman" w:eastAsia="Times New Roman" w:cs="Times New Roman"/>
          <w:color w:val="000000" w:themeColor="text1" w:themeTint="FF" w:themeShade="FF"/>
        </w:rPr>
        <w:t xml:space="preserve">Lymphoma Response to Immunomodulatory Therapy Criteria [ LYRIC] (adapted from Cheson </w:t>
      </w:r>
      <w:r w:rsidRPr="346E14C0" w:rsidR="4698D36A">
        <w:rPr>
          <w:rFonts w:ascii="Times New Roman" w:hAnsi="Times New Roman" w:eastAsia="Times New Roman" w:cs="Times New Roman"/>
          <w:i w:val="1"/>
          <w:iCs w:val="1"/>
          <w:color w:val="000000" w:themeColor="text1" w:themeTint="FF" w:themeShade="FF"/>
        </w:rPr>
        <w:t xml:space="preserve">et al., </w:t>
      </w:r>
      <w:r w:rsidRPr="346E14C0" w:rsidR="4698D36A">
        <w:rPr>
          <w:rFonts w:ascii="Times New Roman" w:hAnsi="Times New Roman" w:eastAsia="Times New Roman" w:cs="Times New Roman"/>
          <w:color w:val="000000" w:themeColor="text1" w:themeTint="FF" w:themeShade="FF"/>
        </w:rPr>
        <w:t xml:space="preserve">2016)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693"/>
        <w:gridCol w:w="3996"/>
        <w:gridCol w:w="3655"/>
      </w:tblGrid>
      <w:tr w:rsidR="6860D08D" w:rsidTr="6860D08D" w14:paraId="30EEB8FF" w14:textId="77777777">
        <w:trPr>
          <w:trHeight w:val="57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tcPr>
          <w:p w:rsidR="6860D08D" w:rsidP="6860D08D" w:rsidRDefault="6860D08D" w14:paraId="717CBE4B" w14:textId="743D5A0B">
            <w:pPr>
              <w:widowControl w:val="0"/>
              <w:rPr>
                <w:rFonts w:ascii="Times New Roman" w:hAnsi="Times New Roman" w:eastAsia="Times New Roman" w:cs="Times New Roman"/>
                <w:color w:val="000000" w:themeColor="text1"/>
              </w:rPr>
            </w:pP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BAD537A" w14:textId="5610908C">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PET-CT Based Response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0653165" w14:textId="6816C8CA">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CT-Based Response</w:t>
            </w:r>
          </w:p>
        </w:tc>
      </w:tr>
      <w:tr w:rsidR="6860D08D" w:rsidTr="6860D08D" w14:paraId="4CDEDE78" w14:textId="77777777">
        <w:trPr>
          <w:trHeight w:val="300"/>
        </w:trPr>
        <w:tc>
          <w:tcPr>
            <w:tcW w:w="169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57F6DCAD" w14:textId="2C486B8E">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Complete Response (CR)</w:t>
            </w:r>
          </w:p>
        </w:tc>
        <w:tc>
          <w:tcPr>
            <w:tcW w:w="42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24074361" w14:textId="17ACD398">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Complete metabolic response (CMR)</w:t>
            </w:r>
          </w:p>
        </w:tc>
        <w:tc>
          <w:tcPr>
            <w:tcW w:w="39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3AD08AF5" w14:textId="24BB5A2B">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Complete radiologic response (CR)</w:t>
            </w:r>
          </w:p>
          <w:p w:rsidR="6860D08D" w:rsidP="6860D08D" w:rsidRDefault="6860D08D" w14:paraId="093A6935" w14:textId="66CA1941">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(all of the following)</w:t>
            </w:r>
          </w:p>
        </w:tc>
      </w:tr>
      <w:tr w:rsidR="6860D08D" w:rsidTr="6860D08D" w14:paraId="2597C710"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67D4B581" w14:textId="77227F45">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xml:space="preserve">Lymph nodes and extra lymphatic sites </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446FD22" w14:textId="5BA69684">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Score 1, 2, or 3</w:t>
            </w:r>
            <w:r w:rsidRPr="6860D08D">
              <w:rPr>
                <w:rFonts w:ascii="Times New Roman" w:hAnsi="Times New Roman" w:eastAsia="Times New Roman" w:cs="Times New Roman"/>
                <w:color w:val="000000" w:themeColor="text1"/>
                <w:vertAlign w:val="superscript"/>
              </w:rPr>
              <w:t>a</w:t>
            </w:r>
            <w:r w:rsidRPr="6860D08D">
              <w:rPr>
                <w:rFonts w:ascii="Times New Roman" w:hAnsi="Times New Roman" w:eastAsia="Times New Roman" w:cs="Times New Roman"/>
                <w:color w:val="000000" w:themeColor="text1"/>
              </w:rPr>
              <w:t xml:space="preserve"> with or without a residual mass on 5PS†</w:t>
            </w:r>
          </w:p>
          <w:p w:rsidR="6860D08D" w:rsidP="6860D08D" w:rsidRDefault="6860D08D" w14:paraId="65366769" w14:textId="77588BA8">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It is recognized that in Waldeyer’s ring or extranodal sites with high physiologic uptake or with activation within spleen or marrow (</w:t>
            </w:r>
            <w:r w:rsidRPr="6860D08D">
              <w:rPr>
                <w:rFonts w:ascii="Times New Roman" w:hAnsi="Times New Roman" w:eastAsia="Times New Roman" w:cs="Times New Roman"/>
                <w:i/>
                <w:iCs/>
                <w:color w:val="000000" w:themeColor="text1"/>
              </w:rPr>
              <w:t>e.g.,</w:t>
            </w:r>
            <w:r w:rsidRPr="6860D08D">
              <w:rPr>
                <w:rFonts w:ascii="Times New Roman" w:hAnsi="Times New Roman" w:eastAsia="Times New Roman" w:cs="Times New Roman"/>
                <w:color w:val="000000" w:themeColor="text1"/>
              </w:rPr>
              <w:t xml:space="preserve"> with chemotherapy or myeloid colony-stimulating factors), uptake may be greater than normal mediastinum and/or liver. In this circumstance, complete metabolic response may be inferred if uptake at sites of initial involvement is no greater than surrounding normal tissue even if the tissue has high physiologic uptake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1E49540" w14:textId="703D863E">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Target nodes/nodal masses must regress to ≤ 1.5 cm in LDi</w:t>
            </w:r>
          </w:p>
          <w:p w:rsidR="6860D08D" w:rsidP="6860D08D" w:rsidRDefault="6860D08D" w14:paraId="7744303D" w14:textId="6DAD5B79">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 extra lymphatic sites of disease</w:t>
            </w:r>
          </w:p>
        </w:tc>
      </w:tr>
      <w:tr w:rsidR="6860D08D" w:rsidTr="6860D08D" w14:paraId="73FA3A56"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40B0E4F" w14:textId="699089A8">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Non-measured lesion</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C8D3008" w14:textId="04B8AB52">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Not applicable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52F88D75" w14:textId="00725AED">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Absent</w:t>
            </w:r>
          </w:p>
        </w:tc>
      </w:tr>
      <w:tr w:rsidR="6860D08D" w:rsidTr="6860D08D" w14:paraId="003B4282"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0FE5CDB8" w14:textId="2B9CE3A3">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Organ enlargement</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BB903DA" w14:textId="692E9E3F">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Not applicable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0510FB7D" w14:textId="36285E0F">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Regress to normal</w:t>
            </w:r>
          </w:p>
        </w:tc>
      </w:tr>
      <w:tr w:rsidR="6860D08D" w:rsidTr="6860D08D" w14:paraId="6C68408F"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F856C96" w14:textId="28C115AB">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lesions</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04E0C8F" w14:textId="5D71B380">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D403898" w14:textId="23C18CD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None</w:t>
            </w:r>
          </w:p>
        </w:tc>
      </w:tr>
      <w:tr w:rsidR="6860D08D" w:rsidTr="6860D08D" w14:paraId="21403067"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39153CDF" w14:textId="2896E360">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Bone marrow</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2A4921C8" w14:textId="1F147E0D">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 evidence of FDG-avid disease in marrow</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2C15DA5C" w14:textId="75DF14CD">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Normal by morphology; if indeterminate, IHC negative</w:t>
            </w:r>
          </w:p>
        </w:tc>
      </w:tr>
      <w:tr w:rsidR="6860D08D" w:rsidTr="6860D08D" w14:paraId="3445DDFF" w14:textId="77777777">
        <w:trPr>
          <w:trHeight w:val="300"/>
        </w:trPr>
        <w:tc>
          <w:tcPr>
            <w:tcW w:w="169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677F5C92" w14:textId="559D0979">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Partial Response</w:t>
            </w:r>
          </w:p>
          <w:p w:rsidR="6860D08D" w:rsidP="6860D08D" w:rsidRDefault="6860D08D" w14:paraId="02F3BFEF" w14:textId="011F3680">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(PR)</w:t>
            </w:r>
          </w:p>
        </w:tc>
        <w:tc>
          <w:tcPr>
            <w:tcW w:w="42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7DF22F69" w14:textId="2880EA5D">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Partial metabolic response (PMR)</w:t>
            </w:r>
          </w:p>
        </w:tc>
        <w:tc>
          <w:tcPr>
            <w:tcW w:w="39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60F5C2E2" w14:textId="5C0601FC">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Partial remission (PR)</w:t>
            </w:r>
          </w:p>
          <w:p w:rsidR="6860D08D" w:rsidP="6860D08D" w:rsidRDefault="6860D08D" w14:paraId="6970A04E" w14:textId="08E5B4E6">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(all of the following)</w:t>
            </w:r>
          </w:p>
        </w:tc>
      </w:tr>
      <w:tr w:rsidR="6860D08D" w:rsidTr="6860D08D" w14:paraId="09D93162"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ED84072" w14:textId="7D26A68A">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xml:space="preserve"> Lymph nodes and extra lymphatic sites </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6A65A65A" w14:textId="1B28F13F">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Score 4 or 5† with reduced uptake compared with baseline and residual mass(es) of any size</w:t>
            </w:r>
          </w:p>
          <w:p w:rsidR="6860D08D" w:rsidP="6860D08D" w:rsidRDefault="6860D08D" w14:paraId="49C2F6E5" w14:textId="51DAD755">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At interim, these findings suggest responding disease</w:t>
            </w:r>
          </w:p>
          <w:p w:rsidR="6860D08D" w:rsidP="6860D08D" w:rsidRDefault="6860D08D" w14:paraId="02B267AE" w14:textId="3754509E">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At end of treatment, these findings indicate residual disease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20A5485C" w14:textId="53C3E360">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50% decrease in SPD of up to 6 target measurable nodes and extranodal sites</w:t>
            </w:r>
          </w:p>
          <w:p w:rsidR="6860D08D" w:rsidP="6860D08D" w:rsidRDefault="6860D08D" w14:paraId="29F846B3" w14:textId="131471E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When a lesion is too small to measure on CT, assign 5 mm X 5 mm as the default value</w:t>
            </w:r>
          </w:p>
          <w:p w:rsidR="6860D08D" w:rsidP="6860D08D" w:rsidRDefault="6860D08D" w14:paraId="3651A0A4" w14:textId="71E027ED">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When no longer visible, 0 X 0 mm</w:t>
            </w:r>
          </w:p>
          <w:p w:rsidR="6860D08D" w:rsidP="6860D08D" w:rsidRDefault="6860D08D" w14:paraId="4B466612" w14:textId="42A7C1FE">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For a node &gt; 5 mm X 5 mm, but smaller than normal, use actual measurement for calculation</w:t>
            </w:r>
          </w:p>
        </w:tc>
      </w:tr>
      <w:tr w:rsidR="6860D08D" w:rsidTr="6860D08D" w14:paraId="7917B7D1"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3240924B" w14:textId="1DF4D5EE">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Non-measured lesions</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60D6CA96" w14:textId="25EEECE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Not applicable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EA2EE66" w14:textId="1C0B32E7">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Absent/normal, regressed, but no increase</w:t>
            </w:r>
          </w:p>
        </w:tc>
      </w:tr>
      <w:tr w:rsidR="6860D08D" w:rsidTr="6860D08D" w14:paraId="393F2C8C"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51601347" w14:textId="398A1373">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Organ enlargement</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5157C4BB" w14:textId="458AABE1">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Not applicable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8F126F5" w14:textId="0928C795">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Spleen must have regressed by &gt; 50% in length beyond normal</w:t>
            </w:r>
          </w:p>
        </w:tc>
      </w:tr>
      <w:tr w:rsidR="6860D08D" w:rsidTr="6860D08D" w14:paraId="5D932924"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3A5583D0" w14:textId="58EC0C3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lesions</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3B8B1C5" w14:textId="4F4EC968">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5094BF03" w14:textId="6D4F3B28">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None</w:t>
            </w:r>
          </w:p>
        </w:tc>
      </w:tr>
      <w:tr w:rsidR="6860D08D" w:rsidTr="6860D08D" w14:paraId="0C45B550"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028C6BF5" w14:textId="055998BD">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xml:space="preserve">Bone marrow </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63F7FDC" w14:textId="0B1B60D5">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Residual uptake higher than uptake in normal marrow but reduced compared with baseline (diffuse uptake compatible with reactive changes from chemotherapy allowed). If there are persistent focal changes in the marrow in the context of a nodal response, consideration should be given to further evaluation with MRI or biopsy or an interval scan</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57A3219A" w14:textId="49132D1D">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xml:space="preserve">Not Applicable </w:t>
            </w:r>
          </w:p>
        </w:tc>
      </w:tr>
      <w:tr w:rsidR="6860D08D" w:rsidTr="6860D08D" w14:paraId="0389146A" w14:textId="77777777">
        <w:trPr>
          <w:trHeight w:val="300"/>
        </w:trPr>
        <w:tc>
          <w:tcPr>
            <w:tcW w:w="169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658D0717" w14:textId="0E4BEFEA">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No Response or Stable Disease</w:t>
            </w:r>
          </w:p>
        </w:tc>
        <w:tc>
          <w:tcPr>
            <w:tcW w:w="42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09CF096C" w14:textId="75F4353A">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No metabolic response (NMR)</w:t>
            </w:r>
          </w:p>
        </w:tc>
        <w:tc>
          <w:tcPr>
            <w:tcW w:w="39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090D0CDE" w14:textId="6FDABEB0">
            <w:pPr>
              <w:widowControl w:val="0"/>
              <w:jc w:val="center"/>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Stable disease (SD)</w:t>
            </w:r>
          </w:p>
        </w:tc>
      </w:tr>
      <w:tr w:rsidR="6860D08D" w:rsidTr="6860D08D" w14:paraId="4ED0D84F"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595C5469" w14:textId="5886314D">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Target nodes/nodal masses, extranodal lesions</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469F76D" w14:textId="55D6CCC7">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Score 4 or 5 with no significant change in FDG uptake from baseline at interim or end of treatment</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621C151" w14:textId="22F61E52">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&lt; 50% decrease from baseline in SPD of up to 6 dominant, measurable nodes and extranodal sites; no criteria for progressive disease are met</w:t>
            </w:r>
          </w:p>
        </w:tc>
      </w:tr>
      <w:tr w:rsidR="6860D08D" w:rsidTr="6860D08D" w14:paraId="1C975A23"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9C6A29F" w14:textId="550921A8">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Non-measured lesions</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680EAE2A" w14:textId="33AC50C4">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Not applicable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2FFB62B" w14:textId="3429A18B">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xml:space="preserve">No increase consistent with progression </w:t>
            </w:r>
          </w:p>
        </w:tc>
      </w:tr>
      <w:tr w:rsidR="6860D08D" w:rsidTr="6860D08D" w14:paraId="629916E8"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E424D11" w14:textId="4B9C2D50">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Organ enlargement</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39479B6E" w14:textId="7C3461DE">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Not applicable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5194BDC6" w14:textId="589036DC">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xml:space="preserve">No increase consistent with progression </w:t>
            </w:r>
          </w:p>
        </w:tc>
      </w:tr>
      <w:tr w:rsidR="6860D08D" w:rsidTr="6860D08D" w14:paraId="22CFE0C9"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7F6DD4D" w14:textId="324B59E8">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lesions</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843DBF3" w14:textId="2658F50F">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D689A86" w14:textId="4A9124AF">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None</w:t>
            </w:r>
          </w:p>
        </w:tc>
      </w:tr>
      <w:tr w:rsidR="6860D08D" w:rsidTr="6860D08D" w14:paraId="43D70977"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6C489D5E" w14:textId="4B8FCF8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xml:space="preserve">Bone marrow </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0F2A81DC" w14:textId="6616C7CA">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 change from baseline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46E6D34" w14:textId="11C68950">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Not Applicable</w:t>
            </w:r>
          </w:p>
        </w:tc>
      </w:tr>
      <w:tr w:rsidR="6860D08D" w:rsidTr="6860D08D" w14:paraId="5CF92C77" w14:textId="77777777">
        <w:trPr>
          <w:trHeight w:val="300"/>
        </w:trPr>
        <w:tc>
          <w:tcPr>
            <w:tcW w:w="169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3A26E8D7" w14:textId="4647E7DA">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Indeterminate Response (IR)</w:t>
            </w:r>
          </w:p>
        </w:tc>
        <w:tc>
          <w:tcPr>
            <w:tcW w:w="42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45143F87" w14:textId="48120B7E">
            <w:pPr>
              <w:widowControl w:val="0"/>
              <w:rPr>
                <w:rFonts w:ascii="Times New Roman" w:hAnsi="Times New Roman" w:eastAsia="Times New Roman" w:cs="Times New Roman"/>
                <w:color w:val="000000" w:themeColor="text1"/>
              </w:rPr>
            </w:pPr>
          </w:p>
        </w:tc>
        <w:tc>
          <w:tcPr>
            <w:tcW w:w="39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48439620" w14:textId="2A43457F">
            <w:pPr>
              <w:widowControl w:val="0"/>
              <w:rPr>
                <w:rFonts w:ascii="Times New Roman" w:hAnsi="Times New Roman" w:eastAsia="Times New Roman" w:cs="Times New Roman"/>
                <w:color w:val="000000" w:themeColor="text1"/>
              </w:rPr>
            </w:pPr>
          </w:p>
        </w:tc>
      </w:tr>
      <w:tr w:rsidR="6860D08D" w:rsidTr="6860D08D" w14:paraId="1FF7897E"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2061958E" w14:textId="773BB81A">
            <w:pPr>
              <w:widowControl w:val="0"/>
              <w:rPr>
                <w:rFonts w:ascii="Times New Roman" w:hAnsi="Times New Roman" w:eastAsia="Times New Roman" w:cs="Times New Roman"/>
                <w:color w:val="000000" w:themeColor="text1"/>
                <w:sz w:val="19"/>
                <w:szCs w:val="19"/>
              </w:rPr>
            </w:pPr>
            <w:r w:rsidRPr="6860D08D">
              <w:rPr>
                <w:rFonts w:ascii="Times New Roman" w:hAnsi="Times New Roman" w:eastAsia="Times New Roman" w:cs="Times New Roman"/>
                <w:color w:val="000000" w:themeColor="text1"/>
              </w:rPr>
              <w:t>IR(1)</w:t>
            </w:r>
            <w:r w:rsidRPr="6860D08D">
              <w:rPr>
                <w:rFonts w:ascii="Times New Roman" w:hAnsi="Times New Roman" w:eastAsia="Times New Roman" w:cs="Times New Roman"/>
                <w:color w:val="000000" w:themeColor="text1"/>
                <w:vertAlign w:val="superscript"/>
              </w:rPr>
              <w:t>b</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3D2FDE0C" w14:textId="55DCAFAC">
            <w:pPr>
              <w:widowControl w:val="0"/>
              <w:rPr>
                <w:rFonts w:ascii="Times New Roman" w:hAnsi="Times New Roman" w:eastAsia="Times New Roman" w:cs="Times New Roman"/>
                <w:color w:val="000000" w:themeColor="text1"/>
              </w:rPr>
            </w:pP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D398AC6" w14:textId="0859382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50% increase in SPD of up to 6 measurable lesions in first 12 weeks without clinical deterioration.</w:t>
            </w:r>
          </w:p>
          <w:p w:rsidR="6860D08D" w:rsidP="6860D08D" w:rsidRDefault="6860D08D" w14:paraId="20CE4E1F" w14:textId="32701CDF">
            <w:pPr>
              <w:widowControl w:val="0"/>
              <w:rPr>
                <w:rFonts w:ascii="Times New Roman" w:hAnsi="Times New Roman" w:eastAsia="Times New Roman" w:cs="Times New Roman"/>
                <w:color w:val="000000" w:themeColor="text1"/>
              </w:rPr>
            </w:pPr>
          </w:p>
          <w:p w:rsidR="6860D08D" w:rsidP="6860D08D" w:rsidRDefault="6860D08D" w14:paraId="4C394A89" w14:textId="532651EB">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u w:val="single"/>
              </w:rPr>
              <w:t>Note:</w:t>
            </w:r>
            <w:r w:rsidRPr="6860D08D">
              <w:rPr>
                <w:rFonts w:ascii="Times New Roman" w:hAnsi="Times New Roman" w:eastAsia="Times New Roman" w:cs="Times New Roman"/>
                <w:color w:val="000000" w:themeColor="text1"/>
              </w:rPr>
              <w:t xml:space="preserve"> The measurements from the first IR (1) time point becomes the reference against which future assessment will be compared.  An increase of ≥ 10% (in addition to an increase of ≥ 5 mm in either dimension of ≥ 1 lesion for lesions ≤ 2cm and 10 mm for lesions &gt; 2 cm) constitutes PD</w:t>
            </w:r>
          </w:p>
        </w:tc>
      </w:tr>
      <w:tr w:rsidR="6860D08D" w:rsidTr="6860D08D" w14:paraId="2659C939"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25A8157" w14:textId="39932404">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IR(2)</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B6B1EC9" w14:textId="700BB719">
            <w:pPr>
              <w:widowControl w:val="0"/>
              <w:rPr>
                <w:rFonts w:ascii="Times New Roman" w:hAnsi="Times New Roman" w:eastAsia="Times New Roman" w:cs="Times New Roman"/>
                <w:color w:val="000000" w:themeColor="text1"/>
              </w:rPr>
            </w:pP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7D132FEF" w14:textId="0A2FBF1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&lt; 50% increase in SPD of up to 6 measurable lesions with:</w:t>
            </w:r>
          </w:p>
          <w:p w:rsidR="6860D08D" w:rsidP="6860D08D" w:rsidRDefault="6860D08D" w14:paraId="4D44F1DD" w14:textId="66F3FA8A">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 new lesion(s), or</w:t>
            </w:r>
          </w:p>
          <w:p w:rsidR="6860D08D" w:rsidP="6860D08D" w:rsidRDefault="6860D08D" w14:paraId="306C96E0" w14:textId="295820A3">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b. ≥ 50% increase in PPD of a lesion or set of lesions at any time during treatment.</w:t>
            </w:r>
          </w:p>
          <w:p w:rsidR="6860D08D" w:rsidP="6860D08D" w:rsidRDefault="6860D08D" w14:paraId="749EB6D1" w14:textId="05A99C6B">
            <w:pPr>
              <w:widowControl w:val="0"/>
              <w:rPr>
                <w:rFonts w:ascii="Times New Roman" w:hAnsi="Times New Roman" w:eastAsia="Times New Roman" w:cs="Times New Roman"/>
                <w:color w:val="000000" w:themeColor="text1"/>
              </w:rPr>
            </w:pPr>
          </w:p>
          <w:p w:rsidR="6860D08D" w:rsidP="6860D08D" w:rsidRDefault="6860D08D" w14:paraId="0B4B921F" w14:textId="57D872A8">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u w:val="single"/>
              </w:rPr>
              <w:t>Note:</w:t>
            </w:r>
            <w:r w:rsidRPr="6860D08D">
              <w:rPr>
                <w:rFonts w:ascii="Times New Roman" w:hAnsi="Times New Roman" w:eastAsia="Times New Roman" w:cs="Times New Roman"/>
                <w:color w:val="000000" w:themeColor="text1"/>
              </w:rPr>
              <w:t xml:space="preserve"> The new or growing lesion(s) (unless biopsy proven to be benign) should be added to the target lesion(s), up to a total of no more than 6 total lesions. In future assessments, if the SPD of the newly defined set of target lesions has increased ≥ 50% from their nadir value (which may precede the IR time point), the patient should be considered to have PD.</w:t>
            </w:r>
          </w:p>
        </w:tc>
      </w:tr>
      <w:tr w:rsidR="6860D08D" w:rsidTr="6860D08D" w14:paraId="39E829E9"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67891D7D" w14:textId="0A759272">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IR(3)</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132E26B" w14:textId="45528CC0">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Increase in FDG uptake of 1 or more lesion(s) without a concomitant increase in lesion size or number.</w:t>
            </w:r>
          </w:p>
          <w:p w:rsidR="6860D08D" w:rsidP="6860D08D" w:rsidRDefault="6860D08D" w14:paraId="16906376" w14:textId="0D929EA6">
            <w:pPr>
              <w:widowControl w:val="0"/>
              <w:rPr>
                <w:rFonts w:ascii="Times New Roman" w:hAnsi="Times New Roman" w:eastAsia="Times New Roman" w:cs="Times New Roman"/>
                <w:color w:val="000000" w:themeColor="text1"/>
              </w:rPr>
            </w:pPr>
          </w:p>
          <w:p w:rsidR="6860D08D" w:rsidP="6860D08D" w:rsidRDefault="6860D08D" w14:paraId="7EB0DF44" w14:textId="2A2A394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u w:val="single"/>
              </w:rPr>
              <w:t>Note:</w:t>
            </w:r>
            <w:r w:rsidRPr="6860D08D">
              <w:rPr>
                <w:rFonts w:ascii="Times New Roman" w:hAnsi="Times New Roman" w:eastAsia="Times New Roman" w:cs="Times New Roman"/>
                <w:color w:val="000000" w:themeColor="text1"/>
              </w:rPr>
              <w:t xml:space="preserve"> Because inflammatory responses may result in an increase in the standardized uptake value of a lesion, the patient will not be considered to have PD unless there is evidence of PD by an increase in lesion size or the development of new lesions, as noted below.</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370E4481" w14:textId="0344F37F">
            <w:pPr>
              <w:widowControl w:val="0"/>
              <w:rPr>
                <w:rFonts w:ascii="Times New Roman" w:hAnsi="Times New Roman" w:eastAsia="Times New Roman" w:cs="Times New Roman"/>
                <w:color w:val="000000" w:themeColor="text1"/>
              </w:rPr>
            </w:pPr>
          </w:p>
        </w:tc>
      </w:tr>
      <w:tr w:rsidR="6860D08D" w:rsidTr="6860D08D" w14:paraId="0F08D007" w14:textId="77777777">
        <w:trPr>
          <w:trHeight w:val="300"/>
        </w:trPr>
        <w:tc>
          <w:tcPr>
            <w:tcW w:w="1695"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63BBCFA5" w14:textId="7E644E8B">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Progressive disease (PD)</w:t>
            </w:r>
          </w:p>
        </w:tc>
        <w:tc>
          <w:tcPr>
            <w:tcW w:w="819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70E17366" w14:textId="1E6D1B03">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 Excludes patients who meet criteria for Indeterminate Response (IR) ***</w:t>
            </w:r>
          </w:p>
        </w:tc>
      </w:tr>
      <w:tr w:rsidR="6860D08D" w:rsidTr="6860D08D" w14:paraId="1F787F2C" w14:textId="77777777">
        <w:trPr>
          <w:trHeight w:val="300"/>
        </w:trPr>
        <w:tc>
          <w:tcPr>
            <w:tcW w:w="1695" w:type="dxa"/>
            <w:vMerge/>
            <w:tcBorders>
              <w:left w:val="single" w:color="auto" w:sz="0" w:space="0"/>
              <w:bottom w:val="single" w:color="auto" w:sz="0" w:space="0"/>
              <w:right w:val="single" w:color="auto" w:sz="0" w:space="0"/>
            </w:tcBorders>
            <w:vAlign w:val="center"/>
          </w:tcPr>
          <w:p w:rsidR="00B84115" w:rsidRDefault="00B84115" w14:paraId="7C9E4D10" w14:textId="77777777"/>
        </w:tc>
        <w:tc>
          <w:tcPr>
            <w:tcW w:w="42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31D5BD72" w14:textId="0ED9774E">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Progressive metabolic disease (PMD)</w:t>
            </w:r>
          </w:p>
        </w:tc>
        <w:tc>
          <w:tcPr>
            <w:tcW w:w="39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60D08D" w:rsidP="6860D08D" w:rsidRDefault="6860D08D" w14:paraId="730BDB6C" w14:textId="627DFD5B">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Progressive disease (PD)</w:t>
            </w:r>
          </w:p>
          <w:p w:rsidR="6860D08D" w:rsidP="6860D08D" w:rsidRDefault="6860D08D" w14:paraId="439646ED" w14:textId="7BF61DE3">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b/>
                <w:bCs/>
                <w:color w:val="000000" w:themeColor="text1"/>
              </w:rPr>
              <w:t>requires at least 1 of the following</w:t>
            </w:r>
          </w:p>
        </w:tc>
      </w:tr>
      <w:tr w:rsidR="6860D08D" w:rsidTr="6860D08D" w14:paraId="58E15671"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20665C63" w14:textId="265A89F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Individual target nodes/nodal masses</w:t>
            </w:r>
          </w:p>
        </w:tc>
        <w:tc>
          <w:tcPr>
            <w:tcW w:w="4290" w:type="dxa"/>
            <w:vMerge w:val="restart"/>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CCF25E6" w14:textId="1DE51DF9">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Score 4 or 5 with an increase in intensity of uptake from baseline and/or</w:t>
            </w:r>
          </w:p>
          <w:p w:rsidR="6860D08D" w:rsidP="6860D08D" w:rsidRDefault="6860D08D" w14:paraId="7C13ACAD" w14:textId="106CBD9E">
            <w:pPr>
              <w:widowControl w:val="0"/>
              <w:rPr>
                <w:rFonts w:ascii="Times New Roman" w:hAnsi="Times New Roman" w:eastAsia="Times New Roman" w:cs="Times New Roman"/>
                <w:color w:val="000000" w:themeColor="text1"/>
              </w:rPr>
            </w:pPr>
          </w:p>
          <w:p w:rsidR="6860D08D" w:rsidP="6860D08D" w:rsidRDefault="6860D08D" w14:paraId="4B7492F6" w14:textId="13529EDF">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FDG-avid foci consistent with lymphoma at interim or end-of-treatment assessment</w:t>
            </w:r>
          </w:p>
        </w:tc>
        <w:tc>
          <w:tcPr>
            <w:tcW w:w="3900" w:type="dxa"/>
            <w:vMerge w:val="restart"/>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3D40ECE5" w14:textId="46A48AD9">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xml:space="preserve">An individual node/lesion must be abnormal with: </w:t>
            </w:r>
          </w:p>
          <w:p w:rsidR="6860D08D" w:rsidP="6860D08D" w:rsidRDefault="6860D08D" w14:paraId="5A773C84" w14:textId="535E7EA1">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LDi &gt; 1.5 cm and</w:t>
            </w:r>
          </w:p>
          <w:p w:rsidR="6860D08D" w:rsidP="6860D08D" w:rsidRDefault="6860D08D" w14:paraId="267E0B7C" w14:textId="48DBE705">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Increase by ≥ 50% from PPD nadir and</w:t>
            </w:r>
          </w:p>
          <w:p w:rsidR="6860D08D" w:rsidP="6860D08D" w:rsidRDefault="6860D08D" w14:paraId="246A78CD" w14:textId="4B66F1D2">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An increase in LDi or SDi from nadir</w:t>
            </w:r>
          </w:p>
          <w:p w:rsidR="6860D08D" w:rsidP="6860D08D" w:rsidRDefault="6860D08D" w14:paraId="24872986" w14:textId="33B9B06F">
            <w:pPr>
              <w:widowControl w:val="0"/>
              <w:ind w:left="284"/>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0.5 cm for lesions ≤2 cm</w:t>
            </w:r>
          </w:p>
          <w:p w:rsidR="6860D08D" w:rsidP="6860D08D" w:rsidRDefault="6860D08D" w14:paraId="79EB82CE" w14:textId="5BA9F698">
            <w:pPr>
              <w:widowControl w:val="0"/>
              <w:ind w:left="284"/>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1.0 cm for lesions &gt;2 cm</w:t>
            </w:r>
          </w:p>
          <w:p w:rsidR="6860D08D" w:rsidP="6860D08D" w:rsidRDefault="6860D08D" w14:paraId="170D27B1" w14:textId="07EB83F3">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In the setting of splenomegaly, the splenic length must increase by &gt; 50% of the extent of its prior increase beyond baseline (</w:t>
            </w:r>
            <w:r w:rsidRPr="6860D08D">
              <w:rPr>
                <w:rFonts w:ascii="Times New Roman" w:hAnsi="Times New Roman" w:eastAsia="Times New Roman" w:cs="Times New Roman"/>
                <w:i/>
                <w:iCs/>
                <w:color w:val="000000" w:themeColor="text1"/>
              </w:rPr>
              <w:t>e.g.</w:t>
            </w:r>
            <w:r w:rsidRPr="6860D08D">
              <w:rPr>
                <w:rFonts w:ascii="Times New Roman" w:hAnsi="Times New Roman" w:eastAsia="Times New Roman" w:cs="Times New Roman"/>
                <w:color w:val="000000" w:themeColor="text1"/>
              </w:rPr>
              <w:t xml:space="preserve">, a 15 cm spleen must increase to &gt;16 cm). </w:t>
            </w:r>
            <w:r>
              <w:br/>
            </w:r>
            <w:r w:rsidRPr="6860D08D">
              <w:rPr>
                <w:rFonts w:ascii="Times New Roman" w:hAnsi="Times New Roman" w:eastAsia="Times New Roman" w:cs="Times New Roman"/>
                <w:color w:val="000000" w:themeColor="text1"/>
              </w:rPr>
              <w:t>If no prior splenomegaly, must increase by at least 2 cm from baseline</w:t>
            </w:r>
          </w:p>
          <w:p w:rsidR="6860D08D" w:rsidP="6860D08D" w:rsidRDefault="6860D08D" w14:paraId="6AC0B77B" w14:textId="003E6EBC">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or recurrent splenomegaly</w:t>
            </w:r>
          </w:p>
        </w:tc>
      </w:tr>
      <w:tr w:rsidR="6860D08D" w:rsidTr="6860D08D" w14:paraId="5377824C"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tcPr>
          <w:p w:rsidR="6860D08D" w:rsidP="6860D08D" w:rsidRDefault="6860D08D" w14:paraId="1E670569" w14:textId="07E1792D">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Extranodal lesions</w:t>
            </w:r>
          </w:p>
        </w:tc>
        <w:tc>
          <w:tcPr>
            <w:tcW w:w="4290" w:type="dxa"/>
            <w:vMerge/>
            <w:tcBorders>
              <w:left w:val="single" w:color="auto" w:sz="0" w:space="0"/>
              <w:bottom w:val="single" w:color="auto" w:sz="0" w:space="0"/>
              <w:right w:val="single" w:color="auto" w:sz="0" w:space="0"/>
            </w:tcBorders>
            <w:vAlign w:val="center"/>
          </w:tcPr>
          <w:p w:rsidR="00B84115" w:rsidRDefault="00B84115" w14:paraId="2B1D18BD" w14:textId="77777777"/>
        </w:tc>
        <w:tc>
          <w:tcPr>
            <w:tcW w:w="3900" w:type="dxa"/>
            <w:vMerge/>
            <w:tcBorders>
              <w:left w:val="single" w:color="auto" w:sz="0" w:space="0"/>
              <w:bottom w:val="single" w:color="auto" w:sz="0" w:space="0"/>
              <w:right w:val="single" w:color="auto" w:sz="0" w:space="0"/>
            </w:tcBorders>
            <w:vAlign w:val="center"/>
          </w:tcPr>
          <w:p w:rsidR="00B84115" w:rsidRDefault="00B84115" w14:paraId="2B19CDEE" w14:textId="77777777"/>
        </w:tc>
      </w:tr>
      <w:tr w:rsidR="6860D08D" w:rsidTr="6860D08D" w14:paraId="6D76C526"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9C2F124" w14:textId="3FED5DA5">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Non-measured lesions</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53622874" w14:textId="2E893AD8">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None</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68A9A3B3" w14:textId="5A379966">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or clear progression of preexisting non-measured lesions</w:t>
            </w:r>
          </w:p>
        </w:tc>
      </w:tr>
      <w:tr w:rsidR="6860D08D" w:rsidTr="6860D08D" w14:paraId="5D1750AF"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484F4892" w14:textId="22587A3F">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lesions</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63C1CCBB" w14:textId="561C6242">
            <w:pPr>
              <w:widowControl w:val="0"/>
              <w:tabs>
                <w:tab w:val="left" w:pos="1509"/>
              </w:tabs>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FDG-avid foci consistent with lymphoma rather than another etiology (</w:t>
            </w:r>
            <w:r w:rsidRPr="6860D08D">
              <w:rPr>
                <w:rFonts w:ascii="Times New Roman" w:hAnsi="Times New Roman" w:eastAsia="Times New Roman" w:cs="Times New Roman"/>
                <w:i/>
                <w:iCs/>
                <w:color w:val="000000" w:themeColor="text1"/>
              </w:rPr>
              <w:t>e.g.</w:t>
            </w:r>
            <w:r w:rsidRPr="6860D08D">
              <w:rPr>
                <w:rFonts w:ascii="Times New Roman" w:hAnsi="Times New Roman" w:eastAsia="Times New Roman" w:cs="Times New Roman"/>
                <w:color w:val="000000" w:themeColor="text1"/>
              </w:rPr>
              <w:t>, infection, inflammation). If uncertain regarding etiology of new lesions, biopsy or interval scan may be considered</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6860D08D" w:rsidP="6860D08D" w:rsidRDefault="6860D08D" w14:paraId="157A197B" w14:textId="10EAB002">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Regrowth of previously resolved lesions</w:t>
            </w:r>
          </w:p>
          <w:p w:rsidR="6860D08D" w:rsidP="6860D08D" w:rsidRDefault="6860D08D" w14:paraId="74FB1016" w14:textId="1E9D2215">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 new node &gt;1.5 cm in any axis</w:t>
            </w:r>
          </w:p>
          <w:p w:rsidR="6860D08D" w:rsidP="6860D08D" w:rsidRDefault="6860D08D" w14:paraId="394B3CD7" w14:textId="304B9499">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 new extranodal site &gt;1.0 cm in any axis; if &lt;1.0 cm in any axis, its presence must be unequivocal and must be attributable to lymphoma</w:t>
            </w:r>
          </w:p>
          <w:p w:rsidR="6860D08D" w:rsidP="6860D08D" w:rsidRDefault="6860D08D" w14:paraId="6B7F41B6" w14:textId="3BAD2667">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Assessable disease of any size unequivocally attributable to lymphoma</w:t>
            </w:r>
          </w:p>
        </w:tc>
      </w:tr>
      <w:tr w:rsidR="6860D08D" w:rsidTr="6860D08D" w14:paraId="6535E40B" w14:textId="77777777">
        <w:trPr>
          <w:trHeight w:val="300"/>
        </w:trPr>
        <w:tc>
          <w:tcPr>
            <w:tcW w:w="1695" w:type="dxa"/>
            <w:tcBorders>
              <w:top w:val="single" w:color="auto" w:sz="6" w:space="0"/>
              <w:left w:val="single" w:color="auto" w:sz="6" w:space="0"/>
              <w:bottom w:val="single" w:color="auto" w:sz="6" w:space="0"/>
              <w:right w:val="single" w:color="auto" w:sz="6" w:space="0"/>
            </w:tcBorders>
            <w:tcMar>
              <w:left w:w="105" w:type="dxa"/>
              <w:right w:w="105" w:type="dxa"/>
            </w:tcMar>
          </w:tcPr>
          <w:p w:rsidR="6860D08D" w:rsidP="6860D08D" w:rsidRDefault="6860D08D" w14:paraId="0BEA73B2" w14:textId="673CA58C">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Bone marrow</w:t>
            </w:r>
          </w:p>
        </w:tc>
        <w:tc>
          <w:tcPr>
            <w:tcW w:w="4290" w:type="dxa"/>
            <w:tcBorders>
              <w:top w:val="single" w:color="auto" w:sz="6" w:space="0"/>
              <w:left w:val="single" w:color="auto" w:sz="6" w:space="0"/>
              <w:bottom w:val="single" w:color="auto" w:sz="6" w:space="0"/>
              <w:right w:val="single" w:color="auto" w:sz="6" w:space="0"/>
            </w:tcBorders>
            <w:tcMar>
              <w:left w:w="105" w:type="dxa"/>
              <w:right w:w="105" w:type="dxa"/>
            </w:tcMar>
          </w:tcPr>
          <w:p w:rsidR="6860D08D" w:rsidP="6860D08D" w:rsidRDefault="6860D08D" w14:paraId="36A46EE8" w14:textId="41F61BEC">
            <w:pPr>
              <w:widowControl w:val="0"/>
              <w:tabs>
                <w:tab w:val="left" w:pos="1509"/>
              </w:tabs>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or recurrent FDG-avid foci</w:t>
            </w:r>
          </w:p>
        </w:tc>
        <w:tc>
          <w:tcPr>
            <w:tcW w:w="3900" w:type="dxa"/>
            <w:tcBorders>
              <w:top w:val="single" w:color="auto" w:sz="6" w:space="0"/>
              <w:left w:val="single" w:color="auto" w:sz="6" w:space="0"/>
              <w:bottom w:val="single" w:color="auto" w:sz="6" w:space="0"/>
              <w:right w:val="single" w:color="auto" w:sz="6" w:space="0"/>
            </w:tcBorders>
            <w:tcMar>
              <w:left w:w="105" w:type="dxa"/>
              <w:right w:w="105" w:type="dxa"/>
            </w:tcMar>
          </w:tcPr>
          <w:p w:rsidR="6860D08D" w:rsidP="6860D08D" w:rsidRDefault="6860D08D" w14:paraId="7246F2B9" w14:textId="2DF9A498">
            <w:pPr>
              <w:widowControl w:val="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New or recurrent involvement</w:t>
            </w:r>
          </w:p>
        </w:tc>
      </w:tr>
      <w:tr w:rsidR="6860D08D" w:rsidTr="6860D08D" w14:paraId="0BFDE209" w14:textId="77777777">
        <w:trPr>
          <w:trHeight w:val="300"/>
        </w:trPr>
        <w:tc>
          <w:tcPr>
            <w:tcW w:w="9885" w:type="dxa"/>
            <w:gridSpan w:val="3"/>
            <w:tcBorders>
              <w:top w:val="single" w:color="auto" w:sz="6" w:space="0"/>
              <w:left w:val="single" w:color="auto" w:sz="6" w:space="0"/>
              <w:bottom w:val="single" w:color="auto" w:sz="6" w:space="0"/>
              <w:right w:val="single" w:color="auto" w:sz="6" w:space="0"/>
            </w:tcBorders>
            <w:shd w:val="clear" w:color="auto" w:fill="F2F2F2" w:themeFill="background1" w:themeFillShade="F2"/>
            <w:tcMar>
              <w:left w:w="105" w:type="dxa"/>
              <w:right w:w="105" w:type="dxa"/>
            </w:tcMar>
          </w:tcPr>
          <w:p w:rsidR="6860D08D" w:rsidP="6860D08D" w:rsidRDefault="6860D08D" w14:paraId="64D0F5ED" w14:textId="462467B5">
            <w:pPr>
              <w:widowControl w:val="0"/>
              <w:spacing w:before="60"/>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Abbreviations: 5PS, 5-point scale; CT, computed tomography; FDG, fluorodeoxyglucose; IHC, immunohistochemistry; LDi, longest transverse diameter of a lesion; MRI, magnetic resonance imaging; PET, positron emission tomography; PPD, cross product of the LDi and perpendicular diameter; SDi, shortest axis perpendicular to the LDi; SPD, sum of the product of the perpendicular diameters for multiple lesions.</w:t>
            </w:r>
          </w:p>
          <w:p w:rsidR="6860D08D" w:rsidP="6860D08D" w:rsidRDefault="6860D08D" w14:paraId="1E4D46C0" w14:textId="49A62D32">
            <w:pPr>
              <w:widowControl w:val="0"/>
              <w:spacing w:before="60"/>
              <w:ind w:left="348" w:hanging="348"/>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a.   A score of 3 in many patients indicates a good prognosis with standard treatment, especially if at the time of an interim scan. However, in trials involving PET where de-escalation is investigated, it may be preferable to consider a score of 3 as inadequate response (to avoid under treatment). Measured dominant lesions: Up to six of the largest dominant nodes, nodal masses, and extranodal lesions selected to be clearly measurable in two diameters. Nodes should preferably be from disparate regions of the body and should include, where applicable, mediastinal and retroperitoneal areas. Non-nodal lesions include those in solid organs (</w:t>
            </w:r>
            <w:r w:rsidRPr="6860D08D">
              <w:rPr>
                <w:rFonts w:ascii="Times New Roman" w:hAnsi="Times New Roman" w:eastAsia="Times New Roman" w:cs="Times New Roman"/>
                <w:i/>
                <w:iCs/>
                <w:color w:val="000000" w:themeColor="text1"/>
              </w:rPr>
              <w:t>e.g.</w:t>
            </w:r>
            <w:r w:rsidRPr="6860D08D">
              <w:rPr>
                <w:rFonts w:ascii="Times New Roman" w:hAnsi="Times New Roman" w:eastAsia="Times New Roman" w:cs="Times New Roman"/>
                <w:color w:val="000000" w:themeColor="text1"/>
              </w:rPr>
              <w:t>, liver, spleen, kidneys, and lungs), GI involvement, cutaneous lesions, or those noted on palpation. Non-measured lesions: Any disease not selected as measured, dominant disease and truly assessable disease should be considered not measured. These sites include any nodes, nodal masses, and extranodal sites not selected as dominant or measurable or that do not meet the requirements for measurability but are still considered abnormal, as well as truly assessable disease, which is any site of suspected disease that would be difficult to follow quantitatively with measurement, including pleural effusions, ascites, bone lesions, leptomeningeal disease, abdominal masses, and other lesions that cannot be confirmed and followed by imaging. In Waldeyer’s ring or in extranodal sites (</w:t>
            </w:r>
            <w:r w:rsidRPr="6860D08D">
              <w:rPr>
                <w:rFonts w:ascii="Times New Roman" w:hAnsi="Times New Roman" w:eastAsia="Times New Roman" w:cs="Times New Roman"/>
                <w:i/>
                <w:iCs/>
                <w:color w:val="000000" w:themeColor="text1"/>
              </w:rPr>
              <w:t>e.g.</w:t>
            </w:r>
            <w:r w:rsidRPr="6860D08D">
              <w:rPr>
                <w:rFonts w:ascii="Times New Roman" w:hAnsi="Times New Roman" w:eastAsia="Times New Roman" w:cs="Times New Roman"/>
                <w:color w:val="000000" w:themeColor="text1"/>
              </w:rPr>
              <w:t>,, GI tract, liver, bone marrow), FDG uptake may be greater than in the mediastinum with complete metabolic response, but should be no higher than surrounding normal physiologic uptake (</w:t>
            </w:r>
            <w:r w:rsidRPr="6860D08D">
              <w:rPr>
                <w:rFonts w:ascii="Times New Roman" w:hAnsi="Times New Roman" w:eastAsia="Times New Roman" w:cs="Times New Roman"/>
                <w:i/>
                <w:iCs/>
                <w:color w:val="000000" w:themeColor="text1"/>
              </w:rPr>
              <w:t>e.g.</w:t>
            </w:r>
            <w:r w:rsidRPr="6860D08D">
              <w:rPr>
                <w:rFonts w:ascii="Times New Roman" w:hAnsi="Times New Roman" w:eastAsia="Times New Roman" w:cs="Times New Roman"/>
                <w:color w:val="000000" w:themeColor="text1"/>
              </w:rPr>
              <w:t>, with marrow activation as a result of chemotherapy or myeloid growth factors).</w:t>
            </w:r>
          </w:p>
          <w:p w:rsidR="6860D08D" w:rsidP="6860D08D" w:rsidRDefault="6860D08D" w14:paraId="136B1BB8" w14:textId="4EDB3BD2">
            <w:pPr>
              <w:widowControl w:val="0"/>
              <w:spacing w:before="60"/>
              <w:ind w:left="348" w:hanging="348"/>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   PET Deauville 5PS: 1, no uptake above background; 2, uptake ≤  mediastinum; 3, uptake &gt; mediastinum but ≤ liver; 4, uptake moderately &gt; liver; 5, uptake markedly higher than liver and/or new lesions; X, new areas of uptake unlikely to be related to lymphoma.</w:t>
            </w:r>
          </w:p>
          <w:p w:rsidR="6860D08D" w:rsidP="6860D08D" w:rsidRDefault="6860D08D" w14:paraId="4A6422E3" w14:textId="283ECCB8">
            <w:pPr>
              <w:widowControl w:val="0"/>
              <w:spacing w:before="60"/>
              <w:ind w:left="348" w:hanging="348"/>
              <w:rPr>
                <w:rFonts w:ascii="Times New Roman" w:hAnsi="Times New Roman" w:eastAsia="Times New Roman" w:cs="Times New Roman"/>
                <w:color w:val="000000" w:themeColor="text1"/>
              </w:rPr>
            </w:pPr>
            <w:r w:rsidRPr="6860D08D">
              <w:rPr>
                <w:rFonts w:ascii="Times New Roman" w:hAnsi="Times New Roman" w:eastAsia="Times New Roman" w:cs="Times New Roman"/>
                <w:color w:val="000000" w:themeColor="text1"/>
              </w:rPr>
              <w:t>b.   If a patient is assessed as having IR and then “true” PD at a subsequent time point (without an intervening objective response between IR and PD), the IR assessment should subsequently be corrected to PD for reporting purposes to the date of the prior designation of IR. We recognize that these lesions may remain stable during the time of observation, but, even if this is the case, the initial designation of IR should be changed to PD.</w:t>
            </w:r>
          </w:p>
        </w:tc>
      </w:tr>
    </w:tbl>
    <w:p w:rsidR="0034323A" w:rsidRDefault="0034323A" w14:paraId="48EB1078" w14:textId="77777777"/>
    <w:sectPr w:rsidR="0000000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17DBA2"/>
    <w:rsid w:val="00094D92"/>
    <w:rsid w:val="00B84115"/>
    <w:rsid w:val="1417DBA2"/>
    <w:rsid w:val="346E14C0"/>
    <w:rsid w:val="4698D36A"/>
    <w:rsid w:val="6860D0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7DBA2"/>
  <w15:chartTrackingRefBased/>
  <w15:docId w15:val="{AF8E364B-B92C-4D08-A2FB-DC77779CF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25D2DCB859A34EBF047A85ACDA3435" ma:contentTypeVersion="13" ma:contentTypeDescription="Create a new document." ma:contentTypeScope="" ma:versionID="0539fe6485024ccdad6429d188e5de7e">
  <xsd:schema xmlns:xsd="http://www.w3.org/2001/XMLSchema" xmlns:xs="http://www.w3.org/2001/XMLSchema" xmlns:p="http://schemas.microsoft.com/office/2006/metadata/properties" xmlns:ns2="0cc7dcd1-8bce-4355-9e06-0963e34f9c7b" xmlns:ns3="1e193fb6-c8fe-4ca1-a92f-b880cff49bbb" targetNamespace="http://schemas.microsoft.com/office/2006/metadata/properties" ma:root="true" ma:fieldsID="3cd2a5586848c38526207752d48e53e8" ns2:_="" ns3:_="">
    <xsd:import namespace="0cc7dcd1-8bce-4355-9e06-0963e34f9c7b"/>
    <xsd:import namespace="1e193fb6-c8fe-4ca1-a92f-b880cff49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7dcd1-8bce-4355-9e06-0963e34f9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5d3906-26d2-4840-9c74-966ccfe297a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193fb6-c8fe-4ca1-a92f-b880cff49b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92f3ae-48a0-4599-b191-f2805828104f}" ma:internalName="TaxCatchAll" ma:showField="CatchAllData" ma:web="1e193fb6-c8fe-4ca1-a92f-b880cff49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c7dcd1-8bce-4355-9e06-0963e34f9c7b">
      <Terms xmlns="http://schemas.microsoft.com/office/infopath/2007/PartnerControls"/>
    </lcf76f155ced4ddcb4097134ff3c332f>
    <TaxCatchAll xmlns="1e193fb6-c8fe-4ca1-a92f-b880cff49bbb" xsi:nil="true"/>
  </documentManagement>
</p:properties>
</file>

<file path=customXml/itemProps1.xml><?xml version="1.0" encoding="utf-8"?>
<ds:datastoreItem xmlns:ds="http://schemas.openxmlformats.org/officeDocument/2006/customXml" ds:itemID="{46C10128-F279-4AB6-8718-06912990832E}">
  <ds:schemaRefs>
    <ds:schemaRef ds:uri="http://schemas.microsoft.com/sharepoint/v3/contenttype/forms"/>
  </ds:schemaRefs>
</ds:datastoreItem>
</file>

<file path=customXml/itemProps2.xml><?xml version="1.0" encoding="utf-8"?>
<ds:datastoreItem xmlns:ds="http://schemas.openxmlformats.org/officeDocument/2006/customXml" ds:itemID="{A7E73695-4328-4792-9627-3867D41E2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7dcd1-8bce-4355-9e06-0963e34f9c7b"/>
    <ds:schemaRef ds:uri="1e193fb6-c8fe-4ca1-a92f-b880cff49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28DAD3-1FD1-407F-BF4E-51E76532F9D8}">
  <ds:schemaRefs>
    <ds:schemaRef ds:uri="http://schemas.microsoft.com/office/2006/metadata/properties"/>
    <ds:schemaRef ds:uri="http://schemas.microsoft.com/office/infopath/2007/PartnerControls"/>
    <ds:schemaRef ds:uri="0cc7dcd1-8bce-4355-9e06-0963e34f9c7b"/>
    <ds:schemaRef ds:uri="1e193fb6-c8fe-4ca1-a92f-b880cff49bbb"/>
  </ds:schemaRefs>
</ds:datastoreItem>
</file>

<file path=docMetadata/LabelInfo.xml><?xml version="1.0" encoding="utf-8"?>
<clbl:labelList xmlns:clbl="http://schemas.microsoft.com/office/2020/mipLabelMetadata">
  <clbl:label id="{990794cc-8ced-4156-9787-a1fbf819c752}" enabled="1" method="Standard" siteId="{a25fff9c-3f63-4fb2-9a8a-d9bdd0321f9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Hennemann Sassi, Rafael, M.D.</dc:creator>
  <cp:keywords/>
  <dc:description/>
  <cp:lastModifiedBy>Hennemann Sassi, Rafael, M.D.</cp:lastModifiedBy>
  <cp:revision>2</cp:revision>
  <dcterms:created xsi:type="dcterms:W3CDTF">2026-02-10T01:23:00Z</dcterms:created>
  <dcterms:modified xsi:type="dcterms:W3CDTF">2026-02-10T01:23:51Z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0x0101000525D2DCB859A34EBF047A85ACDA3435</vt:lpwstr>
  </property>
  <property fmtid="{D5CDD505-2E9C-101B-9397-08002B2CF9AE}" pid="3" name="MediaServiceImageTags">
    <vt:lpwstr/>
  </property>
  <property fmtid="{D5CDD505-2E9C-101B-9397-08002B2CF9AE}" pid="5" name="docLang">
    <vt:lpwstr>en</vt:lpwstr>
  </property>
</Properties>
</file>