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984D1D" w14:textId="77777777" w:rsidR="0081396C" w:rsidRDefault="0081396C" w:rsidP="0081396C">
      <w:pPr>
        <w:spacing w:line="360" w:lineRule="auto"/>
        <w:rPr>
          <w:rFonts w:ascii="Times New Roman" w:eastAsia="SimSun" w:hAnsi="Times New Roman" w:cs="Times New Roman"/>
          <w:b/>
          <w:bCs/>
          <w:color w:val="000000" w:themeColor="text1"/>
          <w:kern w:val="0"/>
          <w:sz w:val="24"/>
          <w:szCs w:val="24"/>
        </w:rPr>
      </w:pPr>
      <w:r>
        <w:rPr>
          <w:rFonts w:ascii="Times New Roman" w:eastAsia="SimSun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Tables legends: </w:t>
      </w:r>
    </w:p>
    <w:p w14:paraId="57D34B4B" w14:textId="77777777" w:rsidR="0081396C" w:rsidRDefault="0081396C" w:rsidP="0081396C">
      <w:pPr>
        <w:spacing w:line="360" w:lineRule="auto"/>
        <w:rPr>
          <w:rFonts w:ascii="Times New Roman" w:eastAsia="SimSun" w:hAnsi="Times New Roman" w:cs="Times New Roman"/>
          <w:b/>
          <w:bCs/>
          <w:color w:val="000000" w:themeColor="text1"/>
          <w:kern w:val="0"/>
          <w:sz w:val="24"/>
          <w:szCs w:val="24"/>
        </w:rPr>
      </w:pPr>
    </w:p>
    <w:p w14:paraId="5FFC5C87" w14:textId="77777777" w:rsidR="0081396C" w:rsidRDefault="0081396C" w:rsidP="0081396C">
      <w:pPr>
        <w:rPr>
          <w:rFonts w:ascii="Times New Roman" w:eastAsia="SimSun" w:hAnsi="Times New Roman" w:cs="Times New Roman"/>
          <w:b/>
          <w:bCs/>
          <w:color w:val="000000" w:themeColor="text1"/>
          <w:kern w:val="0"/>
          <w:sz w:val="24"/>
          <w:szCs w:val="24"/>
        </w:rPr>
      </w:pPr>
      <w:r>
        <w:rPr>
          <w:rFonts w:ascii="Times New Roman" w:eastAsia="SimSun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Table 1: Baseline and clinical characteristics of patients with bronchiectasis. 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07"/>
        <w:gridCol w:w="2225"/>
        <w:gridCol w:w="2218"/>
        <w:gridCol w:w="1213"/>
        <w:gridCol w:w="1207"/>
      </w:tblGrid>
      <w:tr w:rsidR="0081396C" w14:paraId="2F21ED9F" w14:textId="77777777" w:rsidTr="002B653D">
        <w:trPr>
          <w:tblHeader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F76908A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Characteristic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293F4BF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Short-course group (n=42)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1210B8A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Long-course group (n=60)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BC4AA44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χ²/t value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2C4B35D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P</w:t>
            </w: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 value</w:t>
            </w:r>
          </w:p>
        </w:tc>
      </w:tr>
      <w:tr w:rsidR="0081396C" w14:paraId="3320E3A6" w14:textId="77777777" w:rsidTr="002B653D"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3A5C9BF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Age (years)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A398E2F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58.05 ± 10.35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D108D33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60.56 ± 12.34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F059520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—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436BDEC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0.28</w:t>
            </w:r>
          </w:p>
        </w:tc>
      </w:tr>
      <w:tr w:rsidR="0081396C" w14:paraId="67322CEF" w14:textId="77777777" w:rsidTr="002B653D">
        <w:tc>
          <w:tcPr>
            <w:tcW w:w="0" w:type="auto"/>
            <w:tcBorders>
              <w:top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FCA13C6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Sex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6655CCF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9A64ECA" w14:textId="77777777" w:rsidR="0081396C" w:rsidRDefault="0081396C" w:rsidP="002B653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C2949D7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0.05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7028842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0.83</w:t>
            </w:r>
          </w:p>
        </w:tc>
      </w:tr>
      <w:tr w:rsidR="0081396C" w14:paraId="5CBAD854" w14:textId="77777777" w:rsidTr="002B653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AF2A851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Male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A2FD696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18 (43%)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84803F2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27 (45%)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DCC3162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D8F479A" w14:textId="77777777" w:rsidR="0081396C" w:rsidRDefault="0081396C" w:rsidP="002B653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81396C" w14:paraId="05BF64E8" w14:textId="77777777" w:rsidTr="002B653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709F240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Female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39F2BA9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24 (57%)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C5AC4E4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33 (55%)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1403825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7B6AAB4" w14:textId="77777777" w:rsidR="0081396C" w:rsidRDefault="0081396C" w:rsidP="002B653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81396C" w14:paraId="436DD146" w14:textId="77777777" w:rsidTr="002B653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A8EBD86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Lifestyle characteristics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1097BB8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3DC2AF9" w14:textId="77777777" w:rsidR="0081396C" w:rsidRDefault="0081396C" w:rsidP="002B653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0693FF1" w14:textId="77777777" w:rsidR="0081396C" w:rsidRDefault="0081396C" w:rsidP="002B653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0C6BDD7" w14:textId="77777777" w:rsidR="0081396C" w:rsidRDefault="0081396C" w:rsidP="002B653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81396C" w14:paraId="7402C5F1" w14:textId="77777777" w:rsidTr="002B653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7024F6E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Smoking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EAE2978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12 (29%)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A79B9C2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14 (23%)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AD8272A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0.36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1632803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0.55</w:t>
            </w:r>
          </w:p>
        </w:tc>
      </w:tr>
      <w:tr w:rsidR="0081396C" w14:paraId="79CCC355" w14:textId="77777777" w:rsidTr="002B653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9709A00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Alcohol consumption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FD0B7C2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8 (19%)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5266B6F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11 (18%)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DF478FD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0.01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6D23874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0.93</w:t>
            </w:r>
          </w:p>
        </w:tc>
      </w:tr>
      <w:tr w:rsidR="0081396C" w14:paraId="58B1E7A6" w14:textId="77777777" w:rsidTr="002B653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F6E8432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Clinical characteristics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DD256CC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9588169" w14:textId="77777777" w:rsidR="0081396C" w:rsidRDefault="0081396C" w:rsidP="002B653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36986EA" w14:textId="77777777" w:rsidR="0081396C" w:rsidRDefault="0081396C" w:rsidP="002B653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2699CD1" w14:textId="77777777" w:rsidR="0081396C" w:rsidRDefault="0081396C" w:rsidP="002B653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81396C" w14:paraId="52E9BE09" w14:textId="77777777" w:rsidTr="002B653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C10B089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Cough and expectoration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7513A74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36 (86%)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23C674E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50 (83%)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253FC24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0.11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AFCE4FD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0.74</w:t>
            </w:r>
          </w:p>
        </w:tc>
      </w:tr>
      <w:tr w:rsidR="0081396C" w14:paraId="1AC8D8E8" w14:textId="77777777" w:rsidTr="002B653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C2C507C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Pulmonary crackles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B18907E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29 (69%)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86C1DE4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38 (63%)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6C3B839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0.36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D7F6168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0.55</w:t>
            </w:r>
          </w:p>
        </w:tc>
      </w:tr>
      <w:tr w:rsidR="0081396C" w14:paraId="5C429EC2" w14:textId="77777777" w:rsidTr="002B653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635F527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Chest tightness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F0AADD5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16 (38%)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7BBCE52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13 (22%)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AE70910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3.28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C538C84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0.07</w:t>
            </w:r>
          </w:p>
        </w:tc>
      </w:tr>
      <w:tr w:rsidR="0081396C" w14:paraId="657EC45E" w14:textId="77777777" w:rsidTr="002B653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2D16D98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Fever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7661006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28 (67%)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1818BAC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33 (55%)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1D83FFE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1.40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01BCC71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0.24</w:t>
            </w:r>
          </w:p>
        </w:tc>
      </w:tr>
      <w:tr w:rsidR="0081396C" w14:paraId="7D03B341" w14:textId="77777777" w:rsidTr="002B653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B4048A1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Hemoptysis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C2F1357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9 (21%)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505DC0E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11 (18%)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CD7CAD8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0.15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D8D9E6E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0.70</w:t>
            </w:r>
          </w:p>
        </w:tc>
      </w:tr>
    </w:tbl>
    <w:p w14:paraId="1200C7E4" w14:textId="77777777" w:rsidR="0081396C" w:rsidRDefault="0081396C" w:rsidP="0081396C">
      <w:pPr>
        <w:rPr>
          <w:rFonts w:ascii="Times New Roman" w:eastAsia="SimSun" w:hAnsi="Times New Roman" w:cs="Times New Roman"/>
          <w:b/>
          <w:bCs/>
          <w:color w:val="000000" w:themeColor="text1"/>
          <w:kern w:val="0"/>
          <w:sz w:val="24"/>
          <w:szCs w:val="24"/>
        </w:rPr>
      </w:pPr>
    </w:p>
    <w:p w14:paraId="4301324C" w14:textId="77777777" w:rsidR="0081396C" w:rsidRDefault="0081396C" w:rsidP="0081396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Data are presented as n (%) or mean ± standard deviation. Comparisons were made using the chi-square test for categorical variables and the unpaired Student's</w:t>
      </w:r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t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-test for continuous variables. </w:t>
      </w:r>
    </w:p>
    <w:p w14:paraId="1FF3577E" w14:textId="77777777" w:rsidR="0081396C" w:rsidRDefault="0081396C" w:rsidP="0081396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57033FF" w14:textId="77777777" w:rsidR="0081396C" w:rsidRDefault="0081396C" w:rsidP="0081396C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C879275" w14:textId="77777777" w:rsidR="0081396C" w:rsidRDefault="0081396C" w:rsidP="0081396C">
      <w:pPr>
        <w:spacing w:line="360" w:lineRule="auto"/>
        <w:rPr>
          <w:rFonts w:ascii="Times New Roman" w:eastAsia="SimSun" w:hAnsi="Times New Roman" w:cs="Times New Roman"/>
          <w:b/>
          <w:bCs/>
          <w:color w:val="000000" w:themeColor="text1"/>
          <w:kern w:val="0"/>
          <w:sz w:val="24"/>
          <w:szCs w:val="24"/>
        </w:rPr>
      </w:pPr>
    </w:p>
    <w:p w14:paraId="080A5DA9" w14:textId="77777777" w:rsidR="0081396C" w:rsidRDefault="0081396C" w:rsidP="0081396C">
      <w:pPr>
        <w:spacing w:line="360" w:lineRule="auto"/>
        <w:rPr>
          <w:rFonts w:ascii="Times New Roman" w:eastAsia="SimSun" w:hAnsi="Times New Roman" w:cs="Times New Roman"/>
          <w:b/>
          <w:bCs/>
          <w:color w:val="000000" w:themeColor="text1"/>
          <w:kern w:val="0"/>
          <w:sz w:val="24"/>
          <w:szCs w:val="24"/>
        </w:rPr>
      </w:pPr>
      <w:r>
        <w:rPr>
          <w:rFonts w:ascii="Times New Roman" w:eastAsia="SimSun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Table 2: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Serial inflammatory markers during follow-up, by treatment duration</w:t>
      </w:r>
      <w:r>
        <w:rPr>
          <w:rFonts w:ascii="Times New Roman" w:eastAsia="SimSun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. 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33"/>
        <w:gridCol w:w="1492"/>
        <w:gridCol w:w="1132"/>
        <w:gridCol w:w="1211"/>
        <w:gridCol w:w="1491"/>
        <w:gridCol w:w="1132"/>
        <w:gridCol w:w="979"/>
      </w:tblGrid>
      <w:tr w:rsidR="0081396C" w14:paraId="737B3764" w14:textId="77777777" w:rsidTr="002B653D">
        <w:trPr>
          <w:tblHeader/>
        </w:trPr>
        <w:tc>
          <w:tcPr>
            <w:tcW w:w="1633" w:type="dxa"/>
            <w:tcBorders>
              <w:bottom w:val="single" w:sz="4" w:space="0" w:color="auto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0B7D6FE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lastRenderedPageBreak/>
              <w:t>Index</w:t>
            </w:r>
          </w:p>
        </w:tc>
        <w:tc>
          <w:tcPr>
            <w:tcW w:w="1492" w:type="dxa"/>
            <w:tcBorders>
              <w:bottom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7BF8365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Short-course group (n=42)</w:t>
            </w:r>
          </w:p>
        </w:tc>
        <w:tc>
          <w:tcPr>
            <w:tcW w:w="1132" w:type="dxa"/>
            <w:tcBorders>
              <w:bottom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920B195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211" w:type="dxa"/>
            <w:tcBorders>
              <w:bottom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6494638" w14:textId="77777777" w:rsidR="0081396C" w:rsidRDefault="0081396C" w:rsidP="002B653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491" w:type="dxa"/>
            <w:tcBorders>
              <w:bottom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417A8D1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Long-course group (n=60)</w:t>
            </w:r>
          </w:p>
        </w:tc>
        <w:tc>
          <w:tcPr>
            <w:tcW w:w="1132" w:type="dxa"/>
            <w:tcBorders>
              <w:bottom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AB3FE91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979" w:type="dxa"/>
            <w:tcBorders>
              <w:bottom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639D3B3" w14:textId="77777777" w:rsidR="0081396C" w:rsidRDefault="0081396C" w:rsidP="002B653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81396C" w14:paraId="73D03853" w14:textId="77777777" w:rsidTr="002B653D">
        <w:tc>
          <w:tcPr>
            <w:tcW w:w="1633" w:type="dxa"/>
            <w:tcBorders>
              <w:top w:val="single" w:sz="4" w:space="0" w:color="auto"/>
              <w:bottom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908EE77" w14:textId="77777777" w:rsidR="0081396C" w:rsidRDefault="0081396C" w:rsidP="002B653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single" w:sz="4" w:space="0" w:color="auto"/>
              <w:bottom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6B11DE0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Before treatment</w:t>
            </w:r>
          </w:p>
        </w:tc>
        <w:tc>
          <w:tcPr>
            <w:tcW w:w="1132" w:type="dxa"/>
            <w:tcBorders>
              <w:top w:val="single" w:sz="4" w:space="0" w:color="auto"/>
              <w:bottom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3D401A1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1 month</w:t>
            </w:r>
          </w:p>
        </w:tc>
        <w:tc>
          <w:tcPr>
            <w:tcW w:w="1211" w:type="dxa"/>
            <w:tcBorders>
              <w:top w:val="single" w:sz="4" w:space="0" w:color="auto"/>
              <w:bottom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74F3C81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12 months</w:t>
            </w:r>
          </w:p>
        </w:tc>
        <w:tc>
          <w:tcPr>
            <w:tcW w:w="1491" w:type="dxa"/>
            <w:tcBorders>
              <w:top w:val="single" w:sz="4" w:space="0" w:color="auto"/>
              <w:bottom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5D0F17C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Before treatment</w:t>
            </w:r>
          </w:p>
        </w:tc>
        <w:tc>
          <w:tcPr>
            <w:tcW w:w="1132" w:type="dxa"/>
            <w:tcBorders>
              <w:top w:val="single" w:sz="4" w:space="0" w:color="auto"/>
              <w:bottom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BCD0CF7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1 month</w:t>
            </w:r>
          </w:p>
        </w:tc>
        <w:tc>
          <w:tcPr>
            <w:tcW w:w="979" w:type="dxa"/>
            <w:tcBorders>
              <w:top w:val="single" w:sz="4" w:space="0" w:color="auto"/>
              <w:bottom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47767A8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12 months</w:t>
            </w:r>
          </w:p>
        </w:tc>
      </w:tr>
      <w:tr w:rsidR="0081396C" w14:paraId="1B35B0BF" w14:textId="77777777" w:rsidTr="002B653D">
        <w:tc>
          <w:tcPr>
            <w:tcW w:w="1633" w:type="dxa"/>
            <w:tcBorders>
              <w:top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60DAD02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White blood cell count (10⁹/L)</w:t>
            </w:r>
          </w:p>
        </w:tc>
        <w:tc>
          <w:tcPr>
            <w:tcW w:w="1492" w:type="dxa"/>
            <w:tcBorders>
              <w:top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5B2EC16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10.21 ± 3.68</w:t>
            </w:r>
          </w:p>
        </w:tc>
        <w:tc>
          <w:tcPr>
            <w:tcW w:w="1132" w:type="dxa"/>
            <w:tcBorders>
              <w:top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C17D0F9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6.26 ± 2.88</w:t>
            </w:r>
          </w:p>
        </w:tc>
        <w:tc>
          <w:tcPr>
            <w:tcW w:w="1211" w:type="dxa"/>
            <w:tcBorders>
              <w:top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8B8B727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6.09 ± 3.13</w:t>
            </w:r>
          </w:p>
        </w:tc>
        <w:tc>
          <w:tcPr>
            <w:tcW w:w="1491" w:type="dxa"/>
            <w:tcBorders>
              <w:top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1570CB8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11.94 ± 3.25*</w:t>
            </w:r>
          </w:p>
        </w:tc>
        <w:tc>
          <w:tcPr>
            <w:tcW w:w="1132" w:type="dxa"/>
            <w:tcBorders>
              <w:top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38F8F24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6.74 ± 2.56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5731692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6.32 ± 2.69</w:t>
            </w:r>
          </w:p>
        </w:tc>
      </w:tr>
      <w:tr w:rsidR="0081396C" w14:paraId="3DA1AED1" w14:textId="77777777" w:rsidTr="002B653D">
        <w:tc>
          <w:tcPr>
            <w:tcW w:w="1633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5CA5178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Neutrophil count (10⁹/L)</w:t>
            </w:r>
          </w:p>
        </w:tc>
        <w:tc>
          <w:tcPr>
            <w:tcW w:w="14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DA470BC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8.35 ± 2.81</w:t>
            </w:r>
          </w:p>
        </w:tc>
        <w:tc>
          <w:tcPr>
            <w:tcW w:w="113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885DE25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3.82 ± 1.03</w:t>
            </w:r>
          </w:p>
        </w:tc>
        <w:tc>
          <w:tcPr>
            <w:tcW w:w="121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2A82967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3.76 ± 1.34</w:t>
            </w:r>
          </w:p>
        </w:tc>
        <w:tc>
          <w:tcPr>
            <w:tcW w:w="149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84926D7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9.92 ± 2.67**</w:t>
            </w:r>
          </w:p>
        </w:tc>
        <w:tc>
          <w:tcPr>
            <w:tcW w:w="113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963D874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4.03 ± 1.25</w:t>
            </w:r>
          </w:p>
        </w:tc>
        <w:tc>
          <w:tcPr>
            <w:tcW w:w="979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673A585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4.01 ± 1.62</w:t>
            </w:r>
          </w:p>
        </w:tc>
      </w:tr>
      <w:tr w:rsidR="0081396C" w14:paraId="02345964" w14:textId="77777777" w:rsidTr="002B653D">
        <w:tc>
          <w:tcPr>
            <w:tcW w:w="1633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EBC570C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Interleukin-6 (IL-6, pg/mL)</w:t>
            </w:r>
          </w:p>
        </w:tc>
        <w:tc>
          <w:tcPr>
            <w:tcW w:w="14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A64605F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15.86 ± 6.95</w:t>
            </w:r>
          </w:p>
        </w:tc>
        <w:tc>
          <w:tcPr>
            <w:tcW w:w="113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7D1DD7A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7.28 ± 3.21</w:t>
            </w:r>
          </w:p>
        </w:tc>
        <w:tc>
          <w:tcPr>
            <w:tcW w:w="121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92A574D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6.29 ± 3.68</w:t>
            </w:r>
          </w:p>
        </w:tc>
        <w:tc>
          <w:tcPr>
            <w:tcW w:w="149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86417D7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17.44 ± 6.88</w:t>
            </w:r>
          </w:p>
        </w:tc>
        <w:tc>
          <w:tcPr>
            <w:tcW w:w="113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2F3580A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6.52 ± 3.02</w:t>
            </w:r>
          </w:p>
        </w:tc>
        <w:tc>
          <w:tcPr>
            <w:tcW w:w="979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C8555AB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5.96 ± 2.66</w:t>
            </w:r>
          </w:p>
        </w:tc>
      </w:tr>
      <w:tr w:rsidR="0081396C" w14:paraId="3A43CB88" w14:textId="77777777" w:rsidTr="002B653D">
        <w:tc>
          <w:tcPr>
            <w:tcW w:w="1633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D5603C2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Serum amyloid A (SAA, mg/L)</w:t>
            </w:r>
          </w:p>
        </w:tc>
        <w:tc>
          <w:tcPr>
            <w:tcW w:w="14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7DAE652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10.34 ± 3.52</w:t>
            </w:r>
          </w:p>
        </w:tc>
        <w:tc>
          <w:tcPr>
            <w:tcW w:w="113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3C2B527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5.42 ± 3.05</w:t>
            </w:r>
          </w:p>
        </w:tc>
        <w:tc>
          <w:tcPr>
            <w:tcW w:w="121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FAC5915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4.97 ± 2.28</w:t>
            </w:r>
          </w:p>
        </w:tc>
        <w:tc>
          <w:tcPr>
            <w:tcW w:w="149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1E25224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12.02 ± 4.65</w:t>
            </w:r>
          </w:p>
        </w:tc>
        <w:tc>
          <w:tcPr>
            <w:tcW w:w="113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2763547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6.02 ± 2.56</w:t>
            </w:r>
          </w:p>
        </w:tc>
        <w:tc>
          <w:tcPr>
            <w:tcW w:w="979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BE6A48E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5.63 ± 2.17</w:t>
            </w:r>
          </w:p>
        </w:tc>
      </w:tr>
      <w:tr w:rsidR="0081396C" w14:paraId="0CA5A457" w14:textId="77777777" w:rsidTr="002B653D">
        <w:tc>
          <w:tcPr>
            <w:tcW w:w="1633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5E3E21E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C-reactive protein (CRP, mg/L)</w:t>
            </w:r>
          </w:p>
        </w:tc>
        <w:tc>
          <w:tcPr>
            <w:tcW w:w="14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2667E34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41.05 ± 8.24</w:t>
            </w:r>
          </w:p>
        </w:tc>
        <w:tc>
          <w:tcPr>
            <w:tcW w:w="113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1045A8B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12.34 ± 4.21</w:t>
            </w:r>
          </w:p>
        </w:tc>
        <w:tc>
          <w:tcPr>
            <w:tcW w:w="121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F12758B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9.56 ± 3.26</w:t>
            </w:r>
          </w:p>
        </w:tc>
        <w:tc>
          <w:tcPr>
            <w:tcW w:w="149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2341050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45.38 ± 9.55*</w:t>
            </w:r>
          </w:p>
        </w:tc>
        <w:tc>
          <w:tcPr>
            <w:tcW w:w="113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262BD74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14.04 ± 5.66</w:t>
            </w:r>
          </w:p>
        </w:tc>
        <w:tc>
          <w:tcPr>
            <w:tcW w:w="979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10AF6AA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10.52 ± 4.12</w:t>
            </w:r>
          </w:p>
        </w:tc>
      </w:tr>
      <w:tr w:rsidR="0081396C" w14:paraId="1D0EAB6F" w14:textId="77777777" w:rsidTr="002B653D">
        <w:tc>
          <w:tcPr>
            <w:tcW w:w="1633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99E4325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Procalcitonin (PCT, ng/mL)</w:t>
            </w:r>
          </w:p>
        </w:tc>
        <w:tc>
          <w:tcPr>
            <w:tcW w:w="149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782BC5B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0.28 ± 0.05</w:t>
            </w:r>
          </w:p>
        </w:tc>
        <w:tc>
          <w:tcPr>
            <w:tcW w:w="113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D80C7B3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0.12 ± 0.03</w:t>
            </w:r>
          </w:p>
        </w:tc>
        <w:tc>
          <w:tcPr>
            <w:tcW w:w="121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079F34B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0.07 ± 0.02</w:t>
            </w:r>
          </w:p>
        </w:tc>
        <w:tc>
          <w:tcPr>
            <w:tcW w:w="149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1777936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0.30 ± 0.06</w:t>
            </w:r>
          </w:p>
        </w:tc>
        <w:tc>
          <w:tcPr>
            <w:tcW w:w="113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F71D4DA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0.11 ± 0.03</w:t>
            </w:r>
          </w:p>
        </w:tc>
        <w:tc>
          <w:tcPr>
            <w:tcW w:w="979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CFF6691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0.08 ± 0.01</w:t>
            </w:r>
          </w:p>
        </w:tc>
      </w:tr>
    </w:tbl>
    <w:p w14:paraId="56D38462" w14:textId="77777777" w:rsidR="0081396C" w:rsidRDefault="0081396C" w:rsidP="0081396C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B8A9340" w14:textId="77777777" w:rsidR="0081396C" w:rsidRDefault="0081396C" w:rsidP="0081396C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Data are presented as mean ± standard deviation. </w:t>
      </w:r>
      <w:r>
        <w:rPr>
          <w:rStyle w:val="Strong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*</w:t>
      </w:r>
      <w:r>
        <w:rPr>
          <w:rStyle w:val="Strong"/>
          <w:rFonts w:ascii="Times New Roman" w:hAnsi="Times New Roman" w:cs="Times New Roman"/>
          <w:b w:val="0"/>
          <w:bCs w:val="0"/>
          <w:i/>
          <w:iCs/>
          <w:color w:val="000000" w:themeColor="text1"/>
          <w:sz w:val="24"/>
          <w:szCs w:val="24"/>
          <w:shd w:val="clear" w:color="auto" w:fill="FFFFFF"/>
        </w:rPr>
        <w:t>P</w:t>
      </w:r>
      <w:r>
        <w:rPr>
          <w:rStyle w:val="Strong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FFFFFF"/>
        </w:rPr>
        <w:t xml:space="preserve"> &lt; 0.05, **</w:t>
      </w:r>
      <w:r>
        <w:rPr>
          <w:rStyle w:val="Strong"/>
          <w:rFonts w:ascii="Times New Roman" w:hAnsi="Times New Roman" w:cs="Times New Roman"/>
          <w:b w:val="0"/>
          <w:bCs w:val="0"/>
          <w:i/>
          <w:iCs/>
          <w:color w:val="000000" w:themeColor="text1"/>
          <w:sz w:val="24"/>
          <w:szCs w:val="24"/>
          <w:shd w:val="clear" w:color="auto" w:fill="FFFFFF"/>
        </w:rPr>
        <w:t>P</w:t>
      </w:r>
      <w:r>
        <w:rPr>
          <w:rStyle w:val="Strong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FFFFFF"/>
        </w:rPr>
        <w:t xml:space="preserve"> &lt; 0.01, significantly different from the values in the short-course group (unadjusted comparison).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  </w:t>
      </w:r>
    </w:p>
    <w:p w14:paraId="5E3FA416" w14:textId="77777777" w:rsidR="0081396C" w:rsidRDefault="0081396C" w:rsidP="0081396C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14:paraId="4A86D5C7" w14:textId="77777777" w:rsidR="0081396C" w:rsidRDefault="0081396C" w:rsidP="0081396C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14:paraId="31C421D0" w14:textId="77777777" w:rsidR="0081396C" w:rsidRDefault="0081396C" w:rsidP="0081396C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14:paraId="4C51FF54" w14:textId="77777777" w:rsidR="0081396C" w:rsidRDefault="0081396C" w:rsidP="0081396C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0BD2065" w14:textId="77777777" w:rsidR="0081396C" w:rsidRDefault="0081396C" w:rsidP="0081396C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290853A" w14:textId="77777777" w:rsidR="0081396C" w:rsidRDefault="0081396C" w:rsidP="0081396C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D53E74D" w14:textId="77777777" w:rsidR="0081396C" w:rsidRDefault="0081396C" w:rsidP="0081396C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Table 3: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Serial spirometric parameters during follow-up, by treatment duration.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82"/>
        <w:gridCol w:w="1535"/>
        <w:gridCol w:w="1148"/>
        <w:gridCol w:w="1232"/>
        <w:gridCol w:w="1534"/>
        <w:gridCol w:w="1148"/>
        <w:gridCol w:w="1091"/>
      </w:tblGrid>
      <w:tr w:rsidR="0081396C" w14:paraId="4C9CA5AE" w14:textId="77777777" w:rsidTr="002B653D">
        <w:trPr>
          <w:tblHeader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6DD4347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lastRenderedPageBreak/>
              <w:t>Index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16AA726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Short-course group (n=42)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39B4B07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79A0684" w14:textId="77777777" w:rsidR="0081396C" w:rsidRDefault="0081396C" w:rsidP="002B653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AF8A78F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Long-course group (n=60)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040D5DF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25972F9" w14:textId="77777777" w:rsidR="0081396C" w:rsidRDefault="0081396C" w:rsidP="002B653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81396C" w14:paraId="3891CE35" w14:textId="77777777" w:rsidTr="002B653D"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08CE9AA" w14:textId="77777777" w:rsidR="0081396C" w:rsidRDefault="0081396C" w:rsidP="002B653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8ECF65A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Before treatment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5B39B23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1 month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6534948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12 months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42F3881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Before treatment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29795B0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1 month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C565F46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12 months</w:t>
            </w:r>
          </w:p>
        </w:tc>
      </w:tr>
      <w:tr w:rsidR="0081396C" w14:paraId="03185CC7" w14:textId="77777777" w:rsidTr="002B653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CA08F8F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FEV₁ (L)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6B045A7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1.29 ± 0.31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36CF64D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1.61 ± 0.44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631D19F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1.82 ± 0.46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0439F19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1.25 ± 0.28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D3B4FDC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1.58 ± 0.39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773733A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1.65 ± 0.42*</w:t>
            </w:r>
          </w:p>
        </w:tc>
      </w:tr>
      <w:tr w:rsidR="0081396C" w14:paraId="35B444EC" w14:textId="77777777" w:rsidTr="002B653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8ABF690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FVC (L)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81EDBF6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2.38 ± 0.32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2E9618E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2.63 ± 0.34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E5061B9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2.74 ± 0.30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CC1C795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2.40 ± 0.30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1125CA6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2.61 ± 0.27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87904A6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2.63 ± 0.23</w:t>
            </w:r>
          </w:p>
        </w:tc>
      </w:tr>
      <w:tr w:rsidR="0081396C" w14:paraId="2F78E43C" w14:textId="77777777" w:rsidTr="002B653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FC4EBCC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FEV₁/FVC ratio (%)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096D7B0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53.68 ± 5.26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5DD47F6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61.74 ± 6.55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51E9E15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68.20 ± 6.84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2A34CD2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50.86 ± 6.05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DC6C8D0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62.34 ± 6.49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E12BA10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62.98 ± 7.21***</w:t>
            </w:r>
          </w:p>
        </w:tc>
      </w:tr>
      <w:tr w:rsidR="0081396C" w14:paraId="3B08D150" w14:textId="77777777" w:rsidTr="002B653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BD8A557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PEF (L/s)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14BE8C0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2.79 ± 0.30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82CE809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3.23 ± 0.41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DCE9CC1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3.56 ± 0.36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A6058C7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2.81 ± 0.28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D3A9AC3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3.28 ± 0.37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C502E30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3.45 ± 0.44</w:t>
            </w:r>
          </w:p>
        </w:tc>
      </w:tr>
    </w:tbl>
    <w:p w14:paraId="5C52B6CA" w14:textId="77777777" w:rsidR="0081396C" w:rsidRDefault="0081396C" w:rsidP="0081396C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C3B3D38" w14:textId="77777777" w:rsidR="0081396C" w:rsidRDefault="0081396C" w:rsidP="0081396C">
      <w:pPr>
        <w:spacing w:line="360" w:lineRule="auto"/>
        <w:rPr>
          <w:rStyle w:val="Strong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Data are presented as mean ± standard deviation. </w:t>
      </w:r>
      <w:r>
        <w:rPr>
          <w:rStyle w:val="Strong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*</w:t>
      </w:r>
      <w:r>
        <w:rPr>
          <w:rStyle w:val="Strong"/>
          <w:rFonts w:ascii="Times New Roman" w:hAnsi="Times New Roman" w:cs="Times New Roman"/>
          <w:b w:val="0"/>
          <w:bCs w:val="0"/>
          <w:i/>
          <w:iCs/>
          <w:color w:val="000000" w:themeColor="text1"/>
          <w:sz w:val="24"/>
          <w:szCs w:val="24"/>
          <w:shd w:val="clear" w:color="auto" w:fill="FFFFFF"/>
        </w:rPr>
        <w:t>P</w:t>
      </w:r>
      <w:r>
        <w:rPr>
          <w:rStyle w:val="Strong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FFFFFF"/>
        </w:rPr>
        <w:t xml:space="preserve"> &lt; 0.05, ***</w:t>
      </w:r>
      <w:r>
        <w:rPr>
          <w:rStyle w:val="Strong"/>
          <w:rFonts w:ascii="Times New Roman" w:hAnsi="Times New Roman" w:cs="Times New Roman"/>
          <w:b w:val="0"/>
          <w:bCs w:val="0"/>
          <w:i/>
          <w:iCs/>
          <w:color w:val="000000" w:themeColor="text1"/>
          <w:sz w:val="24"/>
          <w:szCs w:val="24"/>
          <w:shd w:val="clear" w:color="auto" w:fill="FFFFFF"/>
        </w:rPr>
        <w:t xml:space="preserve">P </w:t>
      </w:r>
      <w:r>
        <w:rPr>
          <w:rStyle w:val="Strong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FFFFFF"/>
        </w:rPr>
        <w:t xml:space="preserve">&lt; 0.001, significantly different from the values in the short-course group (unadjusted comparison). </w:t>
      </w:r>
      <w:r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 </w:t>
      </w:r>
      <w:r>
        <w:rPr>
          <w:rStyle w:val="Strong"/>
          <w:rFonts w:ascii="Times New Roman" w:hAnsi="Times New Roman" w:cs="Times New Roman"/>
          <w:b w:val="0"/>
          <w:bCs w:val="0"/>
          <w:color w:val="0F1115"/>
          <w:sz w:val="24"/>
          <w:szCs w:val="24"/>
          <w:shd w:val="clear" w:color="auto" w:fill="FFFFFF"/>
        </w:rPr>
        <w:t xml:space="preserve">After ANCOVA adjustment for baseline FEV₁/FVC, the 12-month between-group differences remained significant (adjusted </w:t>
      </w:r>
      <w:r>
        <w:rPr>
          <w:rStyle w:val="Strong"/>
          <w:rFonts w:ascii="Times New Roman" w:hAnsi="Times New Roman" w:cs="Times New Roman"/>
          <w:b w:val="0"/>
          <w:bCs w:val="0"/>
          <w:i/>
          <w:iCs/>
          <w:color w:val="0F1115"/>
          <w:sz w:val="24"/>
          <w:szCs w:val="24"/>
          <w:shd w:val="clear" w:color="auto" w:fill="FFFFFF"/>
        </w:rPr>
        <w:t>P</w:t>
      </w:r>
      <w:r>
        <w:rPr>
          <w:rStyle w:val="Strong"/>
          <w:rFonts w:ascii="Times New Roman" w:hAnsi="Times New Roman" w:cs="Times New Roman"/>
          <w:b w:val="0"/>
          <w:bCs w:val="0"/>
          <w:color w:val="0F1115"/>
          <w:sz w:val="24"/>
          <w:szCs w:val="24"/>
          <w:shd w:val="clear" w:color="auto" w:fill="FFFFFF"/>
        </w:rPr>
        <w:t>&lt;0.05).</w:t>
      </w:r>
      <w:r>
        <w:rPr>
          <w:rStyle w:val="Strong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 </w:t>
      </w:r>
      <w:r>
        <w:rPr>
          <w:rStyle w:val="Strong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FFFFFF"/>
        </w:rPr>
        <w:t xml:space="preserve">The improvement from baseline may partly represent regression to the mean. </w:t>
      </w:r>
    </w:p>
    <w:p w14:paraId="37A88561" w14:textId="77777777" w:rsidR="0081396C" w:rsidRDefault="0081396C" w:rsidP="0081396C">
      <w:pPr>
        <w:spacing w:line="360" w:lineRule="auto"/>
        <w:rPr>
          <w:rStyle w:val="Strong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FFFFFF"/>
        </w:rPr>
      </w:pPr>
    </w:p>
    <w:p w14:paraId="5711B3C7" w14:textId="77777777" w:rsidR="0081396C" w:rsidRDefault="0081396C" w:rsidP="0081396C">
      <w:pPr>
        <w:spacing w:line="360" w:lineRule="auto"/>
        <w:rPr>
          <w:rStyle w:val="Strong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FFFFFF"/>
        </w:rPr>
      </w:pPr>
    </w:p>
    <w:p w14:paraId="5D2AB574" w14:textId="77777777" w:rsidR="0081396C" w:rsidRDefault="0081396C" w:rsidP="0081396C">
      <w:pPr>
        <w:spacing w:line="360" w:lineRule="auto"/>
        <w:rPr>
          <w:rStyle w:val="Strong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FFFFFF"/>
        </w:rPr>
      </w:pPr>
    </w:p>
    <w:p w14:paraId="4A800D04" w14:textId="77777777" w:rsidR="0081396C" w:rsidRDefault="0081396C" w:rsidP="0081396C">
      <w:pPr>
        <w:spacing w:line="360" w:lineRule="auto"/>
        <w:rPr>
          <w:rStyle w:val="Strong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FFFFFF"/>
        </w:rPr>
      </w:pPr>
    </w:p>
    <w:p w14:paraId="2D801F2E" w14:textId="77777777" w:rsidR="0081396C" w:rsidRDefault="0081396C" w:rsidP="0081396C">
      <w:pPr>
        <w:spacing w:line="360" w:lineRule="auto"/>
        <w:rPr>
          <w:rStyle w:val="Strong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FFFFFF"/>
        </w:rPr>
      </w:pPr>
    </w:p>
    <w:p w14:paraId="2739018D" w14:textId="77777777" w:rsidR="0081396C" w:rsidRDefault="0081396C" w:rsidP="0081396C">
      <w:pPr>
        <w:spacing w:line="360" w:lineRule="auto"/>
        <w:rPr>
          <w:rStyle w:val="Strong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FFFFFF"/>
        </w:rPr>
      </w:pPr>
    </w:p>
    <w:p w14:paraId="50FD4FE5" w14:textId="77777777" w:rsidR="0081396C" w:rsidRDefault="0081396C" w:rsidP="0081396C">
      <w:pPr>
        <w:spacing w:line="360" w:lineRule="auto"/>
        <w:rPr>
          <w:rStyle w:val="Strong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FFFFFF"/>
        </w:rPr>
      </w:pPr>
    </w:p>
    <w:p w14:paraId="20EEDD95" w14:textId="77777777" w:rsidR="0081396C" w:rsidRDefault="0081396C" w:rsidP="0081396C">
      <w:pPr>
        <w:spacing w:line="360" w:lineRule="auto"/>
        <w:rPr>
          <w:rStyle w:val="Strong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FFFFFF"/>
        </w:rPr>
      </w:pPr>
    </w:p>
    <w:p w14:paraId="06B76B5C" w14:textId="77777777" w:rsidR="0081396C" w:rsidRDefault="0081396C" w:rsidP="0081396C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59E4DD0" w14:textId="77777777" w:rsidR="0081396C" w:rsidRDefault="0081396C" w:rsidP="0081396C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Table 4: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SGRQ domain scores at baseline and 12 months, by treatment duration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97"/>
        <w:gridCol w:w="2332"/>
        <w:gridCol w:w="1544"/>
        <w:gridCol w:w="2325"/>
        <w:gridCol w:w="1372"/>
      </w:tblGrid>
      <w:tr w:rsidR="0081396C" w14:paraId="4635C4AB" w14:textId="77777777" w:rsidTr="002B653D">
        <w:trPr>
          <w:tblHeader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51BF08A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lastRenderedPageBreak/>
              <w:t>Index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BE7BF03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Short-course group (n=42)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497D0FA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F38B619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Long-course group (n=60)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DAECE86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81396C" w14:paraId="4204A97D" w14:textId="77777777" w:rsidTr="002B653D"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7C6B3BB" w14:textId="77777777" w:rsidR="0081396C" w:rsidRDefault="0081396C" w:rsidP="002B653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CE9DE15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Before treatment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2F99A9A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12 months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CACF104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Before treatment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1A71606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12 months</w:t>
            </w:r>
          </w:p>
        </w:tc>
      </w:tr>
      <w:tr w:rsidR="0081396C" w14:paraId="748374B5" w14:textId="77777777" w:rsidTr="002B653D">
        <w:tc>
          <w:tcPr>
            <w:tcW w:w="0" w:type="auto"/>
            <w:tcBorders>
              <w:top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7E6FAEC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Symptom score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33519C3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64.05 ± 11.49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72A0224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43.37 ± 8.94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1A0F0AE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67.04 ± 12.14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63E0645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46.37 ± 10.05</w:t>
            </w:r>
          </w:p>
        </w:tc>
      </w:tr>
      <w:tr w:rsidR="0081396C" w14:paraId="5915CB4F" w14:textId="77777777" w:rsidTr="002B653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2213651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Activity score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F2DB749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75.08 ± 13.54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7DD6116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52.26 ± 8.59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2E23C52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78.16 ± 11.46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C30D986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57.24 ± 9.47**</w:t>
            </w:r>
          </w:p>
        </w:tc>
      </w:tr>
      <w:tr w:rsidR="0081396C" w14:paraId="1E564073" w14:textId="77777777" w:rsidTr="002B653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425898A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Impact score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F1A45EE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61.45 ± 9.74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DF98A49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48.65 ± 10.35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93AEFA7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64.43 ± 10.22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508D167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53.86 ± 11.05*</w:t>
            </w:r>
          </w:p>
        </w:tc>
      </w:tr>
    </w:tbl>
    <w:p w14:paraId="6DF3420F" w14:textId="77777777" w:rsidR="0081396C" w:rsidRDefault="0081396C" w:rsidP="0081396C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83A21D3" w14:textId="77777777" w:rsidR="0081396C" w:rsidRDefault="0081396C" w:rsidP="0081396C">
      <w:pPr>
        <w:spacing w:line="360" w:lineRule="auto"/>
        <w:rPr>
          <w:rStyle w:val="Strong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Data are presented as mean ± standard deviation. </w:t>
      </w:r>
      <w:r>
        <w:rPr>
          <w:rStyle w:val="Strong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*</w:t>
      </w:r>
      <w:r>
        <w:rPr>
          <w:rStyle w:val="Strong"/>
          <w:rFonts w:ascii="Times New Roman" w:hAnsi="Times New Roman" w:cs="Times New Roman"/>
          <w:b w:val="0"/>
          <w:bCs w:val="0"/>
          <w:i/>
          <w:iCs/>
          <w:color w:val="000000" w:themeColor="text1"/>
          <w:sz w:val="24"/>
          <w:szCs w:val="24"/>
          <w:shd w:val="clear" w:color="auto" w:fill="FFFFFF"/>
        </w:rPr>
        <w:t>P</w:t>
      </w:r>
      <w:r>
        <w:rPr>
          <w:rStyle w:val="Strong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FFFFFF"/>
        </w:rPr>
        <w:t xml:space="preserve"> &lt; 0.05, **</w:t>
      </w:r>
      <w:r>
        <w:rPr>
          <w:rStyle w:val="Strong"/>
          <w:rFonts w:ascii="Times New Roman" w:hAnsi="Times New Roman" w:cs="Times New Roman"/>
          <w:b w:val="0"/>
          <w:bCs w:val="0"/>
          <w:i/>
          <w:iCs/>
          <w:color w:val="000000" w:themeColor="text1"/>
          <w:sz w:val="24"/>
          <w:szCs w:val="24"/>
          <w:shd w:val="clear" w:color="auto" w:fill="FFFFFF"/>
        </w:rPr>
        <w:t>P</w:t>
      </w:r>
      <w:r>
        <w:rPr>
          <w:rStyle w:val="Strong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FFFFFF"/>
        </w:rPr>
        <w:t xml:space="preserve"> &lt; 0.01, significantly different from the values in the short-course group (unadjusted comparison). After ANCOVA adjustment for baseline SGRQ scores, the 12-month between-group differences in activity and impact scores remained significant (adjusted </w:t>
      </w:r>
      <w:r>
        <w:rPr>
          <w:rStyle w:val="Strong"/>
          <w:rFonts w:ascii="Times New Roman" w:hAnsi="Times New Roman" w:cs="Times New Roman"/>
          <w:b w:val="0"/>
          <w:bCs w:val="0"/>
          <w:i/>
          <w:iCs/>
          <w:color w:val="000000" w:themeColor="text1"/>
          <w:sz w:val="24"/>
          <w:szCs w:val="24"/>
          <w:shd w:val="clear" w:color="auto" w:fill="FFFFFF"/>
        </w:rPr>
        <w:t>P</w:t>
      </w:r>
      <w:r>
        <w:rPr>
          <w:rStyle w:val="Strong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FFFFFF"/>
        </w:rPr>
        <w:t xml:space="preserve">&lt;0.05). </w:t>
      </w:r>
    </w:p>
    <w:p w14:paraId="5930768A" w14:textId="77777777" w:rsidR="0081396C" w:rsidRDefault="0081396C" w:rsidP="0081396C">
      <w:pPr>
        <w:spacing w:line="360" w:lineRule="auto"/>
        <w:rPr>
          <w:rStyle w:val="Strong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14:paraId="334072A3" w14:textId="77777777" w:rsidR="0081396C" w:rsidRDefault="0081396C" w:rsidP="0081396C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A7A9D46" w14:textId="77777777" w:rsidR="0081396C" w:rsidRDefault="0081396C" w:rsidP="0081396C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CF059E6" w14:textId="77777777" w:rsidR="0081396C" w:rsidRDefault="0081396C" w:rsidP="0081396C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BB5B3BC" w14:textId="77777777" w:rsidR="0081396C" w:rsidRDefault="0081396C" w:rsidP="0081396C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4BCEB58" w14:textId="77777777" w:rsidR="0081396C" w:rsidRDefault="0081396C" w:rsidP="0081396C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E9D63B6" w14:textId="77777777" w:rsidR="0081396C" w:rsidRDefault="0081396C" w:rsidP="0081396C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70727AB" w14:textId="77777777" w:rsidR="0081396C" w:rsidRDefault="0081396C" w:rsidP="0081396C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88989FC" w14:textId="77777777" w:rsidR="0081396C" w:rsidRDefault="0081396C" w:rsidP="0081396C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F7F7199" w14:textId="77777777" w:rsidR="0081396C" w:rsidRDefault="0081396C" w:rsidP="0081396C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735C762" w14:textId="77777777" w:rsidR="0081396C" w:rsidRDefault="0081396C" w:rsidP="0081396C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52EDB68" w14:textId="77777777" w:rsidR="0081396C" w:rsidRDefault="0081396C" w:rsidP="0081396C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1A418B3" w14:textId="77777777" w:rsidR="0081396C" w:rsidRDefault="0081396C" w:rsidP="0081396C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F543E81" w14:textId="77777777" w:rsidR="0081396C" w:rsidRDefault="0081396C" w:rsidP="0081396C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DEEAC89" w14:textId="77777777" w:rsidR="0081396C" w:rsidRDefault="0081396C" w:rsidP="0081396C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Table 5: </w:t>
      </w:r>
      <w:r>
        <w:rPr>
          <w:rStyle w:val="Strong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One-year prognosis by </w:t>
      </w:r>
      <w:r>
        <w:rPr>
          <w:rStyle w:val="Emphasis"/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P. aeruginosa</w:t>
      </w:r>
      <w:r>
        <w:rPr>
          <w:rStyle w:val="Strong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 load and treatment duration in bronchiectasis. 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29"/>
        <w:gridCol w:w="1856"/>
        <w:gridCol w:w="1856"/>
        <w:gridCol w:w="1789"/>
        <w:gridCol w:w="1840"/>
      </w:tblGrid>
      <w:tr w:rsidR="0081396C" w14:paraId="24A31CFD" w14:textId="77777777" w:rsidTr="002B653D">
        <w:trPr>
          <w:tblHeader/>
        </w:trPr>
        <w:tc>
          <w:tcPr>
            <w:tcW w:w="1729" w:type="dxa"/>
            <w:tcBorders>
              <w:bottom w:val="single" w:sz="4" w:space="0" w:color="auto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85DDD28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F1115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F1115"/>
                <w:kern w:val="0"/>
                <w:sz w:val="24"/>
                <w:szCs w:val="24"/>
              </w:rPr>
              <w:lastRenderedPageBreak/>
              <w:t>Variable</w:t>
            </w:r>
          </w:p>
        </w:tc>
        <w:tc>
          <w:tcPr>
            <w:tcW w:w="1856" w:type="dxa"/>
            <w:tcBorders>
              <w:bottom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3FA3C1F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F1115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F1115"/>
                <w:kern w:val="0"/>
                <w:sz w:val="24"/>
                <w:szCs w:val="24"/>
              </w:rPr>
              <w:t>Short-course group (n=42)</w:t>
            </w:r>
          </w:p>
        </w:tc>
        <w:tc>
          <w:tcPr>
            <w:tcW w:w="1856" w:type="dxa"/>
            <w:tcBorders>
              <w:bottom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1E13D03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F1115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F1115"/>
                <w:kern w:val="0"/>
                <w:sz w:val="24"/>
                <w:szCs w:val="24"/>
              </w:rPr>
              <w:t>Long-course group (n=60)</w:t>
            </w:r>
          </w:p>
        </w:tc>
        <w:tc>
          <w:tcPr>
            <w:tcW w:w="1789" w:type="dxa"/>
            <w:tcBorders>
              <w:bottom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8EE8E6E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F1115"/>
                <w:kern w:val="0"/>
                <w:sz w:val="24"/>
                <w:szCs w:val="24"/>
              </w:rPr>
            </w:pPr>
          </w:p>
        </w:tc>
        <w:tc>
          <w:tcPr>
            <w:tcW w:w="1840" w:type="dxa"/>
            <w:tcBorders>
              <w:bottom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2DAF2D9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F1115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F1115"/>
                <w:kern w:val="0"/>
                <w:sz w:val="24"/>
                <w:szCs w:val="24"/>
              </w:rPr>
              <w:t>P</w:t>
            </w:r>
            <w:r>
              <w:rPr>
                <w:rFonts w:ascii="Times New Roman" w:eastAsia="SimSun" w:hAnsi="Times New Roman" w:cs="Times New Roman"/>
                <w:color w:val="0F1115"/>
                <w:kern w:val="0"/>
                <w:sz w:val="24"/>
                <w:szCs w:val="24"/>
              </w:rPr>
              <w:t>-value (Overall)</w:t>
            </w:r>
          </w:p>
        </w:tc>
      </w:tr>
      <w:tr w:rsidR="0081396C" w14:paraId="62CD8D6C" w14:textId="77777777" w:rsidTr="002B653D">
        <w:tc>
          <w:tcPr>
            <w:tcW w:w="1729" w:type="dxa"/>
            <w:tcBorders>
              <w:top w:val="single" w:sz="4" w:space="0" w:color="auto"/>
              <w:bottom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09BEB8F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F1115"/>
                <w:kern w:val="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bottom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8A888AB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F1115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F1115"/>
                <w:kern w:val="0"/>
                <w:sz w:val="24"/>
                <w:szCs w:val="24"/>
              </w:rPr>
              <w:t>Low </w:t>
            </w:r>
            <w:r>
              <w:rPr>
                <w:rFonts w:ascii="Times New Roman" w:eastAsia="SimSun" w:hAnsi="Times New Roman" w:cs="Times New Roman"/>
                <w:i/>
                <w:iCs/>
                <w:color w:val="0F1115"/>
                <w:kern w:val="0"/>
                <w:sz w:val="24"/>
                <w:szCs w:val="24"/>
              </w:rPr>
              <w:t>P. aeruginosa</w:t>
            </w:r>
            <w:r>
              <w:rPr>
                <w:rFonts w:ascii="Times New Roman" w:eastAsia="SimSun" w:hAnsi="Times New Roman" w:cs="Times New Roman"/>
                <w:color w:val="0F1115"/>
                <w:kern w:val="0"/>
                <w:sz w:val="24"/>
                <w:szCs w:val="24"/>
              </w:rPr>
              <w:t> load (n=42)</w:t>
            </w:r>
          </w:p>
        </w:tc>
        <w:tc>
          <w:tcPr>
            <w:tcW w:w="1856" w:type="dxa"/>
            <w:tcBorders>
              <w:top w:val="single" w:sz="4" w:space="0" w:color="auto"/>
              <w:bottom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48FD90C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F1115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F1115"/>
                <w:kern w:val="0"/>
                <w:sz w:val="24"/>
                <w:szCs w:val="24"/>
              </w:rPr>
              <w:t>Low </w:t>
            </w:r>
            <w:r>
              <w:rPr>
                <w:rFonts w:ascii="Times New Roman" w:eastAsia="SimSun" w:hAnsi="Times New Roman" w:cs="Times New Roman"/>
                <w:i/>
                <w:iCs/>
                <w:color w:val="0F1115"/>
                <w:kern w:val="0"/>
                <w:sz w:val="24"/>
                <w:szCs w:val="24"/>
              </w:rPr>
              <w:t>P. aeruginosa</w:t>
            </w:r>
            <w:r>
              <w:rPr>
                <w:rFonts w:ascii="Times New Roman" w:eastAsia="SimSun" w:hAnsi="Times New Roman" w:cs="Times New Roman"/>
                <w:color w:val="0F1115"/>
                <w:kern w:val="0"/>
                <w:sz w:val="24"/>
                <w:szCs w:val="24"/>
              </w:rPr>
              <w:t> load (n=32)</w:t>
            </w:r>
          </w:p>
        </w:tc>
        <w:tc>
          <w:tcPr>
            <w:tcW w:w="1789" w:type="dxa"/>
            <w:tcBorders>
              <w:top w:val="single" w:sz="4" w:space="0" w:color="auto"/>
              <w:bottom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D865B6D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F1115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F1115"/>
                <w:kern w:val="0"/>
                <w:sz w:val="24"/>
                <w:szCs w:val="24"/>
              </w:rPr>
              <w:t>High </w:t>
            </w:r>
            <w:r>
              <w:rPr>
                <w:rFonts w:ascii="Times New Roman" w:eastAsia="SimSun" w:hAnsi="Times New Roman" w:cs="Times New Roman"/>
                <w:i/>
                <w:iCs/>
                <w:color w:val="0F1115"/>
                <w:kern w:val="0"/>
                <w:sz w:val="24"/>
                <w:szCs w:val="24"/>
              </w:rPr>
              <w:t>P. aeruginosa</w:t>
            </w:r>
            <w:r>
              <w:rPr>
                <w:rFonts w:ascii="Times New Roman" w:eastAsia="SimSun" w:hAnsi="Times New Roman" w:cs="Times New Roman"/>
                <w:color w:val="0F1115"/>
                <w:kern w:val="0"/>
                <w:sz w:val="24"/>
                <w:szCs w:val="24"/>
              </w:rPr>
              <w:t> load (n=28)</w:t>
            </w:r>
          </w:p>
        </w:tc>
        <w:tc>
          <w:tcPr>
            <w:tcW w:w="1840" w:type="dxa"/>
            <w:tcBorders>
              <w:top w:val="single" w:sz="4" w:space="0" w:color="auto"/>
              <w:bottom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66E5C08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F1115"/>
                <w:kern w:val="0"/>
                <w:sz w:val="24"/>
                <w:szCs w:val="24"/>
              </w:rPr>
            </w:pPr>
          </w:p>
        </w:tc>
      </w:tr>
      <w:tr w:rsidR="0081396C" w14:paraId="240A2A0A" w14:textId="77777777" w:rsidTr="002B653D">
        <w:tc>
          <w:tcPr>
            <w:tcW w:w="1729" w:type="dxa"/>
            <w:tcBorders>
              <w:top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2B7655E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F1115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F1115"/>
                <w:kern w:val="0"/>
                <w:sz w:val="24"/>
                <w:szCs w:val="24"/>
              </w:rPr>
              <w:t>Rehospitalization</w:t>
            </w:r>
          </w:p>
        </w:tc>
        <w:tc>
          <w:tcPr>
            <w:tcW w:w="1856" w:type="dxa"/>
            <w:tcBorders>
              <w:top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0B887A9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F1115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F1115"/>
                <w:kern w:val="0"/>
                <w:sz w:val="24"/>
                <w:szCs w:val="24"/>
              </w:rPr>
              <w:t>18 (42.8%)</w:t>
            </w:r>
          </w:p>
        </w:tc>
        <w:tc>
          <w:tcPr>
            <w:tcW w:w="1856" w:type="dxa"/>
            <w:tcBorders>
              <w:top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239474C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F1115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F1115"/>
                <w:kern w:val="0"/>
                <w:sz w:val="24"/>
                <w:szCs w:val="24"/>
              </w:rPr>
              <w:t>13 (40.6%)</w:t>
            </w:r>
          </w:p>
        </w:tc>
        <w:tc>
          <w:tcPr>
            <w:tcW w:w="1789" w:type="dxa"/>
            <w:tcBorders>
              <w:top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A710479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F1115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F1115"/>
                <w:kern w:val="0"/>
                <w:sz w:val="24"/>
                <w:szCs w:val="24"/>
              </w:rPr>
              <w:t>14 (50.0%)</w:t>
            </w:r>
          </w:p>
        </w:tc>
        <w:tc>
          <w:tcPr>
            <w:tcW w:w="1840" w:type="dxa"/>
            <w:tcBorders>
              <w:top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CC59C4D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F1115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F1115"/>
                <w:kern w:val="0"/>
                <w:sz w:val="24"/>
                <w:szCs w:val="24"/>
              </w:rPr>
              <w:t>0.749†</w:t>
            </w:r>
          </w:p>
        </w:tc>
      </w:tr>
      <w:tr w:rsidR="0081396C" w14:paraId="1B16499F" w14:textId="77777777" w:rsidTr="002B653D">
        <w:tc>
          <w:tcPr>
            <w:tcW w:w="1729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4FB82F9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F1115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F1115"/>
                <w:kern w:val="0"/>
                <w:sz w:val="24"/>
                <w:szCs w:val="24"/>
              </w:rPr>
              <w:t>BSI severity at readmission</w:t>
            </w:r>
          </w:p>
        </w:tc>
        <w:tc>
          <w:tcPr>
            <w:tcW w:w="185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FDC4CEB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F1115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F1115"/>
                <w:kern w:val="0"/>
                <w:sz w:val="24"/>
                <w:szCs w:val="24"/>
              </w:rPr>
              <w:t>(n=18)</w:t>
            </w:r>
          </w:p>
        </w:tc>
        <w:tc>
          <w:tcPr>
            <w:tcW w:w="185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17FB1A2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F1115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F1115"/>
                <w:kern w:val="0"/>
                <w:sz w:val="24"/>
                <w:szCs w:val="24"/>
              </w:rPr>
              <w:t>(n=13)</w:t>
            </w:r>
          </w:p>
        </w:tc>
        <w:tc>
          <w:tcPr>
            <w:tcW w:w="178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ACE5AAA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F1115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F1115"/>
                <w:kern w:val="0"/>
                <w:sz w:val="24"/>
                <w:szCs w:val="24"/>
              </w:rPr>
              <w:t>(n=14)</w:t>
            </w:r>
          </w:p>
        </w:tc>
        <w:tc>
          <w:tcPr>
            <w:tcW w:w="1840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978D1D3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F1115"/>
                <w:kern w:val="0"/>
                <w:sz w:val="24"/>
                <w:szCs w:val="24"/>
              </w:rPr>
            </w:pPr>
          </w:p>
        </w:tc>
      </w:tr>
      <w:tr w:rsidR="0081396C" w14:paraId="4BC81818" w14:textId="77777777" w:rsidTr="002B653D">
        <w:tc>
          <w:tcPr>
            <w:tcW w:w="1729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113148E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F1115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F1115"/>
                <w:kern w:val="0"/>
                <w:sz w:val="24"/>
                <w:szCs w:val="24"/>
              </w:rPr>
              <w:t>Mild-to-moderate</w:t>
            </w:r>
          </w:p>
        </w:tc>
        <w:tc>
          <w:tcPr>
            <w:tcW w:w="185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408637B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F1115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F1115"/>
                <w:kern w:val="0"/>
                <w:sz w:val="24"/>
                <w:szCs w:val="24"/>
              </w:rPr>
              <w:t>17/18 (94.4%)</w:t>
            </w:r>
          </w:p>
        </w:tc>
        <w:tc>
          <w:tcPr>
            <w:tcW w:w="185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0DD1BA2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F1115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F1115"/>
                <w:kern w:val="0"/>
                <w:sz w:val="24"/>
                <w:szCs w:val="24"/>
              </w:rPr>
              <w:t>11/13 (84.6%)</w:t>
            </w:r>
          </w:p>
        </w:tc>
        <w:tc>
          <w:tcPr>
            <w:tcW w:w="178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D79E74C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F1115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F1115"/>
                <w:kern w:val="0"/>
                <w:sz w:val="24"/>
                <w:szCs w:val="24"/>
              </w:rPr>
              <w:t>8/14 (57.1%)</w:t>
            </w:r>
          </w:p>
        </w:tc>
        <w:tc>
          <w:tcPr>
            <w:tcW w:w="1840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8AB3975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F1115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F1115"/>
                <w:kern w:val="0"/>
                <w:sz w:val="24"/>
                <w:szCs w:val="24"/>
              </w:rPr>
              <w:t>—</w:t>
            </w:r>
          </w:p>
        </w:tc>
      </w:tr>
      <w:tr w:rsidR="0081396C" w14:paraId="36958D89" w14:textId="77777777" w:rsidTr="002B653D">
        <w:tc>
          <w:tcPr>
            <w:tcW w:w="1729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6511B59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F1115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F1115"/>
                <w:kern w:val="0"/>
                <w:sz w:val="24"/>
                <w:szCs w:val="24"/>
              </w:rPr>
              <w:t>Severe</w:t>
            </w:r>
          </w:p>
        </w:tc>
        <w:tc>
          <w:tcPr>
            <w:tcW w:w="185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092FBE1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F1115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F1115"/>
                <w:kern w:val="0"/>
                <w:sz w:val="24"/>
                <w:szCs w:val="24"/>
              </w:rPr>
              <w:t>1/18 (5.6%)</w:t>
            </w:r>
          </w:p>
        </w:tc>
        <w:tc>
          <w:tcPr>
            <w:tcW w:w="185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1D59259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F1115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F1115"/>
                <w:kern w:val="0"/>
                <w:sz w:val="24"/>
                <w:szCs w:val="24"/>
              </w:rPr>
              <w:t>2/13 (15.4%)</w:t>
            </w:r>
          </w:p>
        </w:tc>
        <w:tc>
          <w:tcPr>
            <w:tcW w:w="178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95C2F3C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F1115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F1115"/>
                <w:kern w:val="0"/>
                <w:sz w:val="24"/>
                <w:szCs w:val="24"/>
              </w:rPr>
              <w:t>6/14 (42.9%)</w:t>
            </w:r>
          </w:p>
        </w:tc>
        <w:tc>
          <w:tcPr>
            <w:tcW w:w="1840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08CDA0B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F1115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F1115"/>
                <w:kern w:val="0"/>
                <w:sz w:val="24"/>
                <w:szCs w:val="24"/>
              </w:rPr>
              <w:t>0.029††</w:t>
            </w:r>
          </w:p>
        </w:tc>
      </w:tr>
      <w:tr w:rsidR="0081396C" w14:paraId="15C8BE74" w14:textId="77777777" w:rsidTr="002B653D">
        <w:tc>
          <w:tcPr>
            <w:tcW w:w="1729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2637F13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F1115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F1115"/>
                <w:kern w:val="0"/>
                <w:sz w:val="24"/>
                <w:szCs w:val="24"/>
              </w:rPr>
              <w:t>Antibiotic-free interval</w:t>
            </w:r>
          </w:p>
        </w:tc>
        <w:tc>
          <w:tcPr>
            <w:tcW w:w="185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E0ECF5F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F1115"/>
                <w:kern w:val="0"/>
                <w:sz w:val="24"/>
                <w:szCs w:val="24"/>
              </w:rPr>
            </w:pPr>
          </w:p>
        </w:tc>
        <w:tc>
          <w:tcPr>
            <w:tcW w:w="185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93656AF" w14:textId="77777777" w:rsidR="0081396C" w:rsidRDefault="0081396C" w:rsidP="002B653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78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4A87C59" w14:textId="77777777" w:rsidR="0081396C" w:rsidRDefault="0081396C" w:rsidP="002B653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0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EB73714" w14:textId="77777777" w:rsidR="0081396C" w:rsidRDefault="0081396C" w:rsidP="002B653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81396C" w14:paraId="2AA62C23" w14:textId="77777777" w:rsidTr="002B653D">
        <w:tc>
          <w:tcPr>
            <w:tcW w:w="1729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13F26DB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F1115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F1115"/>
                <w:kern w:val="0"/>
                <w:sz w:val="24"/>
                <w:szCs w:val="24"/>
              </w:rPr>
              <w:t>≤6 months</w:t>
            </w:r>
          </w:p>
        </w:tc>
        <w:tc>
          <w:tcPr>
            <w:tcW w:w="185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EC27AAB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F1115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F1115"/>
                <w:kern w:val="0"/>
                <w:sz w:val="24"/>
                <w:szCs w:val="24"/>
              </w:rPr>
              <w:t>4 (9.5%)</w:t>
            </w:r>
          </w:p>
        </w:tc>
        <w:tc>
          <w:tcPr>
            <w:tcW w:w="185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5E8ED88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F1115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F1115"/>
                <w:kern w:val="0"/>
                <w:sz w:val="24"/>
                <w:szCs w:val="24"/>
              </w:rPr>
              <w:t>3 (9.4%)</w:t>
            </w:r>
          </w:p>
        </w:tc>
        <w:tc>
          <w:tcPr>
            <w:tcW w:w="178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3ED342D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F1115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F1115"/>
                <w:kern w:val="0"/>
                <w:sz w:val="24"/>
                <w:szCs w:val="24"/>
              </w:rPr>
              <w:t>8 (28.6%)</w:t>
            </w:r>
          </w:p>
        </w:tc>
        <w:tc>
          <w:tcPr>
            <w:tcW w:w="1840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DF77DE9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F1115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F1115"/>
                <w:kern w:val="0"/>
                <w:sz w:val="24"/>
                <w:szCs w:val="24"/>
              </w:rPr>
              <w:t>0.052†††</w:t>
            </w:r>
          </w:p>
        </w:tc>
      </w:tr>
      <w:tr w:rsidR="0081396C" w14:paraId="24F8B694" w14:textId="77777777" w:rsidTr="002B653D">
        <w:tc>
          <w:tcPr>
            <w:tcW w:w="1729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3F8020C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F1115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F1115"/>
                <w:kern w:val="0"/>
                <w:sz w:val="24"/>
                <w:szCs w:val="24"/>
              </w:rPr>
              <w:t>&gt;6 months</w:t>
            </w:r>
          </w:p>
        </w:tc>
        <w:tc>
          <w:tcPr>
            <w:tcW w:w="185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C735D34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F1115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F1115"/>
                <w:kern w:val="0"/>
                <w:sz w:val="24"/>
                <w:szCs w:val="24"/>
              </w:rPr>
              <w:t>14 (33.3%)</w:t>
            </w:r>
          </w:p>
        </w:tc>
        <w:tc>
          <w:tcPr>
            <w:tcW w:w="185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0CB5B60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F1115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F1115"/>
                <w:kern w:val="0"/>
                <w:sz w:val="24"/>
                <w:szCs w:val="24"/>
              </w:rPr>
              <w:t>10 (31.3%)</w:t>
            </w:r>
          </w:p>
        </w:tc>
        <w:tc>
          <w:tcPr>
            <w:tcW w:w="178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47D304A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F1115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F1115"/>
                <w:kern w:val="0"/>
                <w:sz w:val="24"/>
                <w:szCs w:val="24"/>
              </w:rPr>
              <w:t>6 (21.4%)</w:t>
            </w:r>
          </w:p>
        </w:tc>
        <w:tc>
          <w:tcPr>
            <w:tcW w:w="1840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1B26C7D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F1115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F1115"/>
                <w:kern w:val="0"/>
                <w:sz w:val="24"/>
                <w:szCs w:val="24"/>
              </w:rPr>
              <w:t>0.543†††</w:t>
            </w:r>
          </w:p>
        </w:tc>
      </w:tr>
      <w:tr w:rsidR="0081396C" w14:paraId="02D490CA" w14:textId="77777777" w:rsidTr="002B653D">
        <w:tc>
          <w:tcPr>
            <w:tcW w:w="1729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48103F5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F1115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F1115"/>
                <w:kern w:val="0"/>
                <w:sz w:val="24"/>
                <w:szCs w:val="24"/>
              </w:rPr>
              <w:t>No antibiotic reuse</w:t>
            </w:r>
          </w:p>
        </w:tc>
        <w:tc>
          <w:tcPr>
            <w:tcW w:w="185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481D70D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F1115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F1115"/>
                <w:kern w:val="0"/>
                <w:sz w:val="24"/>
                <w:szCs w:val="24"/>
              </w:rPr>
              <w:t>24 (57.1%)</w:t>
            </w:r>
          </w:p>
        </w:tc>
        <w:tc>
          <w:tcPr>
            <w:tcW w:w="185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423C9BD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F1115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F1115"/>
                <w:kern w:val="0"/>
                <w:sz w:val="24"/>
                <w:szCs w:val="24"/>
              </w:rPr>
              <w:t>19 (59.4%)</w:t>
            </w:r>
          </w:p>
        </w:tc>
        <w:tc>
          <w:tcPr>
            <w:tcW w:w="178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BFF4474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F1115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F1115"/>
                <w:kern w:val="0"/>
                <w:sz w:val="24"/>
                <w:szCs w:val="24"/>
              </w:rPr>
              <w:t>14 (50.0%)</w:t>
            </w:r>
          </w:p>
        </w:tc>
        <w:tc>
          <w:tcPr>
            <w:tcW w:w="1840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AF20C75" w14:textId="77777777" w:rsidR="0081396C" w:rsidRDefault="0081396C" w:rsidP="002B653D">
            <w:pPr>
              <w:widowControl/>
              <w:jc w:val="left"/>
              <w:rPr>
                <w:rFonts w:ascii="Times New Roman" w:eastAsia="SimSun" w:hAnsi="Times New Roman" w:cs="Times New Roman"/>
                <w:color w:val="0F1115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F1115"/>
                <w:kern w:val="0"/>
                <w:sz w:val="24"/>
                <w:szCs w:val="24"/>
              </w:rPr>
              <w:t>0.749†††</w:t>
            </w:r>
          </w:p>
        </w:tc>
      </w:tr>
    </w:tbl>
    <w:p w14:paraId="2FC35646" w14:textId="77777777" w:rsidR="0081396C" w:rsidRDefault="0081396C" w:rsidP="0081396C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3D17A72" w14:textId="77777777" w:rsidR="0081396C" w:rsidRDefault="0081396C" w:rsidP="0081396C">
      <w:pPr>
        <w:spacing w:line="360" w:lineRule="auto"/>
        <w:rPr>
          <w:rFonts w:ascii="Times New Roman" w:hAnsi="Times New Roman" w:cs="Times New Roman"/>
          <w:color w:val="0F1115"/>
          <w:sz w:val="24"/>
          <w:szCs w:val="24"/>
        </w:rPr>
      </w:pPr>
      <w:r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Data are presented as n (%). Percentages for rehospitalization and antibiotic re-initiation intervals use the full subgroup as denominator (n/N_total). BSI severity at readmission is reported for rehospitalized patients only, with percentages calculated within each rehospitalized subgroup (n/N_rehospitalized); the number of rehospitalized patients per subgroup is indicated in the row header. All high-load patients received long-course therapy by clinician decision.</w:t>
      </w:r>
      <w:r>
        <w:rPr>
          <w:rFonts w:ascii="Times New Roman" w:hAnsi="Times New Roman" w:cs="Times New Roman"/>
          <w:color w:val="0F1115"/>
          <w:sz w:val="24"/>
          <w:szCs w:val="24"/>
        </w:rPr>
        <w:t xml:space="preserve"> </w:t>
      </w:r>
    </w:p>
    <w:p w14:paraId="46534F0A" w14:textId="77777777" w:rsidR="0081396C" w:rsidRDefault="0081396C" w:rsidP="0081396C">
      <w:pPr>
        <w:spacing w:line="360" w:lineRule="auto"/>
        <w:rPr>
          <w:rFonts w:ascii="Times New Roman" w:hAnsi="Times New Roman" w:cs="Times New Roman"/>
          <w:color w:val="0F1115"/>
          <w:sz w:val="24"/>
          <w:szCs w:val="24"/>
        </w:rPr>
      </w:pPr>
      <w:r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  <w:vertAlign w:val="superscript"/>
        </w:rPr>
        <w:t>†</w:t>
      </w:r>
      <w:r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 Rehospitalization rate: χ² test (3×2).</w:t>
      </w:r>
      <w:r>
        <w:rPr>
          <w:rFonts w:ascii="Times New Roman" w:hAnsi="Times New Roman" w:cs="Times New Roman"/>
          <w:color w:val="0F111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  <w:vertAlign w:val="superscript"/>
        </w:rPr>
        <w:t xml:space="preserve">†† </w:t>
      </w:r>
      <w:r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BSI severity (among rehospitalized): χ² test (3×2).</w:t>
      </w:r>
      <w:r>
        <w:rPr>
          <w:rFonts w:ascii="Times New Roman" w:hAnsi="Times New Roman" w:cs="Times New Roman"/>
          <w:color w:val="0F1115"/>
          <w:sz w:val="24"/>
          <w:szCs w:val="24"/>
        </w:rPr>
        <w:t xml:space="preserve"> </w:t>
      </w:r>
    </w:p>
    <w:p w14:paraId="050C1491" w14:textId="77777777" w:rsidR="0081396C" w:rsidRDefault="0081396C" w:rsidP="0081396C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  <w:vertAlign w:val="superscript"/>
        </w:rPr>
        <w:t xml:space="preserve">††† </w:t>
      </w:r>
      <w:r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Antibiotic interval categories: χ² tests (3×2). </w:t>
      </w:r>
    </w:p>
    <w:p w14:paraId="1140387A" w14:textId="77777777" w:rsidR="00DE6AE2" w:rsidRDefault="00DE6AE2"/>
    <w:sectPr w:rsidR="00DE6AE2" w:rsidSect="0081396C">
      <w:footerReference w:type="default" r:id="rId4"/>
      <w:pgSz w:w="11906" w:h="16838"/>
      <w:pgMar w:top="1418" w:right="1418" w:bottom="1418" w:left="1418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99922785"/>
    </w:sdtPr>
    <w:sdtContent>
      <w:p w14:paraId="3B7DC1AA" w14:textId="77777777" w:rsidR="0081396C" w:rsidRDefault="0081396C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627B5911" w14:textId="77777777" w:rsidR="0081396C" w:rsidRDefault="0081396C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96C"/>
    <w:rsid w:val="00195413"/>
    <w:rsid w:val="003A03A7"/>
    <w:rsid w:val="003D0186"/>
    <w:rsid w:val="004B02E1"/>
    <w:rsid w:val="007278E4"/>
    <w:rsid w:val="0081396C"/>
    <w:rsid w:val="00A3738C"/>
    <w:rsid w:val="00B91ABC"/>
    <w:rsid w:val="00BC6C35"/>
    <w:rsid w:val="00CB270D"/>
    <w:rsid w:val="00CF7583"/>
    <w:rsid w:val="00DE6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E3211E"/>
  <w15:chartTrackingRefBased/>
  <w15:docId w15:val="{4C1C9E07-4AF1-4919-887A-A1348D7A3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396C"/>
    <w:pPr>
      <w:widowControl w:val="0"/>
      <w:spacing w:after="0" w:line="240" w:lineRule="auto"/>
      <w:jc w:val="both"/>
    </w:pPr>
    <w:rPr>
      <w:rFonts w:eastAsiaTheme="minorEastAsia"/>
      <w:sz w:val="21"/>
      <w:szCs w:val="22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396C"/>
    <w:pPr>
      <w:keepNext/>
      <w:keepLines/>
      <w:widowControl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396C"/>
    <w:pPr>
      <w:keepNext/>
      <w:keepLines/>
      <w:widowControl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396C"/>
    <w:pPr>
      <w:keepNext/>
      <w:keepLines/>
      <w:widowControl/>
      <w:spacing w:before="160" w:after="80" w:line="278" w:lineRule="auto"/>
      <w:jc w:val="left"/>
      <w:outlineLvl w:val="2"/>
    </w:pPr>
    <w:rPr>
      <w:rFonts w:eastAsiaTheme="majorEastAsia" w:cstheme="majorBidi"/>
      <w:color w:val="0F4761" w:themeColor="accent1" w:themeShade="BF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396C"/>
    <w:pPr>
      <w:keepNext/>
      <w:keepLines/>
      <w:widowControl/>
      <w:spacing w:before="80" w:after="40" w:line="278" w:lineRule="auto"/>
      <w:jc w:val="left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396C"/>
    <w:pPr>
      <w:keepNext/>
      <w:keepLines/>
      <w:widowControl/>
      <w:spacing w:before="80" w:after="40" w:line="278" w:lineRule="auto"/>
      <w:jc w:val="left"/>
      <w:outlineLvl w:val="4"/>
    </w:pPr>
    <w:rPr>
      <w:rFonts w:eastAsiaTheme="majorEastAsia" w:cstheme="majorBidi"/>
      <w:color w:val="0F4761" w:themeColor="accent1" w:themeShade="BF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396C"/>
    <w:pPr>
      <w:keepNext/>
      <w:keepLines/>
      <w:widowControl/>
      <w:spacing w:before="40" w:line="278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396C"/>
    <w:pPr>
      <w:keepNext/>
      <w:keepLines/>
      <w:widowControl/>
      <w:spacing w:before="40" w:line="278" w:lineRule="auto"/>
      <w:jc w:val="left"/>
      <w:outlineLvl w:val="6"/>
    </w:pPr>
    <w:rPr>
      <w:rFonts w:eastAsiaTheme="majorEastAsia" w:cstheme="majorBidi"/>
      <w:color w:val="595959" w:themeColor="text1" w:themeTint="A6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396C"/>
    <w:pPr>
      <w:keepNext/>
      <w:keepLines/>
      <w:widowControl/>
      <w:spacing w:line="278" w:lineRule="auto"/>
      <w:jc w:val="left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396C"/>
    <w:pPr>
      <w:keepNext/>
      <w:keepLines/>
      <w:widowControl/>
      <w:spacing w:line="278" w:lineRule="auto"/>
      <w:jc w:val="left"/>
      <w:outlineLvl w:val="8"/>
    </w:pPr>
    <w:rPr>
      <w:rFonts w:eastAsiaTheme="majorEastAsia" w:cstheme="majorBidi"/>
      <w:color w:val="272727" w:themeColor="text1" w:themeTint="D8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39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39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39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396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396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39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39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39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39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396C"/>
    <w:pPr>
      <w:widowControl/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139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396C"/>
    <w:pPr>
      <w:widowControl/>
      <w:numPr>
        <w:ilvl w:val="1"/>
      </w:numPr>
      <w:spacing w:after="160" w:line="278" w:lineRule="auto"/>
      <w:jc w:val="left"/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139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396C"/>
    <w:pPr>
      <w:widowControl/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139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396C"/>
    <w:pPr>
      <w:widowControl/>
      <w:spacing w:after="160" w:line="278" w:lineRule="auto"/>
      <w:ind w:left="720"/>
      <w:contextualSpacing/>
      <w:jc w:val="left"/>
    </w:pPr>
    <w:rPr>
      <w:rFonts w:eastAsiaTheme="minorHAnsi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1396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396C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396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396C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81396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81396C"/>
    <w:rPr>
      <w:rFonts w:eastAsiaTheme="minorEastAsia"/>
      <w:sz w:val="18"/>
      <w:szCs w:val="18"/>
      <w:lang w:eastAsia="zh-CN"/>
      <w14:ligatures w14:val="none"/>
    </w:rPr>
  </w:style>
  <w:style w:type="character" w:styleId="Strong">
    <w:name w:val="Strong"/>
    <w:basedOn w:val="DefaultParagraphFont"/>
    <w:uiPriority w:val="22"/>
    <w:qFormat/>
    <w:rsid w:val="0081396C"/>
    <w:rPr>
      <w:b/>
      <w:bCs/>
    </w:rPr>
  </w:style>
  <w:style w:type="character" w:styleId="Emphasis">
    <w:name w:val="Emphasis"/>
    <w:basedOn w:val="DefaultParagraphFont"/>
    <w:uiPriority w:val="20"/>
    <w:qFormat/>
    <w:rsid w:val="0081396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727</Words>
  <Characters>4144</Characters>
  <Application>Microsoft Office Word</Application>
  <DocSecurity>0</DocSecurity>
  <Lines>34</Lines>
  <Paragraphs>9</Paragraphs>
  <ScaleCrop>false</ScaleCrop>
  <Company>Springer Nature</Company>
  <LinksUpToDate>false</LinksUpToDate>
  <CharactersWithSpaces>4862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Nilesh Nawale</dc:creator>
  <cp:keywords/>
  <dc:description/>
  <cp:lastModifiedBy>Nilesh Nawale</cp:lastModifiedBy>
  <cp:revision>1</cp:revision>
  <dcterms:created xsi:type="dcterms:W3CDTF">2026-09-16T06:54:00Z</dcterms:created>
  <dcterms:modified xsi:type="dcterms:W3CDTF">2026-09-16T06:55:00Z</dcterms:modified>
</cp:coreProperties>
</file>