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92E121" w14:textId="05FED439" w:rsidR="002751F5" w:rsidRDefault="008E7DC9" w:rsidP="00A214B7">
      <w:pPr>
        <w:jc w:val="both"/>
        <w:rPr>
          <w:rFonts w:ascii="Arial" w:hAnsi="Arial" w:cs="Arial"/>
          <w:b/>
          <w:bCs/>
          <w:sz w:val="28"/>
          <w:szCs w:val="28"/>
          <w:lang w:val="en-US"/>
        </w:rPr>
      </w:pPr>
      <w:r w:rsidRPr="008E7DC9">
        <w:rPr>
          <w:rFonts w:ascii="Arial" w:hAnsi="Arial" w:cs="Arial"/>
          <w:b/>
          <w:bCs/>
          <w:sz w:val="28"/>
          <w:szCs w:val="28"/>
          <w:lang w:val="en-US"/>
        </w:rPr>
        <w:t>New approach for estimating socioeconomic indicators in small</w:t>
      </w:r>
      <w:r w:rsidR="00423AFC">
        <w:rPr>
          <w:rFonts w:ascii="Arial" w:hAnsi="Arial" w:cs="Arial"/>
          <w:b/>
          <w:bCs/>
          <w:sz w:val="28"/>
          <w:szCs w:val="28"/>
          <w:lang w:val="en-US"/>
        </w:rPr>
        <w:t>-</w:t>
      </w:r>
      <w:r w:rsidRPr="008E7DC9">
        <w:rPr>
          <w:rFonts w:ascii="Arial" w:hAnsi="Arial" w:cs="Arial"/>
          <w:b/>
          <w:bCs/>
          <w:sz w:val="28"/>
          <w:szCs w:val="28"/>
          <w:lang w:val="en-US"/>
        </w:rPr>
        <w:t>areas with sparse samples and high within-region heterogeneity: application in the Peruvian Amazon</w:t>
      </w:r>
    </w:p>
    <w:p w14:paraId="6F622617" w14:textId="77777777" w:rsidR="008E7DC9" w:rsidRDefault="008E7DC9" w:rsidP="00A214B7">
      <w:pPr>
        <w:jc w:val="both"/>
        <w:rPr>
          <w:rFonts w:ascii="Arial" w:hAnsi="Arial" w:cs="Arial"/>
          <w:sz w:val="22"/>
          <w:szCs w:val="22"/>
          <w:lang w:val="en-US"/>
        </w:rPr>
      </w:pPr>
    </w:p>
    <w:p w14:paraId="7286572C" w14:textId="19B14B8C" w:rsidR="00EA67F2" w:rsidRPr="008937C3" w:rsidRDefault="00EA67F2" w:rsidP="00A214B7">
      <w:pPr>
        <w:jc w:val="both"/>
        <w:rPr>
          <w:rFonts w:ascii="Arial" w:hAnsi="Arial" w:cs="Arial"/>
          <w:b/>
          <w:bCs/>
          <w:sz w:val="22"/>
          <w:szCs w:val="22"/>
          <w:lang w:val="en-US"/>
        </w:rPr>
      </w:pPr>
      <w:r w:rsidRPr="008937C3">
        <w:rPr>
          <w:rFonts w:ascii="Arial" w:hAnsi="Arial" w:cs="Arial"/>
          <w:sz w:val="22"/>
          <w:szCs w:val="22"/>
          <w:lang w:val="en-US"/>
        </w:rPr>
        <w:t>This supplementary file provides supplemental data, figures, and more detailed results for “</w:t>
      </w:r>
      <w:r w:rsidR="008E7DC9" w:rsidRPr="008E7DC9">
        <w:rPr>
          <w:rFonts w:ascii="Arial" w:hAnsi="Arial" w:cs="Arial"/>
          <w:b/>
          <w:bCs/>
          <w:sz w:val="22"/>
          <w:szCs w:val="22"/>
          <w:lang w:val="en-US"/>
        </w:rPr>
        <w:t>New approach for estimating socioeconomic indicators in small</w:t>
      </w:r>
      <w:r w:rsidR="00423AFC">
        <w:rPr>
          <w:rFonts w:ascii="Arial" w:hAnsi="Arial" w:cs="Arial"/>
          <w:b/>
          <w:bCs/>
          <w:sz w:val="22"/>
          <w:szCs w:val="22"/>
          <w:lang w:val="en-US"/>
        </w:rPr>
        <w:t>-</w:t>
      </w:r>
      <w:r w:rsidR="008E7DC9" w:rsidRPr="008E7DC9">
        <w:rPr>
          <w:rFonts w:ascii="Arial" w:hAnsi="Arial" w:cs="Arial"/>
          <w:b/>
          <w:bCs/>
          <w:sz w:val="22"/>
          <w:szCs w:val="22"/>
          <w:lang w:val="en-US"/>
        </w:rPr>
        <w:t>areas with sparse samples and high within-region heterogeneity: application in the Peruvian Amazon</w:t>
      </w:r>
      <w:r w:rsidRPr="008937C3">
        <w:rPr>
          <w:rFonts w:ascii="Arial" w:hAnsi="Arial" w:cs="Arial"/>
          <w:sz w:val="22"/>
          <w:szCs w:val="22"/>
          <w:lang w:val="en-US"/>
        </w:rPr>
        <w:t xml:space="preserve">” </w:t>
      </w:r>
    </w:p>
    <w:sdt>
      <w:sdtPr>
        <w:rPr>
          <w:rFonts w:ascii="Arial" w:eastAsiaTheme="minorHAnsi" w:hAnsi="Arial" w:cs="Arial"/>
          <w:b w:val="0"/>
          <w:bCs w:val="0"/>
          <w:color w:val="auto"/>
          <w:kern w:val="2"/>
          <w:sz w:val="24"/>
          <w:szCs w:val="24"/>
          <w:lang w:val="en-US" w:eastAsia="en-US"/>
          <w14:ligatures w14:val="standardContextual"/>
        </w:rPr>
        <w:id w:val="1408728981"/>
        <w:docPartObj>
          <w:docPartGallery w:val="Table of Contents"/>
          <w:docPartUnique/>
        </w:docPartObj>
      </w:sdtPr>
      <w:sdtEndPr>
        <w:rPr>
          <w:rFonts w:eastAsia="Times New Roman"/>
          <w:noProof/>
          <w:kern w:val="0"/>
          <w:lang w:eastAsia="es-MX"/>
          <w14:ligatures w14:val="none"/>
        </w:rPr>
      </w:sdtEndPr>
      <w:sdtContent>
        <w:p w14:paraId="26CB3AFB" w14:textId="77777777" w:rsidR="00EA67F2" w:rsidRPr="00C02CFF" w:rsidRDefault="00EA67F2" w:rsidP="00381AC7">
          <w:pPr>
            <w:pStyle w:val="TOCHeading"/>
            <w:jc w:val="both"/>
            <w:rPr>
              <w:rFonts w:ascii="Arial" w:hAnsi="Arial" w:cs="Arial"/>
              <w:color w:val="000000" w:themeColor="text1"/>
              <w:sz w:val="24"/>
              <w:szCs w:val="24"/>
              <w:lang w:val="en-US"/>
            </w:rPr>
          </w:pPr>
          <w:r w:rsidRPr="00C02CFF">
            <w:rPr>
              <w:rFonts w:ascii="Arial" w:hAnsi="Arial" w:cs="Arial"/>
              <w:color w:val="000000" w:themeColor="text1"/>
              <w:sz w:val="24"/>
              <w:szCs w:val="24"/>
              <w:lang w:val="en-US"/>
            </w:rPr>
            <w:t>Table of contents</w:t>
          </w:r>
        </w:p>
        <w:p w14:paraId="68BA96FE" w14:textId="73298C38" w:rsidR="00C02CFF" w:rsidRDefault="00EA67F2">
          <w:pPr>
            <w:pStyle w:val="TOC1"/>
            <w:tabs>
              <w:tab w:val="right" w:leader="dot" w:pos="8828"/>
            </w:tabs>
            <w:rPr>
              <w:rFonts w:eastAsiaTheme="minorEastAsia"/>
              <w:b w:val="0"/>
              <w:bCs w:val="0"/>
              <w:i w:val="0"/>
              <w:iCs w:val="0"/>
              <w:noProof/>
              <w:lang w:val="en-PE"/>
            </w:rPr>
          </w:pPr>
          <w:r w:rsidRPr="00C02CFF">
            <w:rPr>
              <w:rFonts w:ascii="Arial" w:hAnsi="Arial" w:cs="Arial"/>
              <w:b w:val="0"/>
              <w:bCs w:val="0"/>
              <w:i w:val="0"/>
              <w:iCs w:val="0"/>
              <w:lang w:val="en-US"/>
            </w:rPr>
            <w:fldChar w:fldCharType="begin"/>
          </w:r>
          <w:r w:rsidRPr="00C02CFF">
            <w:rPr>
              <w:rFonts w:ascii="Arial" w:hAnsi="Arial" w:cs="Arial"/>
              <w:i w:val="0"/>
              <w:iCs w:val="0"/>
              <w:lang w:val="en-US"/>
            </w:rPr>
            <w:instrText>TOC \o "1-3" \h \z \u</w:instrText>
          </w:r>
          <w:r w:rsidRPr="00C02CFF">
            <w:rPr>
              <w:rFonts w:ascii="Arial" w:hAnsi="Arial" w:cs="Arial"/>
              <w:b w:val="0"/>
              <w:bCs w:val="0"/>
              <w:i w:val="0"/>
              <w:iCs w:val="0"/>
              <w:lang w:val="en-US"/>
            </w:rPr>
            <w:fldChar w:fldCharType="separate"/>
          </w:r>
          <w:hyperlink w:anchor="_Toc233211393" w:history="1">
            <w:r w:rsidR="00C02CFF" w:rsidRPr="00E74BA4">
              <w:rPr>
                <w:rStyle w:val="Hyperlink"/>
                <w:noProof/>
              </w:rPr>
              <w:t>Section 1. Supplementary Information</w:t>
            </w:r>
            <w:r w:rsidR="00C02CFF">
              <w:rPr>
                <w:noProof/>
                <w:webHidden/>
              </w:rPr>
              <w:tab/>
            </w:r>
            <w:r w:rsidR="00C02CFF">
              <w:rPr>
                <w:noProof/>
                <w:webHidden/>
              </w:rPr>
              <w:fldChar w:fldCharType="begin"/>
            </w:r>
            <w:r w:rsidR="00C02CFF">
              <w:rPr>
                <w:noProof/>
                <w:webHidden/>
              </w:rPr>
              <w:instrText xml:space="preserve"> PAGEREF _Toc233211393 \h </w:instrText>
            </w:r>
            <w:r w:rsidR="00C02CFF">
              <w:rPr>
                <w:noProof/>
                <w:webHidden/>
              </w:rPr>
            </w:r>
            <w:r w:rsidR="00C02CFF">
              <w:rPr>
                <w:noProof/>
                <w:webHidden/>
              </w:rPr>
              <w:fldChar w:fldCharType="separate"/>
            </w:r>
            <w:r w:rsidR="00C02CFF">
              <w:rPr>
                <w:noProof/>
                <w:webHidden/>
              </w:rPr>
              <w:t>2</w:t>
            </w:r>
            <w:r w:rsidR="00C02CFF">
              <w:rPr>
                <w:noProof/>
                <w:webHidden/>
              </w:rPr>
              <w:fldChar w:fldCharType="end"/>
            </w:r>
          </w:hyperlink>
        </w:p>
        <w:p w14:paraId="593F8542" w14:textId="2A5B30CD" w:rsidR="00C02CFF" w:rsidRDefault="00C02CFF">
          <w:pPr>
            <w:pStyle w:val="TOC2"/>
            <w:tabs>
              <w:tab w:val="left" w:pos="960"/>
              <w:tab w:val="right" w:leader="dot" w:pos="8828"/>
            </w:tabs>
            <w:rPr>
              <w:rFonts w:eastAsiaTheme="minorEastAsia"/>
              <w:b w:val="0"/>
              <w:bCs w:val="0"/>
              <w:noProof/>
              <w:sz w:val="24"/>
              <w:szCs w:val="24"/>
              <w:lang w:val="en-PE"/>
            </w:rPr>
          </w:pPr>
          <w:hyperlink w:anchor="_Toc233211394" w:history="1">
            <w:r w:rsidRPr="00E74BA4">
              <w:rPr>
                <w:rStyle w:val="Hyperlink"/>
                <w:noProof/>
              </w:rPr>
              <w:t>1.1.</w:t>
            </w:r>
            <w:r>
              <w:rPr>
                <w:rFonts w:eastAsiaTheme="minorEastAsia"/>
                <w:b w:val="0"/>
                <w:bCs w:val="0"/>
                <w:noProof/>
                <w:sz w:val="24"/>
                <w:szCs w:val="24"/>
                <w:lang w:val="en-PE"/>
              </w:rPr>
              <w:tab/>
            </w:r>
            <w:r w:rsidRPr="00E74BA4">
              <w:rPr>
                <w:rStyle w:val="Hyperlink"/>
                <w:noProof/>
              </w:rPr>
              <w:t>Characteristics of the Loreto region</w:t>
            </w:r>
            <w:r>
              <w:rPr>
                <w:noProof/>
                <w:webHidden/>
              </w:rPr>
              <w:tab/>
            </w:r>
            <w:r>
              <w:rPr>
                <w:noProof/>
                <w:webHidden/>
              </w:rPr>
              <w:fldChar w:fldCharType="begin"/>
            </w:r>
            <w:r>
              <w:rPr>
                <w:noProof/>
                <w:webHidden/>
              </w:rPr>
              <w:instrText xml:space="preserve"> PAGEREF _Toc233211394 \h </w:instrText>
            </w:r>
            <w:r>
              <w:rPr>
                <w:noProof/>
                <w:webHidden/>
              </w:rPr>
            </w:r>
            <w:r>
              <w:rPr>
                <w:noProof/>
                <w:webHidden/>
              </w:rPr>
              <w:fldChar w:fldCharType="separate"/>
            </w:r>
            <w:r>
              <w:rPr>
                <w:noProof/>
                <w:webHidden/>
              </w:rPr>
              <w:t>2</w:t>
            </w:r>
            <w:r>
              <w:rPr>
                <w:noProof/>
                <w:webHidden/>
              </w:rPr>
              <w:fldChar w:fldCharType="end"/>
            </w:r>
          </w:hyperlink>
        </w:p>
        <w:p w14:paraId="74E81FE5" w14:textId="52F287A4" w:rsidR="00C02CFF" w:rsidRDefault="00C02CFF">
          <w:pPr>
            <w:pStyle w:val="TOC2"/>
            <w:tabs>
              <w:tab w:val="left" w:pos="960"/>
              <w:tab w:val="right" w:leader="dot" w:pos="8828"/>
            </w:tabs>
            <w:rPr>
              <w:rFonts w:eastAsiaTheme="minorEastAsia"/>
              <w:b w:val="0"/>
              <w:bCs w:val="0"/>
              <w:noProof/>
              <w:sz w:val="24"/>
              <w:szCs w:val="24"/>
              <w:lang w:val="en-PE"/>
            </w:rPr>
          </w:pPr>
          <w:hyperlink w:anchor="_Toc233211395" w:history="1">
            <w:r w:rsidRPr="00E74BA4">
              <w:rPr>
                <w:rStyle w:val="Hyperlink"/>
                <w:noProof/>
              </w:rPr>
              <w:t>1.2.</w:t>
            </w:r>
            <w:r>
              <w:rPr>
                <w:rFonts w:eastAsiaTheme="minorEastAsia"/>
                <w:b w:val="0"/>
                <w:bCs w:val="0"/>
                <w:noProof/>
                <w:sz w:val="24"/>
                <w:szCs w:val="24"/>
                <w:lang w:val="en-PE"/>
              </w:rPr>
              <w:tab/>
            </w:r>
            <w:r w:rsidRPr="00E74BA4">
              <w:rPr>
                <w:rStyle w:val="Hyperlink"/>
                <w:noProof/>
              </w:rPr>
              <w:t>ENDES survey</w:t>
            </w:r>
            <w:r>
              <w:rPr>
                <w:noProof/>
                <w:webHidden/>
              </w:rPr>
              <w:tab/>
            </w:r>
            <w:r>
              <w:rPr>
                <w:noProof/>
                <w:webHidden/>
              </w:rPr>
              <w:fldChar w:fldCharType="begin"/>
            </w:r>
            <w:r>
              <w:rPr>
                <w:noProof/>
                <w:webHidden/>
              </w:rPr>
              <w:instrText xml:space="preserve"> PAGEREF _Toc233211395 \h </w:instrText>
            </w:r>
            <w:r>
              <w:rPr>
                <w:noProof/>
                <w:webHidden/>
              </w:rPr>
            </w:r>
            <w:r>
              <w:rPr>
                <w:noProof/>
                <w:webHidden/>
              </w:rPr>
              <w:fldChar w:fldCharType="separate"/>
            </w:r>
            <w:r>
              <w:rPr>
                <w:noProof/>
                <w:webHidden/>
              </w:rPr>
              <w:t>3</w:t>
            </w:r>
            <w:r>
              <w:rPr>
                <w:noProof/>
                <w:webHidden/>
              </w:rPr>
              <w:fldChar w:fldCharType="end"/>
            </w:r>
          </w:hyperlink>
        </w:p>
        <w:p w14:paraId="081C9C1D" w14:textId="70C8E6B3" w:rsidR="00C02CFF" w:rsidRDefault="00C02CFF">
          <w:pPr>
            <w:pStyle w:val="TOC2"/>
            <w:tabs>
              <w:tab w:val="left" w:pos="960"/>
              <w:tab w:val="right" w:leader="dot" w:pos="8828"/>
            </w:tabs>
            <w:rPr>
              <w:rFonts w:eastAsiaTheme="minorEastAsia"/>
              <w:b w:val="0"/>
              <w:bCs w:val="0"/>
              <w:noProof/>
              <w:sz w:val="24"/>
              <w:szCs w:val="24"/>
              <w:lang w:val="en-PE"/>
            </w:rPr>
          </w:pPr>
          <w:hyperlink w:anchor="_Toc233211396" w:history="1">
            <w:r w:rsidRPr="00E74BA4">
              <w:rPr>
                <w:rStyle w:val="Hyperlink"/>
                <w:noProof/>
              </w:rPr>
              <w:t>1.3.</w:t>
            </w:r>
            <w:r>
              <w:rPr>
                <w:rFonts w:eastAsiaTheme="minorEastAsia"/>
                <w:b w:val="0"/>
                <w:bCs w:val="0"/>
                <w:noProof/>
                <w:sz w:val="24"/>
                <w:szCs w:val="24"/>
                <w:lang w:val="en-PE"/>
              </w:rPr>
              <w:tab/>
            </w:r>
            <w:r w:rsidRPr="00E74BA4">
              <w:rPr>
                <w:rStyle w:val="Hyperlink"/>
                <w:noProof/>
              </w:rPr>
              <w:t>National census</w:t>
            </w:r>
            <w:r>
              <w:rPr>
                <w:noProof/>
                <w:webHidden/>
              </w:rPr>
              <w:tab/>
            </w:r>
            <w:r>
              <w:rPr>
                <w:noProof/>
                <w:webHidden/>
              </w:rPr>
              <w:fldChar w:fldCharType="begin"/>
            </w:r>
            <w:r>
              <w:rPr>
                <w:noProof/>
                <w:webHidden/>
              </w:rPr>
              <w:instrText xml:space="preserve"> PAGEREF _Toc233211396 \h </w:instrText>
            </w:r>
            <w:r>
              <w:rPr>
                <w:noProof/>
                <w:webHidden/>
              </w:rPr>
            </w:r>
            <w:r>
              <w:rPr>
                <w:noProof/>
                <w:webHidden/>
              </w:rPr>
              <w:fldChar w:fldCharType="separate"/>
            </w:r>
            <w:r>
              <w:rPr>
                <w:noProof/>
                <w:webHidden/>
              </w:rPr>
              <w:t>5</w:t>
            </w:r>
            <w:r>
              <w:rPr>
                <w:noProof/>
                <w:webHidden/>
              </w:rPr>
              <w:fldChar w:fldCharType="end"/>
            </w:r>
          </w:hyperlink>
        </w:p>
        <w:p w14:paraId="4C9DCB0B" w14:textId="58F4626D" w:rsidR="00C02CFF" w:rsidRDefault="00C02CFF">
          <w:pPr>
            <w:pStyle w:val="TOC1"/>
            <w:tabs>
              <w:tab w:val="right" w:leader="dot" w:pos="8828"/>
            </w:tabs>
            <w:rPr>
              <w:rFonts w:eastAsiaTheme="minorEastAsia"/>
              <w:b w:val="0"/>
              <w:bCs w:val="0"/>
              <w:i w:val="0"/>
              <w:iCs w:val="0"/>
              <w:noProof/>
              <w:lang w:val="en-PE"/>
            </w:rPr>
          </w:pPr>
          <w:hyperlink w:anchor="_Toc233211397" w:history="1">
            <w:r w:rsidRPr="00E74BA4">
              <w:rPr>
                <w:rStyle w:val="Hyperlink"/>
                <w:noProof/>
              </w:rPr>
              <w:t>Section 2. Supplementary Methods</w:t>
            </w:r>
            <w:r>
              <w:rPr>
                <w:noProof/>
                <w:webHidden/>
              </w:rPr>
              <w:tab/>
            </w:r>
            <w:r>
              <w:rPr>
                <w:noProof/>
                <w:webHidden/>
              </w:rPr>
              <w:fldChar w:fldCharType="begin"/>
            </w:r>
            <w:r>
              <w:rPr>
                <w:noProof/>
                <w:webHidden/>
              </w:rPr>
              <w:instrText xml:space="preserve"> PAGEREF _Toc233211397 \h </w:instrText>
            </w:r>
            <w:r>
              <w:rPr>
                <w:noProof/>
                <w:webHidden/>
              </w:rPr>
            </w:r>
            <w:r>
              <w:rPr>
                <w:noProof/>
                <w:webHidden/>
              </w:rPr>
              <w:fldChar w:fldCharType="separate"/>
            </w:r>
            <w:r>
              <w:rPr>
                <w:noProof/>
                <w:webHidden/>
              </w:rPr>
              <w:t>6</w:t>
            </w:r>
            <w:r>
              <w:rPr>
                <w:noProof/>
                <w:webHidden/>
              </w:rPr>
              <w:fldChar w:fldCharType="end"/>
            </w:r>
          </w:hyperlink>
        </w:p>
        <w:p w14:paraId="5C833BE9" w14:textId="2EE09D59" w:rsidR="00C02CFF" w:rsidRDefault="00C02CFF">
          <w:pPr>
            <w:pStyle w:val="TOC2"/>
            <w:tabs>
              <w:tab w:val="left" w:pos="960"/>
              <w:tab w:val="right" w:leader="dot" w:pos="8828"/>
            </w:tabs>
            <w:rPr>
              <w:rFonts w:eastAsiaTheme="minorEastAsia"/>
              <w:b w:val="0"/>
              <w:bCs w:val="0"/>
              <w:noProof/>
              <w:sz w:val="24"/>
              <w:szCs w:val="24"/>
              <w:lang w:val="en-PE"/>
            </w:rPr>
          </w:pPr>
          <w:hyperlink w:anchor="_Toc233211398" w:history="1">
            <w:r w:rsidRPr="00E74BA4">
              <w:rPr>
                <w:rStyle w:val="Hyperlink"/>
                <w:noProof/>
              </w:rPr>
              <w:t>2.1.</w:t>
            </w:r>
            <w:r>
              <w:rPr>
                <w:rFonts w:eastAsiaTheme="minorEastAsia"/>
                <w:b w:val="0"/>
                <w:bCs w:val="0"/>
                <w:noProof/>
                <w:sz w:val="24"/>
                <w:szCs w:val="24"/>
                <w:lang w:val="en-PE"/>
              </w:rPr>
              <w:tab/>
            </w:r>
            <w:r w:rsidRPr="00E74BA4">
              <w:rPr>
                <w:rStyle w:val="Hyperlink"/>
                <w:noProof/>
              </w:rPr>
              <w:t>Principal Component Analysis (PCA) for census variables</w:t>
            </w:r>
            <w:r>
              <w:rPr>
                <w:noProof/>
                <w:webHidden/>
              </w:rPr>
              <w:tab/>
            </w:r>
            <w:r>
              <w:rPr>
                <w:noProof/>
                <w:webHidden/>
              </w:rPr>
              <w:fldChar w:fldCharType="begin"/>
            </w:r>
            <w:r>
              <w:rPr>
                <w:noProof/>
                <w:webHidden/>
              </w:rPr>
              <w:instrText xml:space="preserve"> PAGEREF _Toc233211398 \h </w:instrText>
            </w:r>
            <w:r>
              <w:rPr>
                <w:noProof/>
                <w:webHidden/>
              </w:rPr>
            </w:r>
            <w:r>
              <w:rPr>
                <w:noProof/>
                <w:webHidden/>
              </w:rPr>
              <w:fldChar w:fldCharType="separate"/>
            </w:r>
            <w:r>
              <w:rPr>
                <w:noProof/>
                <w:webHidden/>
              </w:rPr>
              <w:t>6</w:t>
            </w:r>
            <w:r>
              <w:rPr>
                <w:noProof/>
                <w:webHidden/>
              </w:rPr>
              <w:fldChar w:fldCharType="end"/>
            </w:r>
          </w:hyperlink>
        </w:p>
        <w:p w14:paraId="319E4E75" w14:textId="1A77101E" w:rsidR="00C02CFF" w:rsidRDefault="00C02CFF">
          <w:pPr>
            <w:pStyle w:val="TOC2"/>
            <w:tabs>
              <w:tab w:val="left" w:pos="960"/>
              <w:tab w:val="right" w:leader="dot" w:pos="8828"/>
            </w:tabs>
            <w:rPr>
              <w:rFonts w:eastAsiaTheme="minorEastAsia"/>
              <w:b w:val="0"/>
              <w:bCs w:val="0"/>
              <w:noProof/>
              <w:sz w:val="24"/>
              <w:szCs w:val="24"/>
              <w:lang w:val="en-PE"/>
            </w:rPr>
          </w:pPr>
          <w:hyperlink w:anchor="_Toc233211399" w:history="1">
            <w:r w:rsidRPr="00E74BA4">
              <w:rPr>
                <w:rStyle w:val="Hyperlink"/>
                <w:noProof/>
              </w:rPr>
              <w:t>2.2.</w:t>
            </w:r>
            <w:r>
              <w:rPr>
                <w:rFonts w:eastAsiaTheme="minorEastAsia"/>
                <w:b w:val="0"/>
                <w:bCs w:val="0"/>
                <w:noProof/>
                <w:sz w:val="24"/>
                <w:szCs w:val="24"/>
                <w:lang w:val="en-PE"/>
              </w:rPr>
              <w:tab/>
            </w:r>
            <w:r w:rsidRPr="00E74BA4">
              <w:rPr>
                <w:rStyle w:val="Hyperlink"/>
                <w:noProof/>
              </w:rPr>
              <w:t>Model specification</w:t>
            </w:r>
            <w:r>
              <w:rPr>
                <w:noProof/>
                <w:webHidden/>
              </w:rPr>
              <w:tab/>
            </w:r>
            <w:r>
              <w:rPr>
                <w:noProof/>
                <w:webHidden/>
              </w:rPr>
              <w:fldChar w:fldCharType="begin"/>
            </w:r>
            <w:r>
              <w:rPr>
                <w:noProof/>
                <w:webHidden/>
              </w:rPr>
              <w:instrText xml:space="preserve"> PAGEREF _Toc233211399 \h </w:instrText>
            </w:r>
            <w:r>
              <w:rPr>
                <w:noProof/>
                <w:webHidden/>
              </w:rPr>
            </w:r>
            <w:r>
              <w:rPr>
                <w:noProof/>
                <w:webHidden/>
              </w:rPr>
              <w:fldChar w:fldCharType="separate"/>
            </w:r>
            <w:r>
              <w:rPr>
                <w:noProof/>
                <w:webHidden/>
              </w:rPr>
              <w:t>7</w:t>
            </w:r>
            <w:r>
              <w:rPr>
                <w:noProof/>
                <w:webHidden/>
              </w:rPr>
              <w:fldChar w:fldCharType="end"/>
            </w:r>
          </w:hyperlink>
        </w:p>
        <w:p w14:paraId="2134BF2A" w14:textId="1EE64DF6" w:rsidR="00C02CFF" w:rsidRDefault="00C02CFF">
          <w:pPr>
            <w:pStyle w:val="TOC1"/>
            <w:tabs>
              <w:tab w:val="right" w:leader="dot" w:pos="8828"/>
            </w:tabs>
            <w:rPr>
              <w:rFonts w:eastAsiaTheme="minorEastAsia"/>
              <w:b w:val="0"/>
              <w:bCs w:val="0"/>
              <w:i w:val="0"/>
              <w:iCs w:val="0"/>
              <w:noProof/>
              <w:lang w:val="en-PE"/>
            </w:rPr>
          </w:pPr>
          <w:hyperlink w:anchor="_Toc233211400" w:history="1">
            <w:r w:rsidRPr="00E74BA4">
              <w:rPr>
                <w:rStyle w:val="Hyperlink"/>
                <w:noProof/>
              </w:rPr>
              <w:t>Section 3. Supplementary Results</w:t>
            </w:r>
            <w:r>
              <w:rPr>
                <w:noProof/>
                <w:webHidden/>
              </w:rPr>
              <w:tab/>
            </w:r>
            <w:r>
              <w:rPr>
                <w:noProof/>
                <w:webHidden/>
              </w:rPr>
              <w:fldChar w:fldCharType="begin"/>
            </w:r>
            <w:r>
              <w:rPr>
                <w:noProof/>
                <w:webHidden/>
              </w:rPr>
              <w:instrText xml:space="preserve"> PAGEREF _Toc233211400 \h </w:instrText>
            </w:r>
            <w:r>
              <w:rPr>
                <w:noProof/>
                <w:webHidden/>
              </w:rPr>
            </w:r>
            <w:r>
              <w:rPr>
                <w:noProof/>
                <w:webHidden/>
              </w:rPr>
              <w:fldChar w:fldCharType="separate"/>
            </w:r>
            <w:r>
              <w:rPr>
                <w:noProof/>
                <w:webHidden/>
              </w:rPr>
              <w:t>12</w:t>
            </w:r>
            <w:r>
              <w:rPr>
                <w:noProof/>
                <w:webHidden/>
              </w:rPr>
              <w:fldChar w:fldCharType="end"/>
            </w:r>
          </w:hyperlink>
        </w:p>
        <w:p w14:paraId="3672CA5B" w14:textId="7F966DDE" w:rsidR="00EA67F2" w:rsidRPr="00FC3439" w:rsidRDefault="00EA67F2" w:rsidP="00381AC7">
          <w:pPr>
            <w:jc w:val="both"/>
            <w:rPr>
              <w:rFonts w:ascii="Arial" w:hAnsi="Arial" w:cs="Arial"/>
              <w:lang w:val="en-US"/>
            </w:rPr>
          </w:pPr>
          <w:r w:rsidRPr="00C02CFF">
            <w:rPr>
              <w:rFonts w:ascii="Arial" w:hAnsi="Arial" w:cs="Arial"/>
              <w:b/>
              <w:bCs/>
              <w:noProof/>
              <w:lang w:val="en-US"/>
            </w:rPr>
            <w:fldChar w:fldCharType="end"/>
          </w:r>
        </w:p>
      </w:sdtContent>
    </w:sdt>
    <w:p w14:paraId="6CC9CEA3" w14:textId="77777777" w:rsidR="00EA67F2" w:rsidRPr="00FC3439" w:rsidRDefault="00EA67F2" w:rsidP="00381AC7">
      <w:pPr>
        <w:jc w:val="both"/>
        <w:rPr>
          <w:rFonts w:ascii="Arial" w:hAnsi="Arial" w:cs="Arial"/>
          <w:sz w:val="22"/>
          <w:szCs w:val="22"/>
          <w:lang w:val="en-US"/>
        </w:rPr>
      </w:pPr>
      <w:r w:rsidRPr="00FC3439">
        <w:rPr>
          <w:rFonts w:ascii="Arial" w:hAnsi="Arial" w:cs="Arial"/>
          <w:sz w:val="22"/>
          <w:szCs w:val="22"/>
          <w:lang w:val="en-US"/>
        </w:rPr>
        <w:br w:type="page"/>
      </w:r>
    </w:p>
    <w:p w14:paraId="15092B4B" w14:textId="77777777" w:rsidR="00EA67F2" w:rsidRPr="00AA04CB" w:rsidRDefault="00EA67F2" w:rsidP="00381AC7">
      <w:pPr>
        <w:pStyle w:val="Heading1"/>
        <w:jc w:val="both"/>
        <w:rPr>
          <w:b/>
          <w:bCs/>
        </w:rPr>
      </w:pPr>
      <w:bookmarkStart w:id="0" w:name="_Toc233211393"/>
      <w:r w:rsidRPr="00AA04CB">
        <w:rPr>
          <w:b/>
          <w:bCs/>
        </w:rPr>
        <w:lastRenderedPageBreak/>
        <w:t>Section 1. Supplementary Information</w:t>
      </w:r>
      <w:bookmarkEnd w:id="0"/>
    </w:p>
    <w:p w14:paraId="1BCE9B43" w14:textId="77777777" w:rsidR="0092093A" w:rsidRPr="00245ECA" w:rsidRDefault="00FD67B6" w:rsidP="008E479F">
      <w:pPr>
        <w:pStyle w:val="Heading2"/>
        <w:rPr>
          <w:b/>
          <w:bCs/>
        </w:rPr>
      </w:pPr>
      <w:bookmarkStart w:id="1" w:name="_Toc233211394"/>
      <w:r w:rsidRPr="00245ECA">
        <w:rPr>
          <w:b/>
          <w:bCs/>
        </w:rPr>
        <w:t>Characteristics of the Loreto region</w:t>
      </w:r>
      <w:bookmarkEnd w:id="1"/>
    </w:p>
    <w:p w14:paraId="602729F6" w14:textId="72931F1D" w:rsidR="00381AC7" w:rsidRDefault="00381AC7" w:rsidP="005C11FA">
      <w:pPr>
        <w:pStyle w:val="Textoplano"/>
      </w:pPr>
      <w:r w:rsidRPr="00FC3439">
        <w:t xml:space="preserve">Loreto is the largest department (administrative level 1) in the Peruvian Amazon. </w:t>
      </w:r>
      <w:r w:rsidRPr="001D04E1">
        <w:t xml:space="preserve">It currently comprises eight provinces (administrative level 2) and 53 districts (administrative level 3). Before 2016, Loreto had 51 districts, since the districts of the Province of Putumayo (in northern Loreto) were considered as one. </w:t>
      </w:r>
      <w:r w:rsidRPr="00FC3439">
        <w:t xml:space="preserve">This difference can be seen in </w:t>
      </w:r>
      <w:r w:rsidRPr="00FC3439">
        <w:rPr>
          <w:b/>
          <w:bCs/>
        </w:rPr>
        <w:t>Supplementary figure 1</w:t>
      </w:r>
      <w:r w:rsidRPr="00FC3439">
        <w:t>.</w:t>
      </w:r>
      <w:r w:rsidR="0092093A" w:rsidRPr="00FC3439">
        <w:t xml:space="preserve"> </w:t>
      </w:r>
      <w:r w:rsidR="00CA41A3" w:rsidRPr="00FC3439">
        <w:t xml:space="preserve">In addition to the creation of new districts, Loreto underwent a reorganization of its geographic location codes (UBIGEO) following the creation of districts in the province of Putumayo. </w:t>
      </w:r>
    </w:p>
    <w:p w14:paraId="1C361869" w14:textId="58D03BDA" w:rsidR="00891496" w:rsidRPr="00FC3439" w:rsidRDefault="00891496" w:rsidP="005C11FA">
      <w:pPr>
        <w:pStyle w:val="Textoplano"/>
      </w:pPr>
      <w:r>
        <w:rPr>
          <w:noProof/>
        </w:rPr>
        <w:drawing>
          <wp:inline distT="0" distB="0" distL="0" distR="0" wp14:anchorId="4795074A" wp14:editId="0614CC6D">
            <wp:extent cx="5612130" cy="3274060"/>
            <wp:effectExtent l="0" t="0" r="1270" b="2540"/>
            <wp:docPr id="849226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226741" name="Picture 84922674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3274060"/>
                    </a:xfrm>
                    <a:prstGeom prst="rect">
                      <a:avLst/>
                    </a:prstGeom>
                  </pic:spPr>
                </pic:pic>
              </a:graphicData>
            </a:graphic>
          </wp:inline>
        </w:drawing>
      </w:r>
    </w:p>
    <w:p w14:paraId="5981AD4A" w14:textId="77777777" w:rsidR="005E4A1E" w:rsidRPr="00FC3439" w:rsidRDefault="005E4A1E" w:rsidP="00381AC7">
      <w:pPr>
        <w:jc w:val="both"/>
        <w:rPr>
          <w:rFonts w:ascii="Arial" w:hAnsi="Arial" w:cs="Arial"/>
          <w:sz w:val="20"/>
          <w:szCs w:val="20"/>
          <w:lang w:val="en-US"/>
        </w:rPr>
      </w:pPr>
    </w:p>
    <w:p w14:paraId="5EE1D170" w14:textId="0A7DE7C3" w:rsidR="000A28A4" w:rsidRPr="001B235B" w:rsidRDefault="0092093A" w:rsidP="001B235B">
      <w:pPr>
        <w:pStyle w:val="Textoplano"/>
        <w:rPr>
          <w:sz w:val="18"/>
          <w:szCs w:val="18"/>
        </w:rPr>
      </w:pPr>
      <w:r w:rsidRPr="001B235B">
        <w:rPr>
          <w:b/>
          <w:bCs/>
          <w:sz w:val="18"/>
          <w:szCs w:val="18"/>
        </w:rPr>
        <w:t>Supplementary figure 1</w:t>
      </w:r>
      <w:r w:rsidR="009520E5">
        <w:rPr>
          <w:b/>
          <w:bCs/>
          <w:sz w:val="18"/>
          <w:szCs w:val="18"/>
        </w:rPr>
        <w:t>.1.</w:t>
      </w:r>
      <w:r w:rsidRPr="001B235B">
        <w:rPr>
          <w:sz w:val="18"/>
          <w:szCs w:val="18"/>
        </w:rPr>
        <w:t xml:space="preserve"> Administrative division of the districts of Loreto. Since each district is delineated according to the rivers that traverse the region, their shapes and boundaries are highly irregular. The region includes large districts such as Napo, Tigre, and Yaguas, as well as smaller ones such as Iquitos, Inahuaya, and Belén. </w:t>
      </w:r>
      <w:r w:rsidRPr="001B235B">
        <w:rPr>
          <w:b/>
          <w:bCs/>
          <w:sz w:val="18"/>
          <w:szCs w:val="18"/>
        </w:rPr>
        <w:t>A.</w:t>
      </w:r>
      <w:r w:rsidRPr="001B235B">
        <w:rPr>
          <w:sz w:val="18"/>
          <w:szCs w:val="18"/>
        </w:rPr>
        <w:t xml:space="preserve"> Current administrative division of Loreto, comprising 53 districts. The location of its capital, Iquitos, is indicated. </w:t>
      </w:r>
      <w:r w:rsidRPr="001B235B">
        <w:rPr>
          <w:b/>
          <w:bCs/>
          <w:sz w:val="18"/>
          <w:szCs w:val="18"/>
        </w:rPr>
        <w:t>B.</w:t>
      </w:r>
      <w:r w:rsidRPr="001B235B">
        <w:rPr>
          <w:sz w:val="18"/>
          <w:szCs w:val="18"/>
        </w:rPr>
        <w:t xml:space="preserve"> Administrative division of Loreto before 2016, when it had 51 districts</w:t>
      </w:r>
    </w:p>
    <w:p w14:paraId="182CA290" w14:textId="3451C44A" w:rsidR="005C11FA" w:rsidRDefault="00CB1867" w:rsidP="005C11FA">
      <w:pPr>
        <w:pStyle w:val="Textoplano"/>
      </w:pPr>
      <w:r w:rsidRPr="005C11FA">
        <w:t>Loreto is a department characterized by distinctive geographic and socio-demographic heterogeneity.</w:t>
      </w:r>
      <w:r w:rsidR="00FC3439" w:rsidRPr="005C11FA">
        <w:t xml:space="preserve"> As shown in Supplementary Figure 2, r</w:t>
      </w:r>
      <w:r w:rsidRPr="005C11FA">
        <w:t xml:space="preserve">iver transportation is the main transportation route, resulting in most population centers being located along the riverbanks. In addition, about 70% of the houses are in urban areas </w:t>
      </w:r>
      <w:r w:rsidRPr="005C11FA">
        <w:fldChar w:fldCharType="begin"/>
      </w:r>
      <w:r w:rsidR="008E53CD">
        <w:instrText xml:space="preserve"> ADDIN ZOTERO_ITEM CSL_CITATION {"citationID":"XTbHnQtn","properties":{"formattedCitation":"(1)","plainCitation":"(1)","noteIndex":0},"citationItems":[{"id":410,"uris":["http://zotero.org/users/6631709/items/SDECWG8C"],"itemData":{"id":410,"type":"post-weblog","language":"es-PE","title":"Censos Nacionales 2017 – XII de Población, VII de Vivienda y III de Comunidades Indígenas","URL":"https://censo2017.inei.gob.pe/","accessed":{"date-parts":[["2025",6,19]]},"issued":{"date-parts":[["2017"]]}}}],"schema":"https://github.com/citation-style-language/schema/raw/master/csl-citation.json"} </w:instrText>
      </w:r>
      <w:r w:rsidRPr="005C11FA">
        <w:fldChar w:fldCharType="separate"/>
      </w:r>
      <w:r w:rsidR="008E53CD">
        <w:t>(1)</w:t>
      </w:r>
      <w:r w:rsidRPr="005C11FA">
        <w:fldChar w:fldCharType="end"/>
      </w:r>
      <w:r w:rsidRPr="005C11FA">
        <w:t xml:space="preserve">. However, there are districts with almost 98% urban areas such as Iquitos, the capital of Loreto, and districts such as Alto Nanay with 100% of housing in rural areas </w:t>
      </w:r>
      <w:r w:rsidRPr="005C11FA">
        <w:fldChar w:fldCharType="begin"/>
      </w:r>
      <w:r w:rsidR="008E53CD">
        <w:instrText xml:space="preserve"> ADDIN ZOTERO_ITEM CSL_CITATION {"citationID":"OQgjC3ej","properties":{"formattedCitation":"(1)","plainCitation":"(1)","noteIndex":0},"citationItems":[{"id":410,"uris":["http://zotero.org/users/6631709/items/SDECWG8C"],"itemData":{"id":410,"type":"post-weblog","language":"es-PE","title":"Censos Nacionales 2017 – XII de Población, VII de Vivienda y III de Comunidades Indígenas","URL":"https://censo2017.inei.gob.pe/","accessed":{"date-parts":[["2025",6,19]]},"issued":{"date-parts":[["2017"]]}}}],"schema":"https://github.com/citation-style-language/schema/raw/master/csl-citation.json"} </w:instrText>
      </w:r>
      <w:r w:rsidRPr="005C11FA">
        <w:fldChar w:fldCharType="separate"/>
      </w:r>
      <w:r w:rsidR="008E53CD">
        <w:t>(1)</w:t>
      </w:r>
      <w:r w:rsidRPr="005C11FA">
        <w:fldChar w:fldCharType="end"/>
      </w:r>
      <w:r w:rsidRPr="005C11FA">
        <w:t xml:space="preserve">. It is a department with high extractive activities such as mining, oil, logging and agriculture, but it is one of the departments with the highest monetary poverty </w:t>
      </w:r>
      <w:r w:rsidRPr="005C11FA">
        <w:lastRenderedPageBreak/>
        <w:t xml:space="preserve">by 2024 </w:t>
      </w:r>
      <w:r w:rsidRPr="005C11FA">
        <w:fldChar w:fldCharType="begin"/>
      </w:r>
      <w:r w:rsidR="008E53CD">
        <w:instrText xml:space="preserve"> ADDIN ZOTERO_ITEM CSL_CITATION {"citationID":"ml1vKguK","properties":{"formattedCitation":"(2)","plainCitation":"(2)","noteIndex":0},"citationItems":[{"id":412,"uris":["http://zotero.org/users/6631709/items/SWAG87FR"],"itemData":{"id":412,"type":"webpage","abstract":"Perú: Evolución de la Pobreza Monetaria, 2015-2024 #gobpe","language":"es-pe","title":"Perú: Evolución de la Pobreza Monetaria, 2015-2024","title-short":"Perú","URL":"https://www.gob.pe/institucion/inei/informes-publicaciones/6763186-peru-evolucion-de-la-pobreza-monetaria-2015-2024","accessed":{"date-parts":[["2025",6,19]]}}}],"schema":"https://github.com/citation-style-language/schema/raw/master/csl-citation.json"} </w:instrText>
      </w:r>
      <w:r w:rsidRPr="005C11FA">
        <w:fldChar w:fldCharType="separate"/>
      </w:r>
      <w:r w:rsidR="008E53CD">
        <w:t>(2)</w:t>
      </w:r>
      <w:r w:rsidRPr="005C11FA">
        <w:fldChar w:fldCharType="end"/>
      </w:r>
      <w:r w:rsidRPr="005C11FA">
        <w:t xml:space="preserve">. In addition, due to its location in the Amazon region and its climatic and environmental characteristics, diseases such as malaria, dengue fever, yellow fever and other vector-borne diseases are endemic </w:t>
      </w:r>
      <w:r w:rsidRPr="005C11FA">
        <w:fldChar w:fldCharType="begin"/>
      </w:r>
      <w:r w:rsidR="008E53CD">
        <w:instrText xml:space="preserve"> ADDIN ZOTERO_ITEM CSL_CITATION {"citationID":"Oplydi3c","properties":{"formattedCitation":"(3,4)","plainCitation":"(3,4)","noteIndex":0},"citationItems":[{"id":414,"uris":["http://zotero.org/users/6631709/items/6QCI27M8"],"itemData":{"id":414,"type":"article-journal","abstract":"Loreto, a region located in the Amazon basin, has reported more than 80% of malaria cases in Peru. Application of diagnostic methods in remote areas is challenging; hence, the identification of factors associated with Plasmodium infection is necessary to improve malaria control. A cross-sectional study was conducted in health facilities in Loreto from 2012 to 2023. Data and blood samples for malaria diagnosis were collected. We performed an analysis to identify associated factors to malaria positivity. Among 2989 participants with malaria symptoms, the prevalence was 87.6% and Plasmodium vivax was the most prevalent species (74.0%). We identified several factors associated with malaria positivity such as age, occupation, sleeping with open windows, previous malaria episodes, number of malaria episodes in the last 12 months, and others. The high prevalence of malaria and the predominance of P. vivax highlight the relevance of P. vivax-targeted control programs to reach elimination in low-endemic areas.","container-title":"The Journal of Infectious Diseases","DOI":"10.1093/infdis/jiae570","ISSN":"1537-6613","issue":"Supplement_1","journalAbbreviation":"J Infect Dis","language":"eng","page":"S58-S65","PMID":"39928389","source":"PubMed","title":"Malaria Surveillance: A Cross-sectional Study in the Peruvian Amazon Basin, 2012-2023","title-short":"Malaria Surveillance","volume":"231","author":[{"family":"Sanchez","given":"Juan F."},{"family":"Valdivia","given":"Hugo O."},{"family":"Pannebaker","given":"Danielle L."}],"issued":{"date-parts":[["2025",2,10]]}}},{"id":416,"uris":["http://zotero.org/users/6631709/items/NQWK8GCP"],"itemData":{"id":416,"type":"article-journal","abstract":"Dengue, a vector-borne disease driven by climate change, urbanization, and the adaptation of its vector, Aedes aegypti, poses a significant public health challenge. This study analyzed 23 years (2000-2022) of epidemiological data from Peru to examine the temporal and spatial drivers influencing dengue reported cases. Using secondary data from the Peruvian Ministry of Health, 501,027 cases were stratified by clinical severity, gender, geographic distribution, and temporal trends. The Amazonian and coastal regions, particularly Loreto, Ucayali, and Piura, bore the highest burden, collectively accounting for more than 60% of cases during epidemic years. Seasonal spikes in transmission consistently aligned with the rainy season, underscoring the dependence of Aedes aegypti proliferation on climatic conditions. The analysis revealed progressive geographic expansion of dengue into previously low-risk areas, including Andean highlands and peri-urban zones, driven by climatic shifts and unregulated urbanization. Gender-based comparisons indicated a higher overall case burden among females, though severe forms of dengue were unequally observed in males, particularly in rural areas. Clinical classifications highlighted that 78% of cases presented without warning signs, 18% with warning signs, and 4% as severe dengue. Socioeconomic factors, such as inadequate sanitation, urban slums, and water storage practices, contributed significantly to vector breeding in high-burden areas. Moreover, the role of extreme climatic events, including El Niño, exacerbated outbreak intensity and duration. The findings emphasize the urgent need for innovative approaches and provides actionable insights into regional dynamics and highlights critical areas for research, including predictive climate-disease modeling and the integration of molecular surveillance. These strategies are essential to mitigating the growing dengue burden and strengthening public health systems in Peru and similar endemic regions.","container-title":"PloS One","DOI":"10.1371/journal.pone.0319708","ISSN":"1932-6203","issue":"3","journalAbbreviation":"PLoS One","language":"eng","page":"e0319708","PMID":"40106473","PMCID":"PMC11922284","source":"PubMed","title":"Epidemiological dynamics of dengue in Peru: Temporal and spatial drivers between 2000 and 2022","title-short":"Epidemiological dynamics of dengue in Peru","volume":"20","author":[{"family":"Rufasto Goche","given":"Katherine Susan"},{"family":"Lizarbe Castro","given":"María Victoria"},{"family":"Lozano Zanelly","given":"Glenn Alberto"},{"family":"Lira Camargo","given":"Washington Melvin"},{"family":"Ascayo Velasquez","given":"Elizabeth Yovana"},{"family":"Murillo Carrasco","given":"Alexis G."},{"family":"Diaz-Obregón","given":"Daysi"}],"issued":{"date-parts":[["2025"]]}}}],"schema":"https://github.com/citation-style-language/schema/raw/master/csl-citation.json"} </w:instrText>
      </w:r>
      <w:r w:rsidRPr="005C11FA">
        <w:fldChar w:fldCharType="separate"/>
      </w:r>
      <w:r w:rsidR="008E53CD">
        <w:t>(3,4)</w:t>
      </w:r>
      <w:r w:rsidRPr="005C11FA">
        <w:fldChar w:fldCharType="end"/>
      </w:r>
      <w:r w:rsidRPr="005C11FA">
        <w:t xml:space="preserve">. For example, more than 90% of malaria cases are concentrated in this department, with </w:t>
      </w:r>
      <w:r w:rsidRPr="00DC3F89">
        <w:rPr>
          <w:i/>
          <w:iCs/>
        </w:rPr>
        <w:t>P. vivax</w:t>
      </w:r>
      <w:r w:rsidRPr="005C11FA">
        <w:t xml:space="preserve"> being the main species found </w:t>
      </w:r>
      <w:r w:rsidRPr="005C11FA">
        <w:fldChar w:fldCharType="begin"/>
      </w:r>
      <w:r w:rsidR="008E53CD">
        <w:instrText xml:space="preserve"> ADDIN ZOTERO_ITEM CSL_CITATION {"citationID":"m20Huxbg","properties":{"formattedCitation":"(5)","plainCitation":"(5)","noteIndex":0},"citationItems":[{"id":418,"uris":["http://zotero.org/users/6631709/items/MD4J6D5B"],"itemData":{"id":418,"type":"article-journal","abstract":"Background\nOutside of sub-Saharan Africa, Plasmodium vivax has become the dominant species of malaria. Focal mass drug administration (fMDA) is a potential strategy to support elimination efforts, but controlled studies are lacking.\n\nMethods\nThe FocaL mass drug Administration for Plasmodium vivax Malaria Elimination (FLAME) study is a 3-year cluster randomized controlled trial to determine the impact and safety of fMDA to reduce P. vivax transmission. The study will be conducted in Loreto, Peru, where standard interventions have reduced P. vivax cases, but transmission persists due to a high proportion of subclinical infections. Thirty low transmission communities (API &lt; 250 cases/1000 population) will be randomized 1:1 to fMDA versus control using a restricted randomization. All communities will receive Peruvian national standard malaria control measures. In the intervention arm, high-risk individuals (living within 200 meters of a P. vivax case reported in the prior two years) without contraindication to study medications, including G6PD deficiency, will receive three cycles of fMDA over a two-year period. Each cycle will include two rounds of directly observed therapy delivered 2 months apart. The fMDA regimen will include 25mg/kg chloroquine (CQ) plus a single 300mg dose of tafenoquine (TQ) for individuals age ≥16 years, and 25mg/kg of CQ plus 7 days of 0.5mg/kg/day of primaquine (PQ) if younger. The primary outcome is the cumulative incidence of symptomatic P. vivax malaria. The sample size provides 80% power to detect at least a 68% relative reduction in cumulative P. vivax incidence, based on alpha of 0.05 and a coefficient of variation (k) of 0.87. Secondary outcomes include safety, cost-effectiveness, and infection prevalence and seroprevalence which will be assessed in annual cross-sectional surveys. Safety will be assessed in passive and active pharmacovigilance, including post-treatment screening for G6PD-associated hemolysis by assessing for anemia and hematuria in a sample.\n\nDiscussion\nThe trial will generate evidence regarding fMDA for P. vivax and inform malaria elimination efforts in Peru and similarly endemic settings. Findings will be in peer-reviewed publications and through stakeholder meetings in Peruvian and international policy and research forums.\n\nTrial registration\nClinicaltrials.gov\nNCT05690841. This trial was registered on 09 January 2023.","container-title":"Research Square","DOI":"10.21203/rs.3.rs-5594891/v1","ISSN":"2693-5015","journalAbbreviation":"Res Sq","page":"rs.3.rs-5594891","PMID":"40321759","PMCID":"PMC12047980","source":"PubMed Central","title":"FocaL mass drug Administration for Plasmodium vivax Malaria Elimination (FLAME): study protocol for an open-label cluster randomized controlled trial in Peru","title-short":"FocaL mass drug Administration for Plasmodium vivax Malaria Elimination (FLAME)","author":[{"family":"Fine","given":"Sydney"},{"family":"Quiroz","given":"Astrid Altamirano"},{"family":"Calle","given":"Veronica Soto"},{"family":"Manrique","given":"Paulo"},{"family":"Rodriguez","given":"Hugo"},{"family":"Carrasco","given":"Gabriel"},{"family":"Benjamin-Chung","given":"Jade"},{"family":"Bennett","given":"Adam"},{"family":"Auburn","given":"Sarah"},{"family":"Price","given":"Ric"},{"family":"Greenhouse","given":"Bryan"},{"family":"Baird","given":"J. Kevin"},{"family":"Domingo","given":"Gonzalo"},{"family":"Roh","given":"Michelle"},{"family":"Rosas","given":"Angel"},{"family":"Llanos-Cuentas","given":"Alejandro"},{"family":"Hsiang","given":"Michelle"}],"issued":{"date-parts":[["2025",4,17]]}}}],"schema":"https://github.com/citation-style-language/schema/raw/master/csl-citation.json"} </w:instrText>
      </w:r>
      <w:r w:rsidRPr="005C11FA">
        <w:fldChar w:fldCharType="separate"/>
      </w:r>
      <w:r w:rsidR="008E53CD">
        <w:t>(5)</w:t>
      </w:r>
      <w:r w:rsidRPr="005C11FA">
        <w:fldChar w:fldCharType="end"/>
      </w:r>
      <w:r w:rsidRPr="005C11FA">
        <w:t>.</w:t>
      </w:r>
      <w:r w:rsidR="00891496">
        <w:rPr>
          <w:noProof/>
        </w:rPr>
        <w:drawing>
          <wp:anchor distT="0" distB="0" distL="114300" distR="114300" simplePos="0" relativeHeight="251693056" behindDoc="0" locked="0" layoutInCell="1" allowOverlap="1" wp14:anchorId="0DF0AFB4" wp14:editId="657CF6CC">
            <wp:simplePos x="0" y="0"/>
            <wp:positionH relativeFrom="column">
              <wp:posOffset>2540</wp:posOffset>
            </wp:positionH>
            <wp:positionV relativeFrom="paragraph">
              <wp:posOffset>1012825</wp:posOffset>
            </wp:positionV>
            <wp:extent cx="5612130" cy="3741420"/>
            <wp:effectExtent l="0" t="0" r="1270" b="5080"/>
            <wp:wrapTopAndBottom/>
            <wp:docPr id="4215887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588701" name="Picture 42158870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12130" cy="3741420"/>
                    </a:xfrm>
                    <a:prstGeom prst="rect">
                      <a:avLst/>
                    </a:prstGeom>
                  </pic:spPr>
                </pic:pic>
              </a:graphicData>
            </a:graphic>
            <wp14:sizeRelH relativeFrom="page">
              <wp14:pctWidth>0</wp14:pctWidth>
            </wp14:sizeRelH>
            <wp14:sizeRelV relativeFrom="page">
              <wp14:pctHeight>0</wp14:pctHeight>
            </wp14:sizeRelV>
          </wp:anchor>
        </w:drawing>
      </w:r>
    </w:p>
    <w:p w14:paraId="03651EDF" w14:textId="1486C085" w:rsidR="00FD67B6" w:rsidRPr="005C11FA" w:rsidRDefault="00FC3439" w:rsidP="005C11FA">
      <w:pPr>
        <w:pStyle w:val="Textoplano"/>
        <w:rPr>
          <w:sz w:val="21"/>
          <w:szCs w:val="22"/>
        </w:rPr>
      </w:pPr>
      <w:r w:rsidRPr="005C11FA">
        <w:rPr>
          <w:b/>
          <w:bCs/>
          <w:sz w:val="18"/>
          <w:szCs w:val="18"/>
        </w:rPr>
        <w:t xml:space="preserve">Supplementary figure </w:t>
      </w:r>
      <w:r w:rsidR="009520E5">
        <w:rPr>
          <w:b/>
          <w:bCs/>
          <w:sz w:val="18"/>
          <w:szCs w:val="18"/>
        </w:rPr>
        <w:t>1.</w:t>
      </w:r>
      <w:r w:rsidRPr="005C11FA">
        <w:rPr>
          <w:b/>
          <w:bCs/>
          <w:sz w:val="18"/>
          <w:szCs w:val="18"/>
        </w:rPr>
        <w:t>2.</w:t>
      </w:r>
      <w:r w:rsidRPr="005C11FA">
        <w:rPr>
          <w:sz w:val="18"/>
          <w:szCs w:val="18"/>
        </w:rPr>
        <w:t xml:space="preserve"> </w:t>
      </w:r>
      <w:r w:rsidR="000A28A4" w:rsidRPr="005C11FA">
        <w:rPr>
          <w:sz w:val="18"/>
          <w:szCs w:val="18"/>
        </w:rPr>
        <w:t xml:space="preserve">Geographical and urban characteristics of the </w:t>
      </w:r>
      <w:r w:rsidR="009A3500" w:rsidRPr="005C11FA">
        <w:rPr>
          <w:sz w:val="18"/>
          <w:szCs w:val="18"/>
        </w:rPr>
        <w:t>Loreto region</w:t>
      </w:r>
      <w:r w:rsidR="000A28A4" w:rsidRPr="005C11FA">
        <w:rPr>
          <w:sz w:val="18"/>
          <w:szCs w:val="18"/>
        </w:rPr>
        <w:t xml:space="preserve">. </w:t>
      </w:r>
      <w:r w:rsidR="000A28A4" w:rsidRPr="005C11FA">
        <w:rPr>
          <w:b/>
          <w:bCs/>
          <w:sz w:val="18"/>
          <w:szCs w:val="18"/>
        </w:rPr>
        <w:t>A.</w:t>
      </w:r>
      <w:r w:rsidR="000A28A4" w:rsidRPr="005C11FA">
        <w:rPr>
          <w:sz w:val="18"/>
          <w:szCs w:val="18"/>
        </w:rPr>
        <w:t xml:space="preserve"> The entire region is traversed by a dense network of rivers, which largely shapes its administrative divisions. For this reason, most population centers are located along riverbanks, and river transport is the primary means of mobility. </w:t>
      </w:r>
      <w:r w:rsidR="000A28A4" w:rsidRPr="005C11FA">
        <w:rPr>
          <w:b/>
          <w:bCs/>
          <w:sz w:val="18"/>
          <w:szCs w:val="18"/>
        </w:rPr>
        <w:t>B.</w:t>
      </w:r>
      <w:r w:rsidR="000A28A4" w:rsidRPr="005C11FA">
        <w:rPr>
          <w:sz w:val="18"/>
          <w:szCs w:val="18"/>
        </w:rPr>
        <w:t xml:space="preserve"> Area (in km², transformed as log(1 + value)) covered by human settlements in general. </w:t>
      </w:r>
      <w:r w:rsidR="000A28A4" w:rsidRPr="005C11FA">
        <w:rPr>
          <w:b/>
          <w:bCs/>
          <w:sz w:val="18"/>
          <w:szCs w:val="18"/>
        </w:rPr>
        <w:t>C.</w:t>
      </w:r>
      <w:r w:rsidR="000A28A4" w:rsidRPr="005C11FA">
        <w:rPr>
          <w:sz w:val="18"/>
          <w:szCs w:val="18"/>
        </w:rPr>
        <w:t xml:space="preserve"> Proportion of </w:t>
      </w:r>
      <w:r w:rsidR="009A3500" w:rsidRPr="005C11FA">
        <w:rPr>
          <w:sz w:val="18"/>
          <w:szCs w:val="18"/>
        </w:rPr>
        <w:t xml:space="preserve">human settlements </w:t>
      </w:r>
      <w:r w:rsidR="000A28A4" w:rsidRPr="005C11FA">
        <w:rPr>
          <w:sz w:val="18"/>
          <w:szCs w:val="18"/>
        </w:rPr>
        <w:t>classified as urban</w:t>
      </w:r>
      <w:r w:rsidR="000A28A4" w:rsidRPr="005C11FA">
        <w:rPr>
          <w:sz w:val="21"/>
          <w:szCs w:val="22"/>
        </w:rPr>
        <w:t>.</w:t>
      </w:r>
    </w:p>
    <w:p w14:paraId="595DF919" w14:textId="77777777" w:rsidR="001D04E1" w:rsidRPr="00245ECA" w:rsidRDefault="001D04E1" w:rsidP="001D04E1">
      <w:pPr>
        <w:pStyle w:val="Heading2"/>
        <w:rPr>
          <w:b/>
          <w:bCs/>
        </w:rPr>
      </w:pPr>
      <w:bookmarkStart w:id="2" w:name="_Toc233211395"/>
      <w:r w:rsidRPr="00245ECA">
        <w:rPr>
          <w:b/>
          <w:bCs/>
        </w:rPr>
        <w:t>ENDES survey</w:t>
      </w:r>
      <w:bookmarkEnd w:id="2"/>
    </w:p>
    <w:p w14:paraId="052A14BE" w14:textId="7CBB4AE2" w:rsidR="001D04E1" w:rsidRPr="005C11FA" w:rsidRDefault="0082173C" w:rsidP="005C11FA">
      <w:pPr>
        <w:pStyle w:val="Textoplano"/>
      </w:pPr>
      <w:r w:rsidRPr="005C11FA">
        <w:t>ENDES (</w:t>
      </w:r>
      <w:r w:rsidR="00DD3563" w:rsidRPr="005C11FA">
        <w:t>Demographic and Family Health Survey</w:t>
      </w:r>
      <w:r w:rsidRPr="005C11FA">
        <w:t>) is a survey conducted annually in Peru. Its complex sampling (</w:t>
      </w:r>
      <w:r w:rsidR="00DD3563" w:rsidRPr="005C11FA">
        <w:rPr>
          <w:rStyle w:val="Strong"/>
          <w:b w:val="0"/>
          <w:bCs w:val="0"/>
        </w:rPr>
        <w:t>two-stage, probabilistic, balanced, stratified, and independent probability sampling</w:t>
      </w:r>
      <w:r w:rsidRPr="005C11FA">
        <w:t xml:space="preserve">) allows for inference at the national, rural national, urban national, natural region, and departmental levels </w:t>
      </w:r>
      <w:r w:rsidRPr="005C11FA">
        <w:fldChar w:fldCharType="begin"/>
      </w:r>
      <w:r w:rsidR="008E53CD">
        <w:instrText xml:space="preserve"> ADDIN ZOTERO_ITEM CSL_CITATION {"citationID":"tZP9KtYm","properties":{"formattedCitation":"(6)","plainCitation":"(6)","noteIndex":0},"citationItems":[{"id":424,"uris":["http://zotero.org/users/6631709/items/CDTGQV9Y"],"itemData":{"id":424,"type":"webpage","abstract":"DescripciónLa Encuesta Demográfica y de salud Familiar - ENDES tiene como antecedentes importantes investigaciones sobre la temática de salud reproductiva, como son: la Encuesta de Fecundidad urbana y rural y la Encuesta de Aborto Inducido en Lima (1969); desde 1974 a 1976 fue... #gobpe","language":"es-pe","title":"Encuesta Demográfica y de Salud Familiar - ENDES 2025","URL":"https://www.gob.pe/institucion/inei/informes-publicaciones/3364616-encuesta-demografica-y-de-salud-familiar-endes-2025","accessed":{"date-parts":[["2025",6,21]]},"issued":{"date-parts":[["2025"]]}}}],"schema":"https://github.com/citation-style-language/schema/raw/master/csl-citation.json"} </w:instrText>
      </w:r>
      <w:r w:rsidRPr="005C11FA">
        <w:fldChar w:fldCharType="separate"/>
      </w:r>
      <w:r w:rsidR="008E53CD">
        <w:t>(6)</w:t>
      </w:r>
      <w:r w:rsidRPr="005C11FA">
        <w:fldChar w:fldCharType="end"/>
      </w:r>
      <w:r w:rsidRPr="005C11FA">
        <w:t xml:space="preserve">. Since 2015, the sampling method used has been changed due to the fact that variability has been observed in the estimation of some indicators (malnutrition rate, anemia, among others). The method used for sampling from 2015 onwards was the cube method, which allows samples to be obtained with estimates approximately equal to the characteristics of the population of interest in the survey, thereby improving the coverage of the target populations and estimates of the main indicators </w:t>
      </w:r>
      <w:r w:rsidRPr="005C11FA">
        <w:fldChar w:fldCharType="begin"/>
      </w:r>
      <w:r w:rsidR="008E53CD">
        <w:instrText xml:space="preserve"> ADDIN ZOTERO_ITEM CSL_CITATION {"citationID":"7CHj41P7","properties":{"formattedCitation":"(6)","plainCitation":"(6)","noteIndex":0},"citationItems":[{"id":424,"uris":["http://zotero.org/users/6631709/items/CDTGQV9Y"],"itemData":{"id":424,"type":"webpage","abstract":"DescripciónLa Encuesta Demográfica y de salud Familiar - ENDES tiene como antecedentes importantes investigaciones sobre la temática de salud reproductiva, como son: la Encuesta de Fecundidad urbana y rural y la Encuesta de Aborto Inducido en Lima (1969); desde 1974 a 1976 fue... #gobpe","language":"es-pe","title":"Encuesta Demográfica y de Salud Familiar - ENDES 2025","URL":"https://www.gob.pe/institucion/inei/informes-publicaciones/3364616-encuesta-demografica-y-de-salud-familiar-endes-2025","accessed":{"date-parts":[["2025",6,21]]},"issued":{"date-parts":[["2025"]]}}}],"schema":"https://github.com/citation-style-language/schema/raw/master/csl-citation.json"} </w:instrText>
      </w:r>
      <w:r w:rsidRPr="005C11FA">
        <w:fldChar w:fldCharType="separate"/>
      </w:r>
      <w:r w:rsidR="008E53CD">
        <w:t>(6)</w:t>
      </w:r>
      <w:r w:rsidRPr="005C11FA">
        <w:fldChar w:fldCharType="end"/>
      </w:r>
      <w:r w:rsidRPr="005C11FA">
        <w:t xml:space="preserve">. </w:t>
      </w:r>
    </w:p>
    <w:p w14:paraId="3A6A7CA3" w14:textId="6EC58482" w:rsidR="003131D3" w:rsidRDefault="00DD3563" w:rsidP="005C11FA">
      <w:pPr>
        <w:pStyle w:val="Textoplano"/>
      </w:pPr>
      <w:r w:rsidRPr="005C11FA">
        <w:lastRenderedPageBreak/>
        <w:t xml:space="preserve">Because this is a two-stage sampling design, the primary sampling unit (PSU) consists of clusters of blocks of approximately 120 dwellings in urban areas, or population centers with fewer than 2,000 inhabitants in rural areas </w:t>
      </w:r>
      <w:r w:rsidRPr="005C11FA">
        <w:fldChar w:fldCharType="begin"/>
      </w:r>
      <w:r w:rsidR="008E53CD">
        <w:instrText xml:space="preserve"> ADDIN ZOTERO_ITEM CSL_CITATION {"citationID":"9Nffkkq0","properties":{"formattedCitation":"(6)","plainCitation":"(6)","noteIndex":0},"citationItems":[{"id":424,"uris":["http://zotero.org/users/6631709/items/CDTGQV9Y"],"itemData":{"id":424,"type":"webpage","abstract":"DescripciónLa Encuesta Demográfica y de salud Familiar - ENDES tiene como antecedentes importantes investigaciones sobre la temática de salud reproductiva, como son: la Encuesta de Fecundidad urbana y rural y la Encuesta de Aborto Inducido en Lima (1969); desde 1974 a 1976 fue... #gobpe","language":"es-pe","title":"Encuesta Demográfica y de Salud Familiar - ENDES 2025","URL":"https://www.gob.pe/institucion/inei/informes-publicaciones/3364616-encuesta-demografica-y-de-salud-familiar-endes-2025","accessed":{"date-parts":[["2025",6,21]]},"issued":{"date-parts":[["2025"]]}}}],"schema":"https://github.com/citation-style-language/schema/raw/master/csl-citation.json"} </w:instrText>
      </w:r>
      <w:r w:rsidRPr="005C11FA">
        <w:fldChar w:fldCharType="separate"/>
      </w:r>
      <w:r w:rsidR="008E53CD">
        <w:t>(6)</w:t>
      </w:r>
      <w:r w:rsidRPr="005C11FA">
        <w:fldChar w:fldCharType="end"/>
      </w:r>
      <w:r w:rsidRPr="005C11FA">
        <w:t xml:space="preserve">. The secondary sampling unit (SSU) is the private dwelling within the selected PSU, in both urban and rural settings. The sampling frame is based on information from the most recent national census </w:t>
      </w:r>
      <w:r w:rsidRPr="005C11FA">
        <w:fldChar w:fldCharType="begin"/>
      </w:r>
      <w:r w:rsidR="008E53CD">
        <w:instrText xml:space="preserve"> ADDIN ZOTERO_ITEM CSL_CITATION {"citationID":"QCVuf8BA","properties":{"formattedCitation":"(6)","plainCitation":"(6)","noteIndex":0},"citationItems":[{"id":424,"uris":["http://zotero.org/users/6631709/items/CDTGQV9Y"],"itemData":{"id":424,"type":"webpage","abstract":"DescripciónLa Encuesta Demográfica y de salud Familiar - ENDES tiene como antecedentes importantes investigaciones sobre la temática de salud reproductiva, como son: la Encuesta de Fecundidad urbana y rural y la Encuesta de Aborto Inducido en Lima (1969); desde 1974 a 1976 fue... #gobpe","language":"es-pe","title":"Encuesta Demográfica y de Salud Familiar - ENDES 2025","URL":"https://www.gob.pe/institucion/inei/informes-publicaciones/3364616-encuesta-demografica-y-de-salud-familiar-endes-2025","accessed":{"date-parts":[["2025",6,21]]},"issued":{"date-parts":[["2025"]]}}}],"schema":"https://github.com/citation-style-language/schema/raw/master/csl-citation.json"} </w:instrText>
      </w:r>
      <w:r w:rsidRPr="005C11FA">
        <w:fldChar w:fldCharType="separate"/>
      </w:r>
      <w:r w:rsidR="008E53CD">
        <w:t>(6)</w:t>
      </w:r>
      <w:r w:rsidRPr="005C11FA">
        <w:fldChar w:fldCharType="end"/>
      </w:r>
      <w:r w:rsidRPr="005C11FA">
        <w:t xml:space="preserve">. </w:t>
      </w:r>
    </w:p>
    <w:p w14:paraId="223C5B39" w14:textId="77777777" w:rsidR="0082173C" w:rsidRPr="003131D3" w:rsidRDefault="003131D3" w:rsidP="003131D3">
      <w:pPr>
        <w:spacing w:after="160" w:line="278" w:lineRule="auto"/>
        <w:rPr>
          <w:rFonts w:ascii="Arial" w:eastAsiaTheme="minorHAnsi" w:hAnsi="Arial" w:cs="Arial"/>
          <w:kern w:val="2"/>
          <w:lang w:val="en-US" w:eastAsia="en-US"/>
          <w14:ligatures w14:val="standardContextual"/>
        </w:rPr>
      </w:pPr>
      <w:r w:rsidRPr="002C224E">
        <w:rPr>
          <w:lang w:val="en-US"/>
        </w:rPr>
        <w:br w:type="page"/>
      </w:r>
    </w:p>
    <w:p w14:paraId="008463AA" w14:textId="0AF1CE9D" w:rsidR="006E58FC" w:rsidRPr="00C10009" w:rsidRDefault="006E58FC" w:rsidP="006E58FC">
      <w:pPr>
        <w:pStyle w:val="Heading2"/>
        <w:rPr>
          <w:b/>
          <w:bCs/>
          <w:sz w:val="22"/>
          <w:szCs w:val="22"/>
        </w:rPr>
      </w:pPr>
      <w:bookmarkStart w:id="3" w:name="_Toc233211396"/>
      <w:r w:rsidRPr="00C10009">
        <w:rPr>
          <w:b/>
          <w:bCs/>
          <w:sz w:val="22"/>
          <w:szCs w:val="22"/>
        </w:rPr>
        <w:lastRenderedPageBreak/>
        <w:t>National census</w:t>
      </w:r>
      <w:bookmarkEnd w:id="3"/>
      <w:r w:rsidRPr="00C10009">
        <w:rPr>
          <w:b/>
          <w:bCs/>
          <w:sz w:val="22"/>
          <w:szCs w:val="22"/>
        </w:rPr>
        <w:t xml:space="preserve"> </w:t>
      </w:r>
    </w:p>
    <w:p w14:paraId="71F02EF2" w14:textId="77777777" w:rsidR="00C10009" w:rsidRPr="005C11FA" w:rsidRDefault="00C10009" w:rsidP="005C11FA">
      <w:pPr>
        <w:pStyle w:val="Textoplano"/>
      </w:pPr>
      <w:r w:rsidRPr="005C11FA">
        <w:t>For the national census, variables related to the socioeconomic indicators of interest obtained from ENDES were selected. The total number of variables, as well as those included in the study, are shown below.</w:t>
      </w:r>
    </w:p>
    <w:tbl>
      <w:tblPr>
        <w:tblStyle w:val="TableGrid"/>
        <w:tblW w:w="9493" w:type="dxa"/>
        <w:tblLook w:val="04A0" w:firstRow="1" w:lastRow="0" w:firstColumn="1" w:lastColumn="0" w:noHBand="0" w:noVBand="1"/>
      </w:tblPr>
      <w:tblGrid>
        <w:gridCol w:w="1980"/>
        <w:gridCol w:w="1559"/>
        <w:gridCol w:w="5954"/>
      </w:tblGrid>
      <w:tr w:rsidR="00AD486D" w:rsidRPr="00677583" w14:paraId="643A7DCF" w14:textId="77777777" w:rsidTr="003131D3">
        <w:trPr>
          <w:trHeight w:val="305"/>
        </w:trPr>
        <w:tc>
          <w:tcPr>
            <w:tcW w:w="9493" w:type="dxa"/>
            <w:gridSpan w:val="3"/>
            <w:vAlign w:val="center"/>
            <w:hideMark/>
          </w:tcPr>
          <w:p w14:paraId="2645F0FA" w14:textId="77777777" w:rsidR="00AD486D" w:rsidRPr="003131D3" w:rsidRDefault="00361A06" w:rsidP="00361A06">
            <w:pPr>
              <w:rPr>
                <w:rFonts w:ascii="Arial" w:hAnsi="Arial" w:cs="Arial"/>
                <w:b/>
                <w:bCs/>
                <w:color w:val="000000"/>
                <w:sz w:val="21"/>
                <w:szCs w:val="21"/>
                <w:lang w:val="en-US"/>
              </w:rPr>
            </w:pPr>
            <w:r w:rsidRPr="003131D3">
              <w:rPr>
                <w:rFonts w:ascii="Arial" w:hAnsi="Arial" w:cs="Arial"/>
                <w:b/>
                <w:bCs/>
                <w:color w:val="000000"/>
                <w:sz w:val="21"/>
                <w:szCs w:val="21"/>
                <w:lang w:val="en-US"/>
              </w:rPr>
              <w:t>Supplementary</w:t>
            </w:r>
            <w:r w:rsidR="00AD486D" w:rsidRPr="003131D3">
              <w:rPr>
                <w:rFonts w:ascii="Arial" w:hAnsi="Arial" w:cs="Arial"/>
                <w:b/>
                <w:bCs/>
                <w:color w:val="000000"/>
                <w:sz w:val="21"/>
                <w:szCs w:val="21"/>
                <w:lang w:val="en-US"/>
              </w:rPr>
              <w:t xml:space="preserve"> table 1. Full list of census variables</w:t>
            </w:r>
            <w:r w:rsidRPr="003131D3">
              <w:rPr>
                <w:rFonts w:ascii="Arial" w:hAnsi="Arial" w:cs="Arial"/>
                <w:b/>
                <w:bCs/>
                <w:color w:val="000000"/>
                <w:sz w:val="21"/>
                <w:szCs w:val="21"/>
                <w:lang w:val="en-US"/>
              </w:rPr>
              <w:t xml:space="preserve"> included</w:t>
            </w:r>
          </w:p>
        </w:tc>
      </w:tr>
      <w:tr w:rsidR="00AD486D" w:rsidRPr="003131D3" w14:paraId="439B5FA6" w14:textId="77777777" w:rsidTr="003131D3">
        <w:trPr>
          <w:trHeight w:val="353"/>
        </w:trPr>
        <w:tc>
          <w:tcPr>
            <w:tcW w:w="1980" w:type="dxa"/>
            <w:vAlign w:val="center"/>
            <w:hideMark/>
          </w:tcPr>
          <w:p w14:paraId="32F969FB" w14:textId="77777777" w:rsidR="00AD486D" w:rsidRPr="003131D3" w:rsidRDefault="00AD486D" w:rsidP="002B1F36">
            <w:pPr>
              <w:jc w:val="center"/>
              <w:rPr>
                <w:rFonts w:ascii="Arial" w:hAnsi="Arial" w:cs="Arial"/>
                <w:b/>
                <w:bCs/>
                <w:color w:val="000000"/>
                <w:sz w:val="21"/>
                <w:szCs w:val="21"/>
              </w:rPr>
            </w:pPr>
            <w:r w:rsidRPr="003131D3">
              <w:rPr>
                <w:rFonts w:ascii="Arial" w:hAnsi="Arial" w:cs="Arial"/>
                <w:b/>
                <w:bCs/>
                <w:color w:val="000000"/>
                <w:sz w:val="21"/>
                <w:szCs w:val="21"/>
              </w:rPr>
              <w:t>Module</w:t>
            </w:r>
          </w:p>
        </w:tc>
        <w:tc>
          <w:tcPr>
            <w:tcW w:w="1559" w:type="dxa"/>
            <w:noWrap/>
            <w:vAlign w:val="center"/>
            <w:hideMark/>
          </w:tcPr>
          <w:p w14:paraId="25639EB9" w14:textId="77777777" w:rsidR="00AD486D" w:rsidRPr="003131D3" w:rsidRDefault="00AD486D" w:rsidP="002B1F36">
            <w:pPr>
              <w:jc w:val="center"/>
              <w:rPr>
                <w:rFonts w:ascii="Arial" w:hAnsi="Arial" w:cs="Arial"/>
                <w:b/>
                <w:bCs/>
                <w:color w:val="000000"/>
                <w:sz w:val="21"/>
                <w:szCs w:val="21"/>
              </w:rPr>
            </w:pPr>
            <w:r w:rsidRPr="003131D3">
              <w:rPr>
                <w:rFonts w:ascii="Arial" w:hAnsi="Arial" w:cs="Arial"/>
                <w:b/>
                <w:bCs/>
                <w:color w:val="000000"/>
                <w:sz w:val="21"/>
                <w:szCs w:val="21"/>
              </w:rPr>
              <w:t>Variable</w:t>
            </w:r>
          </w:p>
        </w:tc>
        <w:tc>
          <w:tcPr>
            <w:tcW w:w="5954" w:type="dxa"/>
            <w:vAlign w:val="center"/>
            <w:hideMark/>
          </w:tcPr>
          <w:p w14:paraId="79CCDF31" w14:textId="77777777" w:rsidR="00AD486D" w:rsidRPr="003131D3" w:rsidRDefault="00AD486D" w:rsidP="002B1F36">
            <w:pPr>
              <w:jc w:val="center"/>
              <w:rPr>
                <w:rFonts w:ascii="Arial" w:hAnsi="Arial" w:cs="Arial"/>
                <w:b/>
                <w:bCs/>
                <w:color w:val="000000"/>
                <w:sz w:val="21"/>
                <w:szCs w:val="21"/>
              </w:rPr>
            </w:pPr>
            <w:r w:rsidRPr="003131D3">
              <w:rPr>
                <w:rFonts w:ascii="Arial" w:hAnsi="Arial" w:cs="Arial"/>
                <w:b/>
                <w:bCs/>
                <w:color w:val="000000"/>
                <w:sz w:val="21"/>
                <w:szCs w:val="21"/>
              </w:rPr>
              <w:t>Description</w:t>
            </w:r>
          </w:p>
        </w:tc>
      </w:tr>
      <w:tr w:rsidR="00AD486D" w:rsidRPr="003131D3" w14:paraId="6AA77A98" w14:textId="77777777" w:rsidTr="003131D3">
        <w:trPr>
          <w:trHeight w:val="332"/>
        </w:trPr>
        <w:tc>
          <w:tcPr>
            <w:tcW w:w="1980" w:type="dxa"/>
            <w:vMerge w:val="restart"/>
            <w:vAlign w:val="center"/>
            <w:hideMark/>
          </w:tcPr>
          <w:p w14:paraId="3AB13F18" w14:textId="77777777" w:rsidR="00AD486D" w:rsidRPr="003131D3" w:rsidRDefault="00674B27" w:rsidP="002B1F36">
            <w:pPr>
              <w:jc w:val="center"/>
              <w:rPr>
                <w:rFonts w:ascii="Arial" w:hAnsi="Arial" w:cs="Arial"/>
                <w:b/>
                <w:bCs/>
                <w:color w:val="000000"/>
                <w:sz w:val="21"/>
                <w:szCs w:val="21"/>
              </w:rPr>
            </w:pPr>
            <w:r w:rsidRPr="003131D3">
              <w:rPr>
                <w:rFonts w:ascii="Arial" w:hAnsi="Arial" w:cs="Arial"/>
                <w:b/>
                <w:bCs/>
                <w:color w:val="000000"/>
                <w:sz w:val="21"/>
                <w:szCs w:val="21"/>
              </w:rPr>
              <w:t>Dwelling</w:t>
            </w:r>
          </w:p>
        </w:tc>
        <w:tc>
          <w:tcPr>
            <w:tcW w:w="1559" w:type="dxa"/>
            <w:noWrap/>
            <w:vAlign w:val="center"/>
            <w:hideMark/>
          </w:tcPr>
          <w:p w14:paraId="3CCE42C0"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c2_p1</w:t>
            </w:r>
          </w:p>
        </w:tc>
        <w:tc>
          <w:tcPr>
            <w:tcW w:w="5954" w:type="dxa"/>
            <w:vAlign w:val="center"/>
            <w:hideMark/>
          </w:tcPr>
          <w:p w14:paraId="4FE3A115"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 xml:space="preserve">Type of </w:t>
            </w:r>
            <w:r w:rsidR="00674B27" w:rsidRPr="003131D3">
              <w:rPr>
                <w:rFonts w:ascii="Arial" w:hAnsi="Arial" w:cs="Arial"/>
                <w:color w:val="000000"/>
                <w:sz w:val="21"/>
                <w:szCs w:val="21"/>
              </w:rPr>
              <w:t>dwelling</w:t>
            </w:r>
          </w:p>
        </w:tc>
      </w:tr>
      <w:tr w:rsidR="00AD486D" w:rsidRPr="00677583" w14:paraId="7B702C70" w14:textId="77777777" w:rsidTr="003131D3">
        <w:trPr>
          <w:trHeight w:val="292"/>
        </w:trPr>
        <w:tc>
          <w:tcPr>
            <w:tcW w:w="1980" w:type="dxa"/>
            <w:vMerge/>
            <w:vAlign w:val="center"/>
            <w:hideMark/>
          </w:tcPr>
          <w:p w14:paraId="3616FC80" w14:textId="77777777" w:rsidR="00AD486D" w:rsidRPr="003131D3" w:rsidRDefault="00AD486D" w:rsidP="002B1F36">
            <w:pPr>
              <w:jc w:val="center"/>
              <w:rPr>
                <w:rFonts w:ascii="Arial" w:hAnsi="Arial" w:cs="Arial"/>
                <w:b/>
                <w:bCs/>
                <w:color w:val="000000"/>
                <w:sz w:val="21"/>
                <w:szCs w:val="21"/>
              </w:rPr>
            </w:pPr>
          </w:p>
        </w:tc>
        <w:tc>
          <w:tcPr>
            <w:tcW w:w="1559" w:type="dxa"/>
            <w:noWrap/>
            <w:vAlign w:val="center"/>
            <w:hideMark/>
          </w:tcPr>
          <w:p w14:paraId="2AE187D4"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c2_p3</w:t>
            </w:r>
          </w:p>
        </w:tc>
        <w:tc>
          <w:tcPr>
            <w:tcW w:w="5954" w:type="dxa"/>
            <w:vAlign w:val="center"/>
            <w:hideMark/>
          </w:tcPr>
          <w:p w14:paraId="292494E0" w14:textId="77777777" w:rsidR="00AD486D" w:rsidRPr="003131D3" w:rsidRDefault="00AD486D" w:rsidP="002B1F36">
            <w:pPr>
              <w:jc w:val="center"/>
              <w:rPr>
                <w:rFonts w:ascii="Arial" w:hAnsi="Arial" w:cs="Arial"/>
                <w:color w:val="000000"/>
                <w:sz w:val="21"/>
                <w:szCs w:val="21"/>
                <w:lang w:val="en-US"/>
              </w:rPr>
            </w:pPr>
            <w:r w:rsidRPr="003131D3">
              <w:rPr>
                <w:rFonts w:ascii="Arial" w:hAnsi="Arial" w:cs="Arial"/>
                <w:color w:val="000000"/>
                <w:sz w:val="21"/>
                <w:szCs w:val="21"/>
                <w:lang w:val="en-US"/>
              </w:rPr>
              <w:t>Predominant building material on walls</w:t>
            </w:r>
          </w:p>
        </w:tc>
      </w:tr>
      <w:tr w:rsidR="00AD486D" w:rsidRPr="003131D3" w14:paraId="2D5144D7" w14:textId="77777777" w:rsidTr="003131D3">
        <w:trPr>
          <w:trHeight w:val="418"/>
        </w:trPr>
        <w:tc>
          <w:tcPr>
            <w:tcW w:w="1980" w:type="dxa"/>
            <w:vMerge/>
            <w:vAlign w:val="center"/>
            <w:hideMark/>
          </w:tcPr>
          <w:p w14:paraId="1965C771" w14:textId="77777777" w:rsidR="00AD486D" w:rsidRPr="003131D3" w:rsidRDefault="00AD486D" w:rsidP="002B1F36">
            <w:pPr>
              <w:jc w:val="center"/>
              <w:rPr>
                <w:rFonts w:ascii="Arial" w:hAnsi="Arial" w:cs="Arial"/>
                <w:b/>
                <w:bCs/>
                <w:color w:val="000000"/>
                <w:sz w:val="21"/>
                <w:szCs w:val="21"/>
                <w:lang w:val="en-US"/>
              </w:rPr>
            </w:pPr>
          </w:p>
        </w:tc>
        <w:tc>
          <w:tcPr>
            <w:tcW w:w="1559" w:type="dxa"/>
            <w:noWrap/>
            <w:vAlign w:val="center"/>
            <w:hideMark/>
          </w:tcPr>
          <w:p w14:paraId="70A0EC2D"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c2_p4</w:t>
            </w:r>
          </w:p>
        </w:tc>
        <w:tc>
          <w:tcPr>
            <w:tcW w:w="5954" w:type="dxa"/>
            <w:vAlign w:val="center"/>
            <w:hideMark/>
          </w:tcPr>
          <w:p w14:paraId="6891680A"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Predominant roofing material</w:t>
            </w:r>
          </w:p>
        </w:tc>
      </w:tr>
      <w:tr w:rsidR="00AD486D" w:rsidRPr="00677583" w14:paraId="403567A6" w14:textId="77777777" w:rsidTr="003131D3">
        <w:trPr>
          <w:trHeight w:val="388"/>
        </w:trPr>
        <w:tc>
          <w:tcPr>
            <w:tcW w:w="1980" w:type="dxa"/>
            <w:vMerge/>
            <w:vAlign w:val="center"/>
            <w:hideMark/>
          </w:tcPr>
          <w:p w14:paraId="21CAB397" w14:textId="77777777" w:rsidR="00AD486D" w:rsidRPr="003131D3" w:rsidRDefault="00AD486D" w:rsidP="002B1F36">
            <w:pPr>
              <w:jc w:val="center"/>
              <w:rPr>
                <w:rFonts w:ascii="Arial" w:hAnsi="Arial" w:cs="Arial"/>
                <w:b/>
                <w:bCs/>
                <w:color w:val="000000"/>
                <w:sz w:val="21"/>
                <w:szCs w:val="21"/>
              </w:rPr>
            </w:pPr>
          </w:p>
        </w:tc>
        <w:tc>
          <w:tcPr>
            <w:tcW w:w="1559" w:type="dxa"/>
            <w:noWrap/>
            <w:vAlign w:val="center"/>
            <w:hideMark/>
          </w:tcPr>
          <w:p w14:paraId="78586645"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c2_p5</w:t>
            </w:r>
          </w:p>
        </w:tc>
        <w:tc>
          <w:tcPr>
            <w:tcW w:w="5954" w:type="dxa"/>
            <w:vAlign w:val="center"/>
            <w:hideMark/>
          </w:tcPr>
          <w:p w14:paraId="72584AAB" w14:textId="77777777" w:rsidR="00AD486D" w:rsidRPr="003131D3" w:rsidRDefault="00AD486D" w:rsidP="002B1F36">
            <w:pPr>
              <w:jc w:val="center"/>
              <w:rPr>
                <w:rFonts w:ascii="Arial" w:hAnsi="Arial" w:cs="Arial"/>
                <w:color w:val="000000"/>
                <w:sz w:val="21"/>
                <w:szCs w:val="21"/>
                <w:lang w:val="en-US"/>
              </w:rPr>
            </w:pPr>
            <w:r w:rsidRPr="003131D3">
              <w:rPr>
                <w:rFonts w:ascii="Arial" w:hAnsi="Arial" w:cs="Arial"/>
                <w:color w:val="000000"/>
                <w:sz w:val="21"/>
                <w:szCs w:val="21"/>
                <w:lang w:val="en-US"/>
              </w:rPr>
              <w:t>Predominant material in the floors</w:t>
            </w:r>
          </w:p>
        </w:tc>
      </w:tr>
      <w:tr w:rsidR="00AD486D" w:rsidRPr="00677583" w14:paraId="1AF3EA4D" w14:textId="77777777" w:rsidTr="003131D3">
        <w:trPr>
          <w:trHeight w:val="418"/>
        </w:trPr>
        <w:tc>
          <w:tcPr>
            <w:tcW w:w="1980" w:type="dxa"/>
            <w:vMerge/>
            <w:vAlign w:val="center"/>
            <w:hideMark/>
          </w:tcPr>
          <w:p w14:paraId="5BD629F0" w14:textId="77777777" w:rsidR="00AD486D" w:rsidRPr="003131D3" w:rsidRDefault="00AD486D" w:rsidP="002B1F36">
            <w:pPr>
              <w:jc w:val="center"/>
              <w:rPr>
                <w:rFonts w:ascii="Arial" w:hAnsi="Arial" w:cs="Arial"/>
                <w:b/>
                <w:bCs/>
                <w:color w:val="000000"/>
                <w:sz w:val="21"/>
                <w:szCs w:val="21"/>
                <w:lang w:val="en-US"/>
              </w:rPr>
            </w:pPr>
          </w:p>
        </w:tc>
        <w:tc>
          <w:tcPr>
            <w:tcW w:w="1559" w:type="dxa"/>
            <w:noWrap/>
            <w:vAlign w:val="center"/>
            <w:hideMark/>
          </w:tcPr>
          <w:p w14:paraId="4213C5D6"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c2_p6</w:t>
            </w:r>
          </w:p>
        </w:tc>
        <w:tc>
          <w:tcPr>
            <w:tcW w:w="5954" w:type="dxa"/>
            <w:vAlign w:val="center"/>
            <w:hideMark/>
          </w:tcPr>
          <w:p w14:paraId="0B9980EE" w14:textId="77777777" w:rsidR="00AD486D" w:rsidRPr="003131D3" w:rsidRDefault="00AD486D" w:rsidP="002B1F36">
            <w:pPr>
              <w:jc w:val="center"/>
              <w:rPr>
                <w:rFonts w:ascii="Arial" w:hAnsi="Arial" w:cs="Arial"/>
                <w:color w:val="000000"/>
                <w:sz w:val="21"/>
                <w:szCs w:val="21"/>
                <w:lang w:val="en-US"/>
              </w:rPr>
            </w:pPr>
            <w:r w:rsidRPr="003131D3">
              <w:rPr>
                <w:rFonts w:ascii="Arial" w:hAnsi="Arial" w:cs="Arial"/>
                <w:color w:val="000000"/>
                <w:sz w:val="21"/>
                <w:szCs w:val="21"/>
                <w:lang w:val="en-US"/>
              </w:rPr>
              <w:t>water supply in the house</w:t>
            </w:r>
          </w:p>
        </w:tc>
      </w:tr>
      <w:tr w:rsidR="00AD486D" w:rsidRPr="00677583" w14:paraId="3B62DF85" w14:textId="77777777" w:rsidTr="003131D3">
        <w:trPr>
          <w:trHeight w:val="437"/>
        </w:trPr>
        <w:tc>
          <w:tcPr>
            <w:tcW w:w="1980" w:type="dxa"/>
            <w:vMerge/>
            <w:vAlign w:val="center"/>
            <w:hideMark/>
          </w:tcPr>
          <w:p w14:paraId="1A705C86" w14:textId="77777777" w:rsidR="00AD486D" w:rsidRPr="003131D3" w:rsidRDefault="00AD486D" w:rsidP="002B1F36">
            <w:pPr>
              <w:jc w:val="center"/>
              <w:rPr>
                <w:rFonts w:ascii="Arial" w:hAnsi="Arial" w:cs="Arial"/>
                <w:b/>
                <w:bCs/>
                <w:color w:val="000000"/>
                <w:sz w:val="21"/>
                <w:szCs w:val="21"/>
                <w:lang w:val="en-US"/>
              </w:rPr>
            </w:pPr>
          </w:p>
        </w:tc>
        <w:tc>
          <w:tcPr>
            <w:tcW w:w="1559" w:type="dxa"/>
            <w:noWrap/>
            <w:vAlign w:val="center"/>
            <w:hideMark/>
          </w:tcPr>
          <w:p w14:paraId="639A3E45"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c2_p10</w:t>
            </w:r>
          </w:p>
        </w:tc>
        <w:tc>
          <w:tcPr>
            <w:tcW w:w="5954" w:type="dxa"/>
            <w:vAlign w:val="center"/>
            <w:hideMark/>
          </w:tcPr>
          <w:p w14:paraId="2F53C2BF" w14:textId="77777777" w:rsidR="00AD486D" w:rsidRPr="003131D3" w:rsidRDefault="00AD486D" w:rsidP="002B1F36">
            <w:pPr>
              <w:jc w:val="center"/>
              <w:rPr>
                <w:rFonts w:ascii="Arial" w:hAnsi="Arial" w:cs="Arial"/>
                <w:color w:val="000000"/>
                <w:sz w:val="21"/>
                <w:szCs w:val="21"/>
                <w:lang w:val="en-US"/>
              </w:rPr>
            </w:pPr>
            <w:r w:rsidRPr="003131D3">
              <w:rPr>
                <w:rFonts w:ascii="Arial" w:hAnsi="Arial" w:cs="Arial"/>
                <w:color w:val="000000"/>
                <w:sz w:val="21"/>
                <w:szCs w:val="21"/>
                <w:lang w:val="en-US"/>
              </w:rPr>
              <w:t>toilet that the house has</w:t>
            </w:r>
          </w:p>
        </w:tc>
      </w:tr>
      <w:tr w:rsidR="00AD486D" w:rsidRPr="00677583" w14:paraId="10FBF502" w14:textId="77777777" w:rsidTr="003131D3">
        <w:trPr>
          <w:trHeight w:val="406"/>
        </w:trPr>
        <w:tc>
          <w:tcPr>
            <w:tcW w:w="1980" w:type="dxa"/>
            <w:vMerge/>
            <w:vAlign w:val="center"/>
            <w:hideMark/>
          </w:tcPr>
          <w:p w14:paraId="5B25CBC1" w14:textId="77777777" w:rsidR="00AD486D" w:rsidRPr="003131D3" w:rsidRDefault="00AD486D" w:rsidP="002B1F36">
            <w:pPr>
              <w:jc w:val="center"/>
              <w:rPr>
                <w:rFonts w:ascii="Arial" w:hAnsi="Arial" w:cs="Arial"/>
                <w:b/>
                <w:bCs/>
                <w:color w:val="000000"/>
                <w:sz w:val="21"/>
                <w:szCs w:val="21"/>
                <w:lang w:val="en-US"/>
              </w:rPr>
            </w:pPr>
          </w:p>
        </w:tc>
        <w:tc>
          <w:tcPr>
            <w:tcW w:w="1559" w:type="dxa"/>
            <w:noWrap/>
            <w:vAlign w:val="center"/>
            <w:hideMark/>
          </w:tcPr>
          <w:p w14:paraId="54068E2B"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c2_p11</w:t>
            </w:r>
          </w:p>
        </w:tc>
        <w:tc>
          <w:tcPr>
            <w:tcW w:w="5954" w:type="dxa"/>
            <w:vAlign w:val="center"/>
            <w:hideMark/>
          </w:tcPr>
          <w:p w14:paraId="1A88E668" w14:textId="77777777" w:rsidR="00AD486D" w:rsidRPr="003131D3" w:rsidRDefault="00AD486D" w:rsidP="002B1F36">
            <w:pPr>
              <w:jc w:val="center"/>
              <w:rPr>
                <w:rFonts w:ascii="Arial" w:hAnsi="Arial" w:cs="Arial"/>
                <w:color w:val="000000"/>
                <w:sz w:val="21"/>
                <w:szCs w:val="21"/>
                <w:lang w:val="en-US"/>
              </w:rPr>
            </w:pPr>
            <w:r w:rsidRPr="003131D3">
              <w:rPr>
                <w:rFonts w:ascii="Arial" w:hAnsi="Arial" w:cs="Arial"/>
                <w:color w:val="000000"/>
                <w:sz w:val="21"/>
                <w:szCs w:val="21"/>
                <w:lang w:val="en-US"/>
              </w:rPr>
              <w:t>The house has electric lighting</w:t>
            </w:r>
          </w:p>
        </w:tc>
      </w:tr>
      <w:tr w:rsidR="00AD486D" w:rsidRPr="00677583" w14:paraId="52389713" w14:textId="77777777" w:rsidTr="003131D3">
        <w:trPr>
          <w:trHeight w:val="256"/>
        </w:trPr>
        <w:tc>
          <w:tcPr>
            <w:tcW w:w="1980" w:type="dxa"/>
            <w:vMerge/>
            <w:vAlign w:val="center"/>
            <w:hideMark/>
          </w:tcPr>
          <w:p w14:paraId="2CF2FD4F" w14:textId="77777777" w:rsidR="00AD486D" w:rsidRPr="003131D3" w:rsidRDefault="00AD486D" w:rsidP="002B1F36">
            <w:pPr>
              <w:jc w:val="center"/>
              <w:rPr>
                <w:rFonts w:ascii="Arial" w:hAnsi="Arial" w:cs="Arial"/>
                <w:b/>
                <w:bCs/>
                <w:color w:val="000000"/>
                <w:sz w:val="21"/>
                <w:szCs w:val="21"/>
                <w:lang w:val="en-US"/>
              </w:rPr>
            </w:pPr>
          </w:p>
        </w:tc>
        <w:tc>
          <w:tcPr>
            <w:tcW w:w="1559" w:type="dxa"/>
            <w:noWrap/>
            <w:vAlign w:val="center"/>
            <w:hideMark/>
          </w:tcPr>
          <w:p w14:paraId="00EC804B"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t_c4_p1</w:t>
            </w:r>
          </w:p>
        </w:tc>
        <w:tc>
          <w:tcPr>
            <w:tcW w:w="5954" w:type="dxa"/>
            <w:vAlign w:val="center"/>
            <w:hideMark/>
          </w:tcPr>
          <w:p w14:paraId="0C026064" w14:textId="77777777" w:rsidR="00AD486D" w:rsidRPr="003131D3" w:rsidRDefault="00AD486D" w:rsidP="002B1F36">
            <w:pPr>
              <w:jc w:val="center"/>
              <w:rPr>
                <w:rFonts w:ascii="Arial" w:hAnsi="Arial" w:cs="Arial"/>
                <w:color w:val="000000"/>
                <w:sz w:val="21"/>
                <w:szCs w:val="21"/>
                <w:lang w:val="en-US"/>
              </w:rPr>
            </w:pPr>
            <w:r w:rsidRPr="003131D3">
              <w:rPr>
                <w:rFonts w:ascii="Arial" w:hAnsi="Arial" w:cs="Arial"/>
                <w:color w:val="000000"/>
                <w:sz w:val="21"/>
                <w:szCs w:val="21"/>
                <w:lang w:val="en-US"/>
              </w:rPr>
              <w:t xml:space="preserve">total population in the </w:t>
            </w:r>
            <w:r w:rsidR="00674B27" w:rsidRPr="003131D3">
              <w:rPr>
                <w:rFonts w:ascii="Arial" w:hAnsi="Arial" w:cs="Arial"/>
                <w:color w:val="000000"/>
                <w:sz w:val="21"/>
                <w:szCs w:val="21"/>
                <w:lang w:val="en-US"/>
              </w:rPr>
              <w:t>dwelling</w:t>
            </w:r>
          </w:p>
        </w:tc>
      </w:tr>
      <w:tr w:rsidR="00AD486D" w:rsidRPr="00677583" w14:paraId="27747EBE" w14:textId="77777777" w:rsidTr="003131D3">
        <w:trPr>
          <w:trHeight w:val="288"/>
        </w:trPr>
        <w:tc>
          <w:tcPr>
            <w:tcW w:w="1980" w:type="dxa"/>
            <w:vMerge w:val="restart"/>
            <w:vAlign w:val="center"/>
            <w:hideMark/>
          </w:tcPr>
          <w:p w14:paraId="60088277" w14:textId="77777777" w:rsidR="00AD486D" w:rsidRPr="003131D3" w:rsidRDefault="00674B27" w:rsidP="002B1F36">
            <w:pPr>
              <w:jc w:val="center"/>
              <w:rPr>
                <w:rFonts w:ascii="Arial" w:hAnsi="Arial" w:cs="Arial"/>
                <w:b/>
                <w:bCs/>
                <w:color w:val="000000"/>
                <w:sz w:val="21"/>
                <w:szCs w:val="21"/>
              </w:rPr>
            </w:pPr>
            <w:r w:rsidRPr="003131D3">
              <w:rPr>
                <w:rFonts w:ascii="Arial" w:hAnsi="Arial" w:cs="Arial"/>
                <w:b/>
                <w:bCs/>
                <w:color w:val="000000"/>
                <w:sz w:val="21"/>
                <w:szCs w:val="21"/>
              </w:rPr>
              <w:t>household</w:t>
            </w:r>
          </w:p>
        </w:tc>
        <w:tc>
          <w:tcPr>
            <w:tcW w:w="1559" w:type="dxa"/>
            <w:noWrap/>
            <w:vAlign w:val="center"/>
            <w:hideMark/>
          </w:tcPr>
          <w:p w14:paraId="4181E732"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c3_p2_6</w:t>
            </w:r>
          </w:p>
        </w:tc>
        <w:tc>
          <w:tcPr>
            <w:tcW w:w="5954" w:type="dxa"/>
            <w:vAlign w:val="center"/>
            <w:hideMark/>
          </w:tcPr>
          <w:p w14:paraId="2F8F4C72" w14:textId="77777777" w:rsidR="00AD486D" w:rsidRPr="003131D3" w:rsidRDefault="00AD486D" w:rsidP="002B1F36">
            <w:pPr>
              <w:jc w:val="center"/>
              <w:rPr>
                <w:rFonts w:ascii="Arial" w:hAnsi="Arial" w:cs="Arial"/>
                <w:color w:val="000000"/>
                <w:sz w:val="21"/>
                <w:szCs w:val="21"/>
                <w:lang w:val="en-US"/>
              </w:rPr>
            </w:pPr>
            <w:r w:rsidRPr="003131D3">
              <w:rPr>
                <w:rFonts w:ascii="Arial" w:hAnsi="Arial" w:cs="Arial"/>
                <w:color w:val="000000"/>
                <w:sz w:val="21"/>
                <w:szCs w:val="21"/>
                <w:lang w:val="en-US"/>
              </w:rPr>
              <w:t xml:space="preserve">Your </w:t>
            </w:r>
            <w:r w:rsidR="00674B27" w:rsidRPr="003131D3">
              <w:rPr>
                <w:rFonts w:ascii="Arial" w:hAnsi="Arial" w:cs="Arial"/>
                <w:color w:val="000000"/>
                <w:sz w:val="21"/>
                <w:szCs w:val="21"/>
                <w:lang w:val="en-US"/>
              </w:rPr>
              <w:t>household</w:t>
            </w:r>
            <w:r w:rsidRPr="003131D3">
              <w:rPr>
                <w:rFonts w:ascii="Arial" w:hAnsi="Arial" w:cs="Arial"/>
                <w:color w:val="000000"/>
                <w:sz w:val="21"/>
                <w:szCs w:val="21"/>
                <w:lang w:val="en-US"/>
              </w:rPr>
              <w:t xml:space="preserve"> has: Microwave oven</w:t>
            </w:r>
          </w:p>
        </w:tc>
      </w:tr>
      <w:tr w:rsidR="00AD486D" w:rsidRPr="003131D3" w14:paraId="0834A725" w14:textId="77777777" w:rsidTr="003131D3">
        <w:trPr>
          <w:trHeight w:val="265"/>
        </w:trPr>
        <w:tc>
          <w:tcPr>
            <w:tcW w:w="1980" w:type="dxa"/>
            <w:vMerge/>
            <w:vAlign w:val="center"/>
            <w:hideMark/>
          </w:tcPr>
          <w:p w14:paraId="3B2F03E2" w14:textId="77777777" w:rsidR="00AD486D" w:rsidRPr="003131D3" w:rsidRDefault="00AD486D" w:rsidP="002B1F36">
            <w:pPr>
              <w:jc w:val="center"/>
              <w:rPr>
                <w:rFonts w:ascii="Arial" w:hAnsi="Arial" w:cs="Arial"/>
                <w:b/>
                <w:bCs/>
                <w:color w:val="000000"/>
                <w:sz w:val="21"/>
                <w:szCs w:val="21"/>
                <w:lang w:val="en-US"/>
              </w:rPr>
            </w:pPr>
          </w:p>
        </w:tc>
        <w:tc>
          <w:tcPr>
            <w:tcW w:w="1559" w:type="dxa"/>
            <w:noWrap/>
            <w:vAlign w:val="center"/>
            <w:hideMark/>
          </w:tcPr>
          <w:p w14:paraId="15B4CC2C"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c3_p2_7</w:t>
            </w:r>
          </w:p>
        </w:tc>
        <w:tc>
          <w:tcPr>
            <w:tcW w:w="5954" w:type="dxa"/>
            <w:vAlign w:val="center"/>
            <w:hideMark/>
          </w:tcPr>
          <w:p w14:paraId="54096A02"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 xml:space="preserve">Your </w:t>
            </w:r>
            <w:r w:rsidR="00674B27" w:rsidRPr="003131D3">
              <w:rPr>
                <w:rFonts w:ascii="Arial" w:hAnsi="Arial" w:cs="Arial"/>
                <w:color w:val="000000"/>
                <w:sz w:val="21"/>
                <w:szCs w:val="21"/>
                <w:lang w:val="en-US"/>
              </w:rPr>
              <w:t xml:space="preserve">household </w:t>
            </w:r>
            <w:r w:rsidRPr="003131D3">
              <w:rPr>
                <w:rFonts w:ascii="Arial" w:hAnsi="Arial" w:cs="Arial"/>
                <w:color w:val="000000"/>
                <w:sz w:val="21"/>
                <w:szCs w:val="21"/>
              </w:rPr>
              <w:t>has: Blender</w:t>
            </w:r>
          </w:p>
        </w:tc>
      </w:tr>
      <w:tr w:rsidR="00AD486D" w:rsidRPr="00677583" w14:paraId="77D44810" w14:textId="77777777" w:rsidTr="003131D3">
        <w:trPr>
          <w:trHeight w:val="268"/>
        </w:trPr>
        <w:tc>
          <w:tcPr>
            <w:tcW w:w="1980" w:type="dxa"/>
            <w:vMerge/>
            <w:vAlign w:val="center"/>
            <w:hideMark/>
          </w:tcPr>
          <w:p w14:paraId="66FCF6CE" w14:textId="77777777" w:rsidR="00AD486D" w:rsidRPr="003131D3" w:rsidRDefault="00AD486D" w:rsidP="002B1F36">
            <w:pPr>
              <w:jc w:val="center"/>
              <w:rPr>
                <w:rFonts w:ascii="Arial" w:hAnsi="Arial" w:cs="Arial"/>
                <w:b/>
                <w:bCs/>
                <w:color w:val="000000"/>
                <w:sz w:val="21"/>
                <w:szCs w:val="21"/>
              </w:rPr>
            </w:pPr>
          </w:p>
        </w:tc>
        <w:tc>
          <w:tcPr>
            <w:tcW w:w="1559" w:type="dxa"/>
            <w:noWrap/>
            <w:vAlign w:val="center"/>
            <w:hideMark/>
          </w:tcPr>
          <w:p w14:paraId="119517CD"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c3_p2_8</w:t>
            </w:r>
          </w:p>
        </w:tc>
        <w:tc>
          <w:tcPr>
            <w:tcW w:w="5954" w:type="dxa"/>
            <w:vAlign w:val="center"/>
            <w:hideMark/>
          </w:tcPr>
          <w:p w14:paraId="1FBEDA95" w14:textId="77777777" w:rsidR="00AD486D" w:rsidRPr="003131D3" w:rsidRDefault="00AD486D" w:rsidP="002B1F36">
            <w:pPr>
              <w:jc w:val="center"/>
              <w:rPr>
                <w:rFonts w:ascii="Arial" w:hAnsi="Arial" w:cs="Arial"/>
                <w:color w:val="000000"/>
                <w:sz w:val="21"/>
                <w:szCs w:val="21"/>
                <w:lang w:val="en-US"/>
              </w:rPr>
            </w:pPr>
            <w:r w:rsidRPr="003131D3">
              <w:rPr>
                <w:rFonts w:ascii="Arial" w:hAnsi="Arial" w:cs="Arial"/>
                <w:color w:val="000000"/>
                <w:sz w:val="21"/>
                <w:szCs w:val="21"/>
                <w:lang w:val="en-US"/>
              </w:rPr>
              <w:t xml:space="preserve">Your </w:t>
            </w:r>
            <w:r w:rsidR="00674B27" w:rsidRPr="003131D3">
              <w:rPr>
                <w:rFonts w:ascii="Arial" w:hAnsi="Arial" w:cs="Arial"/>
                <w:color w:val="000000"/>
                <w:sz w:val="21"/>
                <w:szCs w:val="21"/>
                <w:lang w:val="en-US"/>
              </w:rPr>
              <w:t xml:space="preserve">household </w:t>
            </w:r>
            <w:r w:rsidRPr="003131D3">
              <w:rPr>
                <w:rFonts w:ascii="Arial" w:hAnsi="Arial" w:cs="Arial"/>
                <w:color w:val="000000"/>
                <w:sz w:val="21"/>
                <w:szCs w:val="21"/>
                <w:lang w:val="en-US"/>
              </w:rPr>
              <w:t>has: Electric iron</w:t>
            </w:r>
          </w:p>
        </w:tc>
      </w:tr>
      <w:tr w:rsidR="00AD486D" w:rsidRPr="00677583" w14:paraId="4E2D7B59" w14:textId="77777777" w:rsidTr="003131D3">
        <w:trPr>
          <w:trHeight w:val="286"/>
        </w:trPr>
        <w:tc>
          <w:tcPr>
            <w:tcW w:w="1980" w:type="dxa"/>
            <w:vMerge/>
            <w:vAlign w:val="center"/>
            <w:hideMark/>
          </w:tcPr>
          <w:p w14:paraId="25DD8806" w14:textId="77777777" w:rsidR="00AD486D" w:rsidRPr="003131D3" w:rsidRDefault="00AD486D" w:rsidP="002B1F36">
            <w:pPr>
              <w:jc w:val="center"/>
              <w:rPr>
                <w:rFonts w:ascii="Arial" w:hAnsi="Arial" w:cs="Arial"/>
                <w:b/>
                <w:bCs/>
                <w:color w:val="000000"/>
                <w:sz w:val="21"/>
                <w:szCs w:val="21"/>
                <w:lang w:val="en-US"/>
              </w:rPr>
            </w:pPr>
          </w:p>
        </w:tc>
        <w:tc>
          <w:tcPr>
            <w:tcW w:w="1559" w:type="dxa"/>
            <w:noWrap/>
            <w:vAlign w:val="center"/>
            <w:hideMark/>
          </w:tcPr>
          <w:p w14:paraId="3EB80B8C"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c3_p2_9</w:t>
            </w:r>
          </w:p>
        </w:tc>
        <w:tc>
          <w:tcPr>
            <w:tcW w:w="5954" w:type="dxa"/>
            <w:vAlign w:val="center"/>
            <w:hideMark/>
          </w:tcPr>
          <w:p w14:paraId="359FCAA2" w14:textId="77777777" w:rsidR="00AD486D" w:rsidRPr="003131D3" w:rsidRDefault="00AD486D" w:rsidP="002B1F36">
            <w:pPr>
              <w:jc w:val="center"/>
              <w:rPr>
                <w:rFonts w:ascii="Arial" w:hAnsi="Arial" w:cs="Arial"/>
                <w:color w:val="000000"/>
                <w:sz w:val="21"/>
                <w:szCs w:val="21"/>
                <w:lang w:val="en-US"/>
              </w:rPr>
            </w:pPr>
            <w:r w:rsidRPr="003131D3">
              <w:rPr>
                <w:rFonts w:ascii="Arial" w:hAnsi="Arial" w:cs="Arial"/>
                <w:color w:val="000000"/>
                <w:sz w:val="21"/>
                <w:szCs w:val="21"/>
                <w:lang w:val="en-US"/>
              </w:rPr>
              <w:t xml:space="preserve">Your </w:t>
            </w:r>
            <w:r w:rsidR="00674B27" w:rsidRPr="003131D3">
              <w:rPr>
                <w:rFonts w:ascii="Arial" w:hAnsi="Arial" w:cs="Arial"/>
                <w:color w:val="000000"/>
                <w:sz w:val="21"/>
                <w:szCs w:val="21"/>
                <w:lang w:val="en-US"/>
              </w:rPr>
              <w:t xml:space="preserve">household </w:t>
            </w:r>
            <w:r w:rsidRPr="003131D3">
              <w:rPr>
                <w:rFonts w:ascii="Arial" w:hAnsi="Arial" w:cs="Arial"/>
                <w:color w:val="000000"/>
                <w:sz w:val="21"/>
                <w:szCs w:val="21"/>
                <w:lang w:val="en-US"/>
              </w:rPr>
              <w:t>has: Computer/laptop/tablet</w:t>
            </w:r>
          </w:p>
        </w:tc>
      </w:tr>
      <w:tr w:rsidR="00AD486D" w:rsidRPr="00677583" w14:paraId="001EC60B" w14:textId="77777777" w:rsidTr="003131D3">
        <w:trPr>
          <w:trHeight w:val="276"/>
        </w:trPr>
        <w:tc>
          <w:tcPr>
            <w:tcW w:w="1980" w:type="dxa"/>
            <w:vMerge/>
            <w:vAlign w:val="center"/>
            <w:hideMark/>
          </w:tcPr>
          <w:p w14:paraId="41E1DEA6" w14:textId="77777777" w:rsidR="00AD486D" w:rsidRPr="003131D3" w:rsidRDefault="00AD486D" w:rsidP="002B1F36">
            <w:pPr>
              <w:jc w:val="center"/>
              <w:rPr>
                <w:rFonts w:ascii="Arial" w:hAnsi="Arial" w:cs="Arial"/>
                <w:b/>
                <w:bCs/>
                <w:color w:val="000000"/>
                <w:sz w:val="21"/>
                <w:szCs w:val="21"/>
                <w:lang w:val="en-US"/>
              </w:rPr>
            </w:pPr>
          </w:p>
        </w:tc>
        <w:tc>
          <w:tcPr>
            <w:tcW w:w="1559" w:type="dxa"/>
            <w:noWrap/>
            <w:vAlign w:val="center"/>
            <w:hideMark/>
          </w:tcPr>
          <w:p w14:paraId="11274D91"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c3_p2_10</w:t>
            </w:r>
          </w:p>
        </w:tc>
        <w:tc>
          <w:tcPr>
            <w:tcW w:w="5954" w:type="dxa"/>
            <w:vAlign w:val="center"/>
            <w:hideMark/>
          </w:tcPr>
          <w:p w14:paraId="2BD75D30" w14:textId="77777777" w:rsidR="00AD486D" w:rsidRPr="003131D3" w:rsidRDefault="00AD486D" w:rsidP="002B1F36">
            <w:pPr>
              <w:jc w:val="center"/>
              <w:rPr>
                <w:rFonts w:ascii="Arial" w:hAnsi="Arial" w:cs="Arial"/>
                <w:color w:val="000000"/>
                <w:sz w:val="21"/>
                <w:szCs w:val="21"/>
                <w:lang w:val="en-US"/>
              </w:rPr>
            </w:pPr>
            <w:r w:rsidRPr="003131D3">
              <w:rPr>
                <w:rFonts w:ascii="Arial" w:hAnsi="Arial" w:cs="Arial"/>
                <w:color w:val="000000"/>
                <w:sz w:val="21"/>
                <w:szCs w:val="21"/>
                <w:lang w:val="en-US"/>
              </w:rPr>
              <w:t xml:space="preserve">Your </w:t>
            </w:r>
            <w:r w:rsidR="00674B27" w:rsidRPr="003131D3">
              <w:rPr>
                <w:rFonts w:ascii="Arial" w:hAnsi="Arial" w:cs="Arial"/>
                <w:color w:val="000000"/>
                <w:sz w:val="21"/>
                <w:szCs w:val="21"/>
                <w:lang w:val="en-US"/>
              </w:rPr>
              <w:t xml:space="preserve">household </w:t>
            </w:r>
            <w:r w:rsidRPr="003131D3">
              <w:rPr>
                <w:rFonts w:ascii="Arial" w:hAnsi="Arial" w:cs="Arial"/>
                <w:color w:val="000000"/>
                <w:sz w:val="21"/>
                <w:szCs w:val="21"/>
                <w:lang w:val="en-US"/>
              </w:rPr>
              <w:t>has: Cell phone</w:t>
            </w:r>
          </w:p>
        </w:tc>
      </w:tr>
      <w:tr w:rsidR="00AD486D" w:rsidRPr="003131D3" w14:paraId="0C103CBA" w14:textId="77777777" w:rsidTr="003131D3">
        <w:trPr>
          <w:trHeight w:val="280"/>
        </w:trPr>
        <w:tc>
          <w:tcPr>
            <w:tcW w:w="1980" w:type="dxa"/>
            <w:vMerge/>
            <w:vAlign w:val="center"/>
            <w:hideMark/>
          </w:tcPr>
          <w:p w14:paraId="37A0520A" w14:textId="77777777" w:rsidR="00AD486D" w:rsidRPr="003131D3" w:rsidRDefault="00AD486D" w:rsidP="002B1F36">
            <w:pPr>
              <w:jc w:val="center"/>
              <w:rPr>
                <w:rFonts w:ascii="Arial" w:hAnsi="Arial" w:cs="Arial"/>
                <w:b/>
                <w:bCs/>
                <w:color w:val="000000"/>
                <w:sz w:val="21"/>
                <w:szCs w:val="21"/>
                <w:lang w:val="en-US"/>
              </w:rPr>
            </w:pPr>
          </w:p>
        </w:tc>
        <w:tc>
          <w:tcPr>
            <w:tcW w:w="1559" w:type="dxa"/>
            <w:noWrap/>
            <w:vAlign w:val="center"/>
            <w:hideMark/>
          </w:tcPr>
          <w:p w14:paraId="1C780C66"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c3_p2_11</w:t>
            </w:r>
          </w:p>
        </w:tc>
        <w:tc>
          <w:tcPr>
            <w:tcW w:w="5954" w:type="dxa"/>
            <w:vAlign w:val="center"/>
            <w:hideMark/>
          </w:tcPr>
          <w:p w14:paraId="448060D9"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 xml:space="preserve">Your </w:t>
            </w:r>
            <w:r w:rsidR="00674B27" w:rsidRPr="003131D3">
              <w:rPr>
                <w:rFonts w:ascii="Arial" w:hAnsi="Arial" w:cs="Arial"/>
                <w:color w:val="000000"/>
                <w:sz w:val="21"/>
                <w:szCs w:val="21"/>
                <w:lang w:val="en-US"/>
              </w:rPr>
              <w:t xml:space="preserve">household </w:t>
            </w:r>
            <w:r w:rsidRPr="003131D3">
              <w:rPr>
                <w:rFonts w:ascii="Arial" w:hAnsi="Arial" w:cs="Arial"/>
                <w:color w:val="000000"/>
                <w:sz w:val="21"/>
                <w:szCs w:val="21"/>
              </w:rPr>
              <w:t>has: Landline</w:t>
            </w:r>
          </w:p>
        </w:tc>
      </w:tr>
      <w:tr w:rsidR="00AD486D" w:rsidRPr="00677583" w14:paraId="21F8CD87" w14:textId="77777777" w:rsidTr="003131D3">
        <w:trPr>
          <w:trHeight w:val="270"/>
        </w:trPr>
        <w:tc>
          <w:tcPr>
            <w:tcW w:w="1980" w:type="dxa"/>
            <w:vMerge/>
            <w:vAlign w:val="center"/>
            <w:hideMark/>
          </w:tcPr>
          <w:p w14:paraId="65F66184" w14:textId="77777777" w:rsidR="00AD486D" w:rsidRPr="003131D3" w:rsidRDefault="00AD486D" w:rsidP="002B1F36">
            <w:pPr>
              <w:jc w:val="center"/>
              <w:rPr>
                <w:rFonts w:ascii="Arial" w:hAnsi="Arial" w:cs="Arial"/>
                <w:b/>
                <w:bCs/>
                <w:color w:val="000000"/>
                <w:sz w:val="21"/>
                <w:szCs w:val="21"/>
              </w:rPr>
            </w:pPr>
          </w:p>
        </w:tc>
        <w:tc>
          <w:tcPr>
            <w:tcW w:w="1559" w:type="dxa"/>
            <w:noWrap/>
            <w:vAlign w:val="center"/>
            <w:hideMark/>
          </w:tcPr>
          <w:p w14:paraId="3807FCC4"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c3_p2_12</w:t>
            </w:r>
          </w:p>
        </w:tc>
        <w:tc>
          <w:tcPr>
            <w:tcW w:w="5954" w:type="dxa"/>
            <w:vAlign w:val="center"/>
            <w:hideMark/>
          </w:tcPr>
          <w:p w14:paraId="2578AFB1" w14:textId="77777777" w:rsidR="00AD486D" w:rsidRPr="003131D3" w:rsidRDefault="00AD486D" w:rsidP="002B1F36">
            <w:pPr>
              <w:jc w:val="center"/>
              <w:rPr>
                <w:rFonts w:ascii="Arial" w:hAnsi="Arial" w:cs="Arial"/>
                <w:color w:val="000000"/>
                <w:sz w:val="21"/>
                <w:szCs w:val="21"/>
                <w:lang w:val="en-US"/>
              </w:rPr>
            </w:pPr>
            <w:r w:rsidRPr="003131D3">
              <w:rPr>
                <w:rFonts w:ascii="Arial" w:hAnsi="Arial" w:cs="Arial"/>
                <w:color w:val="000000"/>
                <w:sz w:val="21"/>
                <w:szCs w:val="21"/>
                <w:lang w:val="en-US"/>
              </w:rPr>
              <w:t xml:space="preserve">Your </w:t>
            </w:r>
            <w:r w:rsidR="00674B27" w:rsidRPr="003131D3">
              <w:rPr>
                <w:rFonts w:ascii="Arial" w:hAnsi="Arial" w:cs="Arial"/>
                <w:color w:val="000000"/>
                <w:sz w:val="21"/>
                <w:szCs w:val="21"/>
                <w:lang w:val="en-US"/>
              </w:rPr>
              <w:t xml:space="preserve">household </w:t>
            </w:r>
            <w:r w:rsidRPr="003131D3">
              <w:rPr>
                <w:rFonts w:ascii="Arial" w:hAnsi="Arial" w:cs="Arial"/>
                <w:color w:val="000000"/>
                <w:sz w:val="21"/>
                <w:szCs w:val="21"/>
                <w:lang w:val="en-US"/>
              </w:rPr>
              <w:t>has: Cable or satellite TV connection</w:t>
            </w:r>
          </w:p>
        </w:tc>
      </w:tr>
      <w:tr w:rsidR="00AD486D" w:rsidRPr="00677583" w14:paraId="5D7FF7DA" w14:textId="77777777" w:rsidTr="003131D3">
        <w:trPr>
          <w:trHeight w:val="290"/>
        </w:trPr>
        <w:tc>
          <w:tcPr>
            <w:tcW w:w="1980" w:type="dxa"/>
            <w:vMerge/>
            <w:vAlign w:val="center"/>
            <w:hideMark/>
          </w:tcPr>
          <w:p w14:paraId="60F17EAB" w14:textId="77777777" w:rsidR="00AD486D" w:rsidRPr="003131D3" w:rsidRDefault="00AD486D" w:rsidP="002B1F36">
            <w:pPr>
              <w:jc w:val="center"/>
              <w:rPr>
                <w:rFonts w:ascii="Arial" w:hAnsi="Arial" w:cs="Arial"/>
                <w:b/>
                <w:bCs/>
                <w:color w:val="000000"/>
                <w:sz w:val="21"/>
                <w:szCs w:val="21"/>
                <w:lang w:val="en-US"/>
              </w:rPr>
            </w:pPr>
          </w:p>
        </w:tc>
        <w:tc>
          <w:tcPr>
            <w:tcW w:w="1559" w:type="dxa"/>
            <w:noWrap/>
            <w:vAlign w:val="center"/>
            <w:hideMark/>
          </w:tcPr>
          <w:p w14:paraId="2B956307"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c3_p2_13</w:t>
            </w:r>
          </w:p>
        </w:tc>
        <w:tc>
          <w:tcPr>
            <w:tcW w:w="5954" w:type="dxa"/>
            <w:vAlign w:val="center"/>
            <w:hideMark/>
          </w:tcPr>
          <w:p w14:paraId="1D04D584" w14:textId="77777777" w:rsidR="00AD486D" w:rsidRPr="003131D3" w:rsidRDefault="00AD486D" w:rsidP="002B1F36">
            <w:pPr>
              <w:jc w:val="center"/>
              <w:rPr>
                <w:rFonts w:ascii="Arial" w:hAnsi="Arial" w:cs="Arial"/>
                <w:color w:val="000000"/>
                <w:sz w:val="21"/>
                <w:szCs w:val="21"/>
                <w:lang w:val="en-US"/>
              </w:rPr>
            </w:pPr>
            <w:r w:rsidRPr="003131D3">
              <w:rPr>
                <w:rFonts w:ascii="Arial" w:hAnsi="Arial" w:cs="Arial"/>
                <w:color w:val="000000"/>
                <w:sz w:val="21"/>
                <w:szCs w:val="21"/>
                <w:lang w:val="en-US"/>
              </w:rPr>
              <w:t xml:space="preserve">Your </w:t>
            </w:r>
            <w:r w:rsidR="00674B27" w:rsidRPr="003131D3">
              <w:rPr>
                <w:rFonts w:ascii="Arial" w:hAnsi="Arial" w:cs="Arial"/>
                <w:color w:val="000000"/>
                <w:sz w:val="21"/>
                <w:szCs w:val="21"/>
                <w:lang w:val="en-US"/>
              </w:rPr>
              <w:t xml:space="preserve">household </w:t>
            </w:r>
            <w:r w:rsidRPr="003131D3">
              <w:rPr>
                <w:rFonts w:ascii="Arial" w:hAnsi="Arial" w:cs="Arial"/>
                <w:color w:val="000000"/>
                <w:sz w:val="21"/>
                <w:szCs w:val="21"/>
                <w:lang w:val="en-US"/>
              </w:rPr>
              <w:t>has: Internet connection</w:t>
            </w:r>
          </w:p>
        </w:tc>
      </w:tr>
      <w:tr w:rsidR="00AD486D" w:rsidRPr="00677583" w14:paraId="761B6F8D" w14:textId="77777777" w:rsidTr="003131D3">
        <w:trPr>
          <w:trHeight w:val="363"/>
        </w:trPr>
        <w:tc>
          <w:tcPr>
            <w:tcW w:w="1980" w:type="dxa"/>
            <w:vMerge/>
            <w:vAlign w:val="center"/>
            <w:hideMark/>
          </w:tcPr>
          <w:p w14:paraId="11544A4D" w14:textId="77777777" w:rsidR="00AD486D" w:rsidRPr="003131D3" w:rsidRDefault="00AD486D" w:rsidP="002B1F36">
            <w:pPr>
              <w:jc w:val="center"/>
              <w:rPr>
                <w:rFonts w:ascii="Arial" w:hAnsi="Arial" w:cs="Arial"/>
                <w:b/>
                <w:bCs/>
                <w:color w:val="000000"/>
                <w:sz w:val="21"/>
                <w:szCs w:val="21"/>
                <w:lang w:val="en-US"/>
              </w:rPr>
            </w:pPr>
          </w:p>
        </w:tc>
        <w:tc>
          <w:tcPr>
            <w:tcW w:w="1559" w:type="dxa"/>
            <w:noWrap/>
            <w:vAlign w:val="center"/>
            <w:hideMark/>
          </w:tcPr>
          <w:p w14:paraId="69B33939"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c3_p2_14</w:t>
            </w:r>
          </w:p>
        </w:tc>
        <w:tc>
          <w:tcPr>
            <w:tcW w:w="5954" w:type="dxa"/>
            <w:vAlign w:val="center"/>
            <w:hideMark/>
          </w:tcPr>
          <w:p w14:paraId="1BA723F7" w14:textId="77777777" w:rsidR="00AD486D" w:rsidRPr="003131D3" w:rsidRDefault="00AD486D" w:rsidP="002B1F36">
            <w:pPr>
              <w:jc w:val="center"/>
              <w:rPr>
                <w:rFonts w:ascii="Arial" w:hAnsi="Arial" w:cs="Arial"/>
                <w:color w:val="000000"/>
                <w:sz w:val="21"/>
                <w:szCs w:val="21"/>
                <w:lang w:val="en-US"/>
              </w:rPr>
            </w:pPr>
            <w:r w:rsidRPr="003131D3">
              <w:rPr>
                <w:rFonts w:ascii="Arial" w:hAnsi="Arial" w:cs="Arial"/>
                <w:color w:val="000000"/>
                <w:sz w:val="21"/>
                <w:szCs w:val="21"/>
                <w:lang w:val="en-US"/>
              </w:rPr>
              <w:t xml:space="preserve">Your </w:t>
            </w:r>
            <w:r w:rsidR="00674B27" w:rsidRPr="003131D3">
              <w:rPr>
                <w:rFonts w:ascii="Arial" w:hAnsi="Arial" w:cs="Arial"/>
                <w:color w:val="000000"/>
                <w:sz w:val="21"/>
                <w:szCs w:val="21"/>
                <w:lang w:val="en-US"/>
              </w:rPr>
              <w:t xml:space="preserve">household </w:t>
            </w:r>
            <w:r w:rsidRPr="003131D3">
              <w:rPr>
                <w:rFonts w:ascii="Arial" w:hAnsi="Arial" w:cs="Arial"/>
                <w:color w:val="000000"/>
                <w:sz w:val="21"/>
                <w:szCs w:val="21"/>
                <w:lang w:val="en-US"/>
              </w:rPr>
              <w:t>has: car, truck</w:t>
            </w:r>
          </w:p>
        </w:tc>
      </w:tr>
      <w:tr w:rsidR="00AD486D" w:rsidRPr="003131D3" w14:paraId="667FBF9B" w14:textId="77777777" w:rsidTr="003131D3">
        <w:trPr>
          <w:trHeight w:val="314"/>
        </w:trPr>
        <w:tc>
          <w:tcPr>
            <w:tcW w:w="1980" w:type="dxa"/>
            <w:vMerge/>
            <w:vAlign w:val="center"/>
            <w:hideMark/>
          </w:tcPr>
          <w:p w14:paraId="1593769A" w14:textId="77777777" w:rsidR="00AD486D" w:rsidRPr="003131D3" w:rsidRDefault="00AD486D" w:rsidP="002B1F36">
            <w:pPr>
              <w:jc w:val="center"/>
              <w:rPr>
                <w:rFonts w:ascii="Arial" w:hAnsi="Arial" w:cs="Arial"/>
                <w:b/>
                <w:bCs/>
                <w:color w:val="000000"/>
                <w:sz w:val="21"/>
                <w:szCs w:val="21"/>
                <w:lang w:val="en-US"/>
              </w:rPr>
            </w:pPr>
          </w:p>
        </w:tc>
        <w:tc>
          <w:tcPr>
            <w:tcW w:w="1559" w:type="dxa"/>
            <w:noWrap/>
            <w:vAlign w:val="center"/>
            <w:hideMark/>
          </w:tcPr>
          <w:p w14:paraId="5539A785"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c3_p2_15</w:t>
            </w:r>
          </w:p>
        </w:tc>
        <w:tc>
          <w:tcPr>
            <w:tcW w:w="5954" w:type="dxa"/>
            <w:vAlign w:val="center"/>
            <w:hideMark/>
          </w:tcPr>
          <w:p w14:paraId="1FDC6E4A"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 xml:space="preserve">Your </w:t>
            </w:r>
            <w:r w:rsidR="00674B27" w:rsidRPr="003131D3">
              <w:rPr>
                <w:rFonts w:ascii="Arial" w:hAnsi="Arial" w:cs="Arial"/>
                <w:color w:val="000000"/>
                <w:sz w:val="21"/>
                <w:szCs w:val="21"/>
                <w:lang w:val="en-US"/>
              </w:rPr>
              <w:t xml:space="preserve">household </w:t>
            </w:r>
            <w:r w:rsidRPr="003131D3">
              <w:rPr>
                <w:rFonts w:ascii="Arial" w:hAnsi="Arial" w:cs="Arial"/>
                <w:color w:val="000000"/>
                <w:sz w:val="21"/>
                <w:szCs w:val="21"/>
              </w:rPr>
              <w:t>has: Motorcycle</w:t>
            </w:r>
          </w:p>
        </w:tc>
      </w:tr>
      <w:tr w:rsidR="00AD486D" w:rsidRPr="00677583" w14:paraId="4C3CF41E" w14:textId="77777777" w:rsidTr="003131D3">
        <w:trPr>
          <w:trHeight w:val="276"/>
        </w:trPr>
        <w:tc>
          <w:tcPr>
            <w:tcW w:w="1980" w:type="dxa"/>
            <w:vMerge/>
            <w:vAlign w:val="center"/>
            <w:hideMark/>
          </w:tcPr>
          <w:p w14:paraId="4DE69C63" w14:textId="77777777" w:rsidR="00AD486D" w:rsidRPr="003131D3" w:rsidRDefault="00AD486D" w:rsidP="002B1F36">
            <w:pPr>
              <w:jc w:val="center"/>
              <w:rPr>
                <w:rFonts w:ascii="Arial" w:hAnsi="Arial" w:cs="Arial"/>
                <w:b/>
                <w:bCs/>
                <w:color w:val="000000"/>
                <w:sz w:val="21"/>
                <w:szCs w:val="21"/>
              </w:rPr>
            </w:pPr>
          </w:p>
        </w:tc>
        <w:tc>
          <w:tcPr>
            <w:tcW w:w="1559" w:type="dxa"/>
            <w:noWrap/>
            <w:vAlign w:val="center"/>
            <w:hideMark/>
          </w:tcPr>
          <w:p w14:paraId="230A5E34"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c3_p2_16</w:t>
            </w:r>
          </w:p>
        </w:tc>
        <w:tc>
          <w:tcPr>
            <w:tcW w:w="5954" w:type="dxa"/>
            <w:vAlign w:val="center"/>
            <w:hideMark/>
          </w:tcPr>
          <w:p w14:paraId="5FCCBB5E" w14:textId="77777777" w:rsidR="00AD486D" w:rsidRPr="003131D3" w:rsidRDefault="00AD486D" w:rsidP="002B1F36">
            <w:pPr>
              <w:jc w:val="center"/>
              <w:rPr>
                <w:rFonts w:ascii="Arial" w:hAnsi="Arial" w:cs="Arial"/>
                <w:color w:val="000000"/>
                <w:sz w:val="21"/>
                <w:szCs w:val="21"/>
                <w:lang w:val="en-US"/>
              </w:rPr>
            </w:pPr>
            <w:r w:rsidRPr="003131D3">
              <w:rPr>
                <w:rFonts w:ascii="Arial" w:hAnsi="Arial" w:cs="Arial"/>
                <w:color w:val="000000"/>
                <w:sz w:val="21"/>
                <w:szCs w:val="21"/>
                <w:lang w:val="en-US"/>
              </w:rPr>
              <w:t xml:space="preserve">Your </w:t>
            </w:r>
            <w:r w:rsidR="00674B27" w:rsidRPr="003131D3">
              <w:rPr>
                <w:rFonts w:ascii="Arial" w:hAnsi="Arial" w:cs="Arial"/>
                <w:color w:val="000000"/>
                <w:sz w:val="21"/>
                <w:szCs w:val="21"/>
                <w:lang w:val="en-US"/>
              </w:rPr>
              <w:t xml:space="preserve">household </w:t>
            </w:r>
            <w:r w:rsidRPr="003131D3">
              <w:rPr>
                <w:rFonts w:ascii="Arial" w:hAnsi="Arial" w:cs="Arial"/>
                <w:color w:val="000000"/>
                <w:sz w:val="21"/>
                <w:szCs w:val="21"/>
                <w:lang w:val="en-US"/>
              </w:rPr>
              <w:t xml:space="preserve">has: Boat, Motor Boat, </w:t>
            </w:r>
            <w:r w:rsidR="003131D3" w:rsidRPr="003131D3">
              <w:rPr>
                <w:rFonts w:ascii="Arial" w:hAnsi="Arial" w:cs="Arial"/>
                <w:color w:val="000000"/>
                <w:sz w:val="21"/>
                <w:szCs w:val="21"/>
                <w:lang w:val="en-US"/>
              </w:rPr>
              <w:t>Peque-peque</w:t>
            </w:r>
            <w:r w:rsidRPr="003131D3">
              <w:rPr>
                <w:rFonts w:ascii="Arial" w:hAnsi="Arial" w:cs="Arial"/>
                <w:color w:val="000000"/>
                <w:sz w:val="21"/>
                <w:szCs w:val="21"/>
                <w:lang w:val="en-US"/>
              </w:rPr>
              <w:t>, Canoe</w:t>
            </w:r>
          </w:p>
        </w:tc>
      </w:tr>
      <w:tr w:rsidR="00AD486D" w:rsidRPr="00677583" w14:paraId="3F0B644E" w14:textId="77777777" w:rsidTr="003131D3">
        <w:trPr>
          <w:trHeight w:val="266"/>
        </w:trPr>
        <w:tc>
          <w:tcPr>
            <w:tcW w:w="1980" w:type="dxa"/>
            <w:vMerge/>
            <w:vAlign w:val="center"/>
            <w:hideMark/>
          </w:tcPr>
          <w:p w14:paraId="596DFD1C" w14:textId="77777777" w:rsidR="00AD486D" w:rsidRPr="003131D3" w:rsidRDefault="00AD486D" w:rsidP="002B1F36">
            <w:pPr>
              <w:jc w:val="center"/>
              <w:rPr>
                <w:rFonts w:ascii="Arial" w:hAnsi="Arial" w:cs="Arial"/>
                <w:b/>
                <w:bCs/>
                <w:color w:val="000000"/>
                <w:sz w:val="21"/>
                <w:szCs w:val="21"/>
                <w:lang w:val="en-US"/>
              </w:rPr>
            </w:pPr>
          </w:p>
        </w:tc>
        <w:tc>
          <w:tcPr>
            <w:tcW w:w="1559" w:type="dxa"/>
            <w:noWrap/>
            <w:vAlign w:val="center"/>
            <w:hideMark/>
          </w:tcPr>
          <w:p w14:paraId="6B940FAF"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c4_p1</w:t>
            </w:r>
          </w:p>
        </w:tc>
        <w:tc>
          <w:tcPr>
            <w:tcW w:w="5954" w:type="dxa"/>
            <w:vAlign w:val="center"/>
            <w:hideMark/>
          </w:tcPr>
          <w:p w14:paraId="2A2A97B9" w14:textId="77777777" w:rsidR="00AD486D" w:rsidRPr="003131D3" w:rsidRDefault="00AD486D" w:rsidP="002B1F36">
            <w:pPr>
              <w:jc w:val="center"/>
              <w:rPr>
                <w:rFonts w:ascii="Arial" w:hAnsi="Arial" w:cs="Arial"/>
                <w:color w:val="000000"/>
                <w:sz w:val="21"/>
                <w:szCs w:val="21"/>
                <w:lang w:val="en-US"/>
              </w:rPr>
            </w:pPr>
            <w:r w:rsidRPr="003131D3">
              <w:rPr>
                <w:rFonts w:ascii="Arial" w:hAnsi="Arial" w:cs="Arial"/>
                <w:color w:val="000000"/>
                <w:sz w:val="21"/>
                <w:szCs w:val="21"/>
                <w:lang w:val="en-US"/>
              </w:rPr>
              <w:t>Total people in the household</w:t>
            </w:r>
          </w:p>
        </w:tc>
      </w:tr>
      <w:tr w:rsidR="00AD486D" w:rsidRPr="003131D3" w14:paraId="3BC29C87" w14:textId="77777777" w:rsidTr="003131D3">
        <w:trPr>
          <w:trHeight w:val="284"/>
        </w:trPr>
        <w:tc>
          <w:tcPr>
            <w:tcW w:w="1980" w:type="dxa"/>
            <w:vMerge w:val="restart"/>
            <w:vAlign w:val="center"/>
            <w:hideMark/>
          </w:tcPr>
          <w:p w14:paraId="3313E4D8" w14:textId="77777777" w:rsidR="00AD486D" w:rsidRPr="003131D3" w:rsidRDefault="00674B27" w:rsidP="002B1F36">
            <w:pPr>
              <w:jc w:val="center"/>
              <w:rPr>
                <w:rFonts w:ascii="Arial" w:hAnsi="Arial" w:cs="Arial"/>
                <w:b/>
                <w:bCs/>
                <w:color w:val="000000"/>
                <w:sz w:val="21"/>
                <w:szCs w:val="21"/>
              </w:rPr>
            </w:pPr>
            <w:r w:rsidRPr="003131D3">
              <w:rPr>
                <w:rFonts w:ascii="Arial" w:hAnsi="Arial" w:cs="Arial"/>
                <w:b/>
                <w:bCs/>
                <w:color w:val="000000"/>
                <w:sz w:val="21"/>
                <w:szCs w:val="21"/>
              </w:rPr>
              <w:t>population</w:t>
            </w:r>
          </w:p>
        </w:tc>
        <w:tc>
          <w:tcPr>
            <w:tcW w:w="1559" w:type="dxa"/>
            <w:noWrap/>
            <w:vAlign w:val="center"/>
            <w:hideMark/>
          </w:tcPr>
          <w:p w14:paraId="1D3F0A83"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c5_p8_2</w:t>
            </w:r>
          </w:p>
        </w:tc>
        <w:tc>
          <w:tcPr>
            <w:tcW w:w="5954" w:type="dxa"/>
            <w:vAlign w:val="center"/>
            <w:hideMark/>
          </w:tcPr>
          <w:p w14:paraId="1683077A"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Affiliated population: EsSalud</w:t>
            </w:r>
          </w:p>
        </w:tc>
      </w:tr>
      <w:tr w:rsidR="00AD486D" w:rsidRPr="00677583" w14:paraId="10146842" w14:textId="77777777" w:rsidTr="003131D3">
        <w:trPr>
          <w:trHeight w:val="445"/>
        </w:trPr>
        <w:tc>
          <w:tcPr>
            <w:tcW w:w="1980" w:type="dxa"/>
            <w:vMerge/>
            <w:vAlign w:val="center"/>
            <w:hideMark/>
          </w:tcPr>
          <w:p w14:paraId="33FBAC47" w14:textId="77777777" w:rsidR="00AD486D" w:rsidRPr="003131D3" w:rsidRDefault="00AD486D" w:rsidP="002B1F36">
            <w:pPr>
              <w:jc w:val="center"/>
              <w:rPr>
                <w:rFonts w:ascii="Arial" w:hAnsi="Arial" w:cs="Arial"/>
                <w:b/>
                <w:bCs/>
                <w:color w:val="000000"/>
                <w:sz w:val="21"/>
                <w:szCs w:val="21"/>
              </w:rPr>
            </w:pPr>
          </w:p>
        </w:tc>
        <w:tc>
          <w:tcPr>
            <w:tcW w:w="1559" w:type="dxa"/>
            <w:noWrap/>
            <w:vAlign w:val="center"/>
            <w:hideMark/>
          </w:tcPr>
          <w:p w14:paraId="590CF356"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c5_p8_3</w:t>
            </w:r>
          </w:p>
        </w:tc>
        <w:tc>
          <w:tcPr>
            <w:tcW w:w="5954" w:type="dxa"/>
            <w:vAlign w:val="center"/>
            <w:hideMark/>
          </w:tcPr>
          <w:p w14:paraId="60E01863" w14:textId="77777777" w:rsidR="00AD486D" w:rsidRPr="003131D3" w:rsidRDefault="00AD486D" w:rsidP="002B1F36">
            <w:pPr>
              <w:jc w:val="center"/>
              <w:rPr>
                <w:rFonts w:ascii="Arial" w:hAnsi="Arial" w:cs="Arial"/>
                <w:color w:val="000000"/>
                <w:sz w:val="21"/>
                <w:szCs w:val="21"/>
                <w:lang w:val="en-US"/>
              </w:rPr>
            </w:pPr>
            <w:r w:rsidRPr="003131D3">
              <w:rPr>
                <w:rFonts w:ascii="Arial" w:hAnsi="Arial" w:cs="Arial"/>
                <w:color w:val="000000"/>
                <w:sz w:val="21"/>
                <w:szCs w:val="21"/>
                <w:lang w:val="en-US"/>
              </w:rPr>
              <w:t>Affiliated population: Armed forces or police insurance</w:t>
            </w:r>
          </w:p>
        </w:tc>
      </w:tr>
      <w:tr w:rsidR="00AD486D" w:rsidRPr="00677583" w14:paraId="4F48DBF6" w14:textId="77777777" w:rsidTr="003131D3">
        <w:trPr>
          <w:trHeight w:val="283"/>
        </w:trPr>
        <w:tc>
          <w:tcPr>
            <w:tcW w:w="1980" w:type="dxa"/>
            <w:vMerge/>
            <w:vAlign w:val="center"/>
            <w:hideMark/>
          </w:tcPr>
          <w:p w14:paraId="79F05ABB" w14:textId="77777777" w:rsidR="00AD486D" w:rsidRPr="003131D3" w:rsidRDefault="00AD486D" w:rsidP="002B1F36">
            <w:pPr>
              <w:jc w:val="center"/>
              <w:rPr>
                <w:rFonts w:ascii="Arial" w:hAnsi="Arial" w:cs="Arial"/>
                <w:b/>
                <w:bCs/>
                <w:color w:val="000000"/>
                <w:sz w:val="21"/>
                <w:szCs w:val="21"/>
                <w:lang w:val="en-US"/>
              </w:rPr>
            </w:pPr>
          </w:p>
        </w:tc>
        <w:tc>
          <w:tcPr>
            <w:tcW w:w="1559" w:type="dxa"/>
            <w:noWrap/>
            <w:vAlign w:val="center"/>
            <w:hideMark/>
          </w:tcPr>
          <w:p w14:paraId="14D59EF7"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c5_p8_4</w:t>
            </w:r>
          </w:p>
        </w:tc>
        <w:tc>
          <w:tcPr>
            <w:tcW w:w="5954" w:type="dxa"/>
            <w:vAlign w:val="center"/>
            <w:hideMark/>
          </w:tcPr>
          <w:p w14:paraId="624013EA" w14:textId="77777777" w:rsidR="00AD486D" w:rsidRPr="003131D3" w:rsidRDefault="00AD486D" w:rsidP="002B1F36">
            <w:pPr>
              <w:jc w:val="center"/>
              <w:rPr>
                <w:rFonts w:ascii="Arial" w:hAnsi="Arial" w:cs="Arial"/>
                <w:color w:val="000000"/>
                <w:sz w:val="21"/>
                <w:szCs w:val="21"/>
                <w:lang w:val="en-US"/>
              </w:rPr>
            </w:pPr>
            <w:r w:rsidRPr="003131D3">
              <w:rPr>
                <w:rFonts w:ascii="Arial" w:hAnsi="Arial" w:cs="Arial"/>
                <w:color w:val="000000"/>
                <w:sz w:val="21"/>
                <w:szCs w:val="21"/>
                <w:lang w:val="en-US"/>
              </w:rPr>
              <w:t>Affiliated population: Private health insurance</w:t>
            </w:r>
          </w:p>
        </w:tc>
      </w:tr>
      <w:tr w:rsidR="00AD486D" w:rsidRPr="00677583" w14:paraId="25A782AD" w14:textId="77777777" w:rsidTr="003131D3">
        <w:trPr>
          <w:trHeight w:val="274"/>
        </w:trPr>
        <w:tc>
          <w:tcPr>
            <w:tcW w:w="1980" w:type="dxa"/>
            <w:vMerge/>
            <w:vAlign w:val="center"/>
            <w:hideMark/>
          </w:tcPr>
          <w:p w14:paraId="392B520C" w14:textId="77777777" w:rsidR="00AD486D" w:rsidRPr="003131D3" w:rsidRDefault="00AD486D" w:rsidP="002B1F36">
            <w:pPr>
              <w:jc w:val="center"/>
              <w:rPr>
                <w:rFonts w:ascii="Arial" w:hAnsi="Arial" w:cs="Arial"/>
                <w:b/>
                <w:bCs/>
                <w:color w:val="000000"/>
                <w:sz w:val="21"/>
                <w:szCs w:val="21"/>
                <w:lang w:val="en-US"/>
              </w:rPr>
            </w:pPr>
          </w:p>
        </w:tc>
        <w:tc>
          <w:tcPr>
            <w:tcW w:w="1559" w:type="dxa"/>
            <w:noWrap/>
            <w:vAlign w:val="center"/>
            <w:hideMark/>
          </w:tcPr>
          <w:p w14:paraId="4DF75C7E"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c5_p8_5</w:t>
            </w:r>
          </w:p>
        </w:tc>
        <w:tc>
          <w:tcPr>
            <w:tcW w:w="5954" w:type="dxa"/>
            <w:vAlign w:val="center"/>
            <w:hideMark/>
          </w:tcPr>
          <w:p w14:paraId="25A42837" w14:textId="77777777" w:rsidR="00AD486D" w:rsidRPr="003131D3" w:rsidRDefault="00AD486D" w:rsidP="002B1F36">
            <w:pPr>
              <w:jc w:val="center"/>
              <w:rPr>
                <w:rFonts w:ascii="Arial" w:hAnsi="Arial" w:cs="Arial"/>
                <w:color w:val="000000"/>
                <w:sz w:val="21"/>
                <w:szCs w:val="21"/>
                <w:lang w:val="en-US"/>
              </w:rPr>
            </w:pPr>
            <w:r w:rsidRPr="003131D3">
              <w:rPr>
                <w:rFonts w:ascii="Arial" w:hAnsi="Arial" w:cs="Arial"/>
                <w:color w:val="000000"/>
                <w:sz w:val="21"/>
                <w:szCs w:val="21"/>
                <w:lang w:val="en-US"/>
              </w:rPr>
              <w:t>Affiliated population: to other insurance</w:t>
            </w:r>
          </w:p>
        </w:tc>
      </w:tr>
      <w:tr w:rsidR="00AD486D" w:rsidRPr="003131D3" w14:paraId="505404AE" w14:textId="77777777" w:rsidTr="003131D3">
        <w:trPr>
          <w:trHeight w:val="263"/>
        </w:trPr>
        <w:tc>
          <w:tcPr>
            <w:tcW w:w="1980" w:type="dxa"/>
            <w:vMerge/>
            <w:vAlign w:val="center"/>
            <w:hideMark/>
          </w:tcPr>
          <w:p w14:paraId="264CDF45" w14:textId="77777777" w:rsidR="00AD486D" w:rsidRPr="003131D3" w:rsidRDefault="00AD486D" w:rsidP="002B1F36">
            <w:pPr>
              <w:jc w:val="center"/>
              <w:rPr>
                <w:rFonts w:ascii="Arial" w:hAnsi="Arial" w:cs="Arial"/>
                <w:b/>
                <w:bCs/>
                <w:color w:val="000000"/>
                <w:sz w:val="21"/>
                <w:szCs w:val="21"/>
                <w:lang w:val="en-US"/>
              </w:rPr>
            </w:pPr>
          </w:p>
        </w:tc>
        <w:tc>
          <w:tcPr>
            <w:tcW w:w="1559" w:type="dxa"/>
            <w:noWrap/>
            <w:vAlign w:val="center"/>
            <w:hideMark/>
          </w:tcPr>
          <w:p w14:paraId="6E1E2B49"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c5_p8_6</w:t>
            </w:r>
          </w:p>
        </w:tc>
        <w:tc>
          <w:tcPr>
            <w:tcW w:w="5954" w:type="dxa"/>
            <w:vAlign w:val="center"/>
            <w:hideMark/>
          </w:tcPr>
          <w:p w14:paraId="166F8BD4"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Affiliated population: no insurance</w:t>
            </w:r>
          </w:p>
        </w:tc>
      </w:tr>
      <w:tr w:rsidR="00AD486D" w:rsidRPr="00677583" w14:paraId="0AC91F83" w14:textId="77777777" w:rsidTr="003131D3">
        <w:trPr>
          <w:trHeight w:val="280"/>
        </w:trPr>
        <w:tc>
          <w:tcPr>
            <w:tcW w:w="1980" w:type="dxa"/>
            <w:vMerge/>
            <w:vAlign w:val="center"/>
            <w:hideMark/>
          </w:tcPr>
          <w:p w14:paraId="424457AF" w14:textId="77777777" w:rsidR="00AD486D" w:rsidRPr="003131D3" w:rsidRDefault="00AD486D" w:rsidP="002B1F36">
            <w:pPr>
              <w:jc w:val="center"/>
              <w:rPr>
                <w:rFonts w:ascii="Arial" w:hAnsi="Arial" w:cs="Arial"/>
                <w:b/>
                <w:bCs/>
                <w:color w:val="000000"/>
                <w:sz w:val="21"/>
                <w:szCs w:val="21"/>
              </w:rPr>
            </w:pPr>
          </w:p>
        </w:tc>
        <w:tc>
          <w:tcPr>
            <w:tcW w:w="1559" w:type="dxa"/>
            <w:noWrap/>
            <w:vAlign w:val="center"/>
            <w:hideMark/>
          </w:tcPr>
          <w:p w14:paraId="52E4B18F"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c5_p11</w:t>
            </w:r>
          </w:p>
        </w:tc>
        <w:tc>
          <w:tcPr>
            <w:tcW w:w="5954" w:type="dxa"/>
            <w:vAlign w:val="center"/>
            <w:hideMark/>
          </w:tcPr>
          <w:p w14:paraId="2A7CA4C0" w14:textId="77777777" w:rsidR="00AD486D" w:rsidRPr="003131D3" w:rsidRDefault="00AD486D" w:rsidP="002B1F36">
            <w:pPr>
              <w:jc w:val="center"/>
              <w:rPr>
                <w:rFonts w:ascii="Arial" w:hAnsi="Arial" w:cs="Arial"/>
                <w:color w:val="000000"/>
                <w:sz w:val="21"/>
                <w:szCs w:val="21"/>
                <w:lang w:val="en-US"/>
              </w:rPr>
            </w:pPr>
            <w:r w:rsidRPr="003131D3">
              <w:rPr>
                <w:rFonts w:ascii="Arial" w:hAnsi="Arial" w:cs="Arial"/>
                <w:color w:val="000000"/>
                <w:sz w:val="21"/>
                <w:szCs w:val="21"/>
                <w:lang w:val="en-US"/>
              </w:rPr>
              <w:t>language or language you learned to speak</w:t>
            </w:r>
          </w:p>
        </w:tc>
      </w:tr>
      <w:tr w:rsidR="00AD486D" w:rsidRPr="003131D3" w14:paraId="5857B715" w14:textId="77777777" w:rsidTr="003131D3">
        <w:trPr>
          <w:trHeight w:val="271"/>
        </w:trPr>
        <w:tc>
          <w:tcPr>
            <w:tcW w:w="1980" w:type="dxa"/>
            <w:vMerge/>
            <w:vAlign w:val="center"/>
            <w:hideMark/>
          </w:tcPr>
          <w:p w14:paraId="60CA9C2F" w14:textId="77777777" w:rsidR="00AD486D" w:rsidRPr="003131D3" w:rsidRDefault="00AD486D" w:rsidP="002B1F36">
            <w:pPr>
              <w:jc w:val="center"/>
              <w:rPr>
                <w:rFonts w:ascii="Arial" w:hAnsi="Arial" w:cs="Arial"/>
                <w:b/>
                <w:bCs/>
                <w:color w:val="000000"/>
                <w:sz w:val="21"/>
                <w:szCs w:val="21"/>
                <w:lang w:val="en-US"/>
              </w:rPr>
            </w:pPr>
          </w:p>
        </w:tc>
        <w:tc>
          <w:tcPr>
            <w:tcW w:w="1559" w:type="dxa"/>
            <w:noWrap/>
            <w:vAlign w:val="center"/>
            <w:hideMark/>
          </w:tcPr>
          <w:p w14:paraId="57D6AEBC"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c5_p12</w:t>
            </w:r>
          </w:p>
        </w:tc>
        <w:tc>
          <w:tcPr>
            <w:tcW w:w="5954" w:type="dxa"/>
            <w:vAlign w:val="center"/>
            <w:hideMark/>
          </w:tcPr>
          <w:p w14:paraId="61FA3F35"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Can read and write</w:t>
            </w:r>
          </w:p>
        </w:tc>
      </w:tr>
      <w:tr w:rsidR="00AD486D" w:rsidRPr="00677583" w14:paraId="315A0C93" w14:textId="77777777" w:rsidTr="003131D3">
        <w:trPr>
          <w:trHeight w:val="274"/>
        </w:trPr>
        <w:tc>
          <w:tcPr>
            <w:tcW w:w="1980" w:type="dxa"/>
            <w:vMerge/>
            <w:vAlign w:val="center"/>
            <w:hideMark/>
          </w:tcPr>
          <w:p w14:paraId="381790DF" w14:textId="77777777" w:rsidR="00AD486D" w:rsidRPr="003131D3" w:rsidRDefault="00AD486D" w:rsidP="002B1F36">
            <w:pPr>
              <w:jc w:val="center"/>
              <w:rPr>
                <w:rFonts w:ascii="Arial" w:hAnsi="Arial" w:cs="Arial"/>
                <w:b/>
                <w:bCs/>
                <w:color w:val="000000"/>
                <w:sz w:val="21"/>
                <w:szCs w:val="21"/>
              </w:rPr>
            </w:pPr>
          </w:p>
        </w:tc>
        <w:tc>
          <w:tcPr>
            <w:tcW w:w="1559" w:type="dxa"/>
            <w:noWrap/>
            <w:vAlign w:val="center"/>
            <w:hideMark/>
          </w:tcPr>
          <w:p w14:paraId="7B1D9898"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c5_p13_niv</w:t>
            </w:r>
          </w:p>
        </w:tc>
        <w:tc>
          <w:tcPr>
            <w:tcW w:w="5954" w:type="dxa"/>
            <w:vAlign w:val="center"/>
            <w:hideMark/>
          </w:tcPr>
          <w:p w14:paraId="3973FA67" w14:textId="77777777" w:rsidR="00AD486D" w:rsidRPr="003131D3" w:rsidRDefault="00AD486D" w:rsidP="002B1F36">
            <w:pPr>
              <w:jc w:val="center"/>
              <w:rPr>
                <w:rFonts w:ascii="Arial" w:hAnsi="Arial" w:cs="Arial"/>
                <w:color w:val="000000"/>
                <w:sz w:val="21"/>
                <w:szCs w:val="21"/>
                <w:lang w:val="en-US"/>
              </w:rPr>
            </w:pPr>
            <w:r w:rsidRPr="003131D3">
              <w:rPr>
                <w:rFonts w:ascii="Arial" w:hAnsi="Arial" w:cs="Arial"/>
                <w:color w:val="000000"/>
                <w:sz w:val="21"/>
                <w:szCs w:val="21"/>
                <w:lang w:val="en-US"/>
              </w:rPr>
              <w:t>Last level of study passed</w:t>
            </w:r>
          </w:p>
        </w:tc>
      </w:tr>
      <w:tr w:rsidR="00AD486D" w:rsidRPr="00677583" w14:paraId="51F73942" w14:textId="77777777" w:rsidTr="003131D3">
        <w:trPr>
          <w:trHeight w:val="278"/>
        </w:trPr>
        <w:tc>
          <w:tcPr>
            <w:tcW w:w="1980" w:type="dxa"/>
            <w:vMerge/>
            <w:vAlign w:val="center"/>
            <w:hideMark/>
          </w:tcPr>
          <w:p w14:paraId="66A11DFF" w14:textId="77777777" w:rsidR="00AD486D" w:rsidRPr="003131D3" w:rsidRDefault="00AD486D" w:rsidP="002B1F36">
            <w:pPr>
              <w:jc w:val="center"/>
              <w:rPr>
                <w:rFonts w:ascii="Arial" w:hAnsi="Arial" w:cs="Arial"/>
                <w:b/>
                <w:bCs/>
                <w:color w:val="000000"/>
                <w:sz w:val="21"/>
                <w:szCs w:val="21"/>
                <w:lang w:val="en-US"/>
              </w:rPr>
            </w:pPr>
          </w:p>
        </w:tc>
        <w:tc>
          <w:tcPr>
            <w:tcW w:w="1559" w:type="dxa"/>
            <w:noWrap/>
            <w:vAlign w:val="center"/>
            <w:hideMark/>
          </w:tcPr>
          <w:p w14:paraId="4E089B20"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c5_p15</w:t>
            </w:r>
          </w:p>
        </w:tc>
        <w:tc>
          <w:tcPr>
            <w:tcW w:w="5954" w:type="dxa"/>
            <w:vAlign w:val="center"/>
            <w:hideMark/>
          </w:tcPr>
          <w:p w14:paraId="3B33EC26" w14:textId="77777777" w:rsidR="00AD486D" w:rsidRPr="003131D3" w:rsidRDefault="00AD486D" w:rsidP="002B1F36">
            <w:pPr>
              <w:jc w:val="center"/>
              <w:rPr>
                <w:rFonts w:ascii="Arial" w:hAnsi="Arial" w:cs="Arial"/>
                <w:color w:val="000000"/>
                <w:sz w:val="21"/>
                <w:szCs w:val="21"/>
                <w:lang w:val="en-US"/>
              </w:rPr>
            </w:pPr>
            <w:r w:rsidRPr="003131D3">
              <w:rPr>
                <w:rFonts w:ascii="Arial" w:hAnsi="Arial" w:cs="Arial"/>
                <w:color w:val="000000"/>
                <w:sz w:val="21"/>
                <w:szCs w:val="21"/>
                <w:lang w:val="en-US"/>
              </w:rPr>
              <w:t>The educational institution you attend is located:</w:t>
            </w:r>
          </w:p>
        </w:tc>
      </w:tr>
      <w:tr w:rsidR="00AD486D" w:rsidRPr="00677583" w14:paraId="4F87A88F" w14:textId="77777777" w:rsidTr="003131D3">
        <w:trPr>
          <w:trHeight w:val="268"/>
        </w:trPr>
        <w:tc>
          <w:tcPr>
            <w:tcW w:w="1980" w:type="dxa"/>
            <w:vMerge/>
            <w:vAlign w:val="center"/>
            <w:hideMark/>
          </w:tcPr>
          <w:p w14:paraId="145C6F72" w14:textId="77777777" w:rsidR="00AD486D" w:rsidRPr="003131D3" w:rsidRDefault="00AD486D" w:rsidP="002B1F36">
            <w:pPr>
              <w:jc w:val="center"/>
              <w:rPr>
                <w:rFonts w:ascii="Arial" w:hAnsi="Arial" w:cs="Arial"/>
                <w:b/>
                <w:bCs/>
                <w:color w:val="000000"/>
                <w:sz w:val="21"/>
                <w:szCs w:val="21"/>
                <w:lang w:val="en-US"/>
              </w:rPr>
            </w:pPr>
          </w:p>
        </w:tc>
        <w:tc>
          <w:tcPr>
            <w:tcW w:w="1559" w:type="dxa"/>
            <w:noWrap/>
            <w:vAlign w:val="center"/>
            <w:hideMark/>
          </w:tcPr>
          <w:p w14:paraId="392C336B"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c5_p16</w:t>
            </w:r>
          </w:p>
        </w:tc>
        <w:tc>
          <w:tcPr>
            <w:tcW w:w="5954" w:type="dxa"/>
            <w:vAlign w:val="center"/>
            <w:hideMark/>
          </w:tcPr>
          <w:p w14:paraId="6FBD62E4" w14:textId="77777777" w:rsidR="00AD486D" w:rsidRPr="003131D3" w:rsidRDefault="00AD486D" w:rsidP="002B1F36">
            <w:pPr>
              <w:jc w:val="center"/>
              <w:rPr>
                <w:rFonts w:ascii="Arial" w:hAnsi="Arial" w:cs="Arial"/>
                <w:color w:val="000000"/>
                <w:sz w:val="21"/>
                <w:szCs w:val="21"/>
                <w:lang w:val="en-US"/>
              </w:rPr>
            </w:pPr>
            <w:r w:rsidRPr="003131D3">
              <w:rPr>
                <w:rFonts w:ascii="Arial" w:hAnsi="Arial" w:cs="Arial"/>
                <w:color w:val="000000"/>
                <w:sz w:val="21"/>
                <w:szCs w:val="21"/>
                <w:lang w:val="en-US"/>
              </w:rPr>
              <w:t>Last week - he worked for some payment in money or kind</w:t>
            </w:r>
          </w:p>
        </w:tc>
      </w:tr>
      <w:tr w:rsidR="00AD486D" w:rsidRPr="003131D3" w14:paraId="3FFF024A" w14:textId="77777777" w:rsidTr="003131D3">
        <w:trPr>
          <w:trHeight w:val="259"/>
        </w:trPr>
        <w:tc>
          <w:tcPr>
            <w:tcW w:w="1980" w:type="dxa"/>
            <w:vMerge/>
            <w:vAlign w:val="center"/>
            <w:hideMark/>
          </w:tcPr>
          <w:p w14:paraId="225A46CD" w14:textId="77777777" w:rsidR="00AD486D" w:rsidRPr="003131D3" w:rsidRDefault="00AD486D" w:rsidP="002B1F36">
            <w:pPr>
              <w:jc w:val="center"/>
              <w:rPr>
                <w:rFonts w:ascii="Arial" w:hAnsi="Arial" w:cs="Arial"/>
                <w:b/>
                <w:bCs/>
                <w:color w:val="000000"/>
                <w:sz w:val="21"/>
                <w:szCs w:val="21"/>
                <w:lang w:val="en-US"/>
              </w:rPr>
            </w:pPr>
          </w:p>
        </w:tc>
        <w:tc>
          <w:tcPr>
            <w:tcW w:w="1559" w:type="dxa"/>
            <w:noWrap/>
            <w:vAlign w:val="center"/>
            <w:hideMark/>
          </w:tcPr>
          <w:p w14:paraId="7C5AD992"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c5_p23</w:t>
            </w:r>
          </w:p>
        </w:tc>
        <w:tc>
          <w:tcPr>
            <w:tcW w:w="5954" w:type="dxa"/>
            <w:vAlign w:val="center"/>
            <w:hideMark/>
          </w:tcPr>
          <w:p w14:paraId="4459B199" w14:textId="77777777" w:rsidR="00AD486D" w:rsidRPr="003131D3" w:rsidRDefault="00AD486D" w:rsidP="002B1F36">
            <w:pPr>
              <w:jc w:val="center"/>
              <w:rPr>
                <w:rFonts w:ascii="Arial" w:hAnsi="Arial" w:cs="Arial"/>
                <w:color w:val="000000"/>
                <w:sz w:val="21"/>
                <w:szCs w:val="21"/>
              </w:rPr>
            </w:pPr>
            <w:r w:rsidRPr="003131D3">
              <w:rPr>
                <w:rFonts w:ascii="Arial" w:hAnsi="Arial" w:cs="Arial"/>
                <w:color w:val="000000"/>
                <w:sz w:val="21"/>
                <w:szCs w:val="21"/>
              </w:rPr>
              <w:t>your workplace is located</w:t>
            </w:r>
          </w:p>
        </w:tc>
      </w:tr>
    </w:tbl>
    <w:p w14:paraId="3507A434" w14:textId="77777777" w:rsidR="00EA67F2" w:rsidRPr="00BF6F53" w:rsidRDefault="00EA67F2" w:rsidP="00381AC7">
      <w:pPr>
        <w:pStyle w:val="Heading1"/>
        <w:jc w:val="both"/>
        <w:rPr>
          <w:b/>
          <w:bCs/>
        </w:rPr>
      </w:pPr>
      <w:bookmarkStart w:id="4" w:name="_Toc233211397"/>
      <w:r w:rsidRPr="00BF6F53">
        <w:rPr>
          <w:b/>
          <w:bCs/>
        </w:rPr>
        <w:lastRenderedPageBreak/>
        <w:t>Section 2. Supplementary Methods</w:t>
      </w:r>
      <w:bookmarkEnd w:id="4"/>
    </w:p>
    <w:p w14:paraId="01333822" w14:textId="77777777" w:rsidR="00920D03" w:rsidRPr="00BF6F53" w:rsidRDefault="00920D03" w:rsidP="00920D03">
      <w:pPr>
        <w:pStyle w:val="Heading2"/>
        <w:numPr>
          <w:ilvl w:val="0"/>
          <w:numId w:val="0"/>
        </w:numPr>
        <w:ind w:left="720" w:hanging="720"/>
        <w:rPr>
          <w:b/>
          <w:bCs/>
        </w:rPr>
      </w:pPr>
      <w:bookmarkStart w:id="5" w:name="_Toc233211398"/>
      <w:r w:rsidRPr="00BF6F53">
        <w:rPr>
          <w:b/>
          <w:bCs/>
        </w:rPr>
        <w:t>2.</w:t>
      </w:r>
      <w:r w:rsidR="0055343B" w:rsidRPr="00BF6F53">
        <w:rPr>
          <w:b/>
          <w:bCs/>
        </w:rPr>
        <w:t>1</w:t>
      </w:r>
      <w:r w:rsidRPr="00BF6F53">
        <w:rPr>
          <w:b/>
          <w:bCs/>
        </w:rPr>
        <w:t>.</w:t>
      </w:r>
      <w:r w:rsidRPr="00BF6F53">
        <w:rPr>
          <w:b/>
          <w:bCs/>
        </w:rPr>
        <w:tab/>
        <w:t>Principal Component Analysis (PCA) for census variables</w:t>
      </w:r>
      <w:bookmarkEnd w:id="5"/>
    </w:p>
    <w:p w14:paraId="24FD30A4" w14:textId="0CFC1069" w:rsidR="005F05A5" w:rsidRPr="00BF6F53" w:rsidRDefault="005F05A5" w:rsidP="005C11FA">
      <w:pPr>
        <w:pStyle w:val="Textoplano"/>
      </w:pPr>
      <w:r w:rsidRPr="00BF6F53">
        <w:t xml:space="preserve">From a total of 31 variables selected from the national census, dummy variables were created to obtain proportions for each category at the district–year level. This resulted in 94 variables, excluding the </w:t>
      </w:r>
      <w:r w:rsidRPr="00BF6F53">
        <w:rPr>
          <w:rStyle w:val="Emphasis"/>
          <w:i w:val="0"/>
          <w:iCs w:val="0"/>
          <w:sz w:val="22"/>
          <w:szCs w:val="22"/>
        </w:rPr>
        <w:t>ubigeo</w:t>
      </w:r>
      <w:r w:rsidRPr="00BF6F53">
        <w:t xml:space="preserve"> and year. A PCA was then performed to reduce dimensionality, yielding 53 components. The proportion of variance explained by each component was evaluated using a scree plot. The first 10 components were retained, as they together accounted for nearly 80% of the total variance. </w:t>
      </w:r>
      <w:r w:rsidRPr="00BF6F53">
        <w:rPr>
          <w:b/>
          <w:bCs/>
        </w:rPr>
        <w:t>Supplementary figure 3</w:t>
      </w:r>
      <w:r w:rsidRPr="00BF6F53">
        <w:t xml:space="preserve"> presents the correlation circle and scree plot summarizing the PCA results.</w:t>
      </w:r>
      <w:r w:rsidR="00891496">
        <w:rPr>
          <w:noProof/>
        </w:rPr>
        <w:drawing>
          <wp:anchor distT="0" distB="0" distL="114300" distR="114300" simplePos="0" relativeHeight="251694080" behindDoc="0" locked="0" layoutInCell="1" allowOverlap="1" wp14:anchorId="3D0E3FB2" wp14:editId="69E3DC07">
            <wp:simplePos x="0" y="0"/>
            <wp:positionH relativeFrom="column">
              <wp:posOffset>-10160</wp:posOffset>
            </wp:positionH>
            <wp:positionV relativeFrom="paragraph">
              <wp:posOffset>1619250</wp:posOffset>
            </wp:positionV>
            <wp:extent cx="5612130" cy="2806065"/>
            <wp:effectExtent l="0" t="0" r="1270" b="635"/>
            <wp:wrapTopAndBottom/>
            <wp:docPr id="10490832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83293" name="Picture 104908329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12130" cy="2806065"/>
                    </a:xfrm>
                    <a:prstGeom prst="rect">
                      <a:avLst/>
                    </a:prstGeom>
                  </pic:spPr>
                </pic:pic>
              </a:graphicData>
            </a:graphic>
            <wp14:sizeRelH relativeFrom="page">
              <wp14:pctWidth>0</wp14:pctWidth>
            </wp14:sizeRelH>
            <wp14:sizeRelV relativeFrom="page">
              <wp14:pctHeight>0</wp14:pctHeight>
            </wp14:sizeRelV>
          </wp:anchor>
        </w:drawing>
      </w:r>
    </w:p>
    <w:p w14:paraId="203FD794" w14:textId="161BEABE" w:rsidR="00BC6152" w:rsidRPr="00BC6152" w:rsidRDefault="00A35A23" w:rsidP="00BC6152">
      <w:pPr>
        <w:pStyle w:val="Textoplano"/>
        <w:rPr>
          <w:sz w:val="18"/>
          <w:szCs w:val="18"/>
        </w:rPr>
      </w:pPr>
      <w:r w:rsidRPr="001B235B">
        <w:rPr>
          <w:b/>
          <w:bCs/>
          <w:sz w:val="18"/>
          <w:szCs w:val="18"/>
        </w:rPr>
        <w:t xml:space="preserve">Supplementary figure </w:t>
      </w:r>
      <w:r w:rsidR="009520E5">
        <w:rPr>
          <w:b/>
          <w:bCs/>
          <w:sz w:val="18"/>
          <w:szCs w:val="18"/>
        </w:rPr>
        <w:t>2</w:t>
      </w:r>
      <w:r w:rsidRPr="001B235B">
        <w:rPr>
          <w:b/>
          <w:bCs/>
          <w:sz w:val="18"/>
          <w:szCs w:val="18"/>
        </w:rPr>
        <w:t>.</w:t>
      </w:r>
      <w:r w:rsidR="009520E5">
        <w:rPr>
          <w:b/>
          <w:bCs/>
          <w:sz w:val="18"/>
          <w:szCs w:val="18"/>
        </w:rPr>
        <w:t>1.</w:t>
      </w:r>
      <w:r w:rsidRPr="001B235B">
        <w:rPr>
          <w:sz w:val="18"/>
          <w:szCs w:val="18"/>
        </w:rPr>
        <w:t xml:space="preserve"> </w:t>
      </w:r>
      <w:r w:rsidR="00F92F84" w:rsidRPr="001B235B">
        <w:rPr>
          <w:sz w:val="18"/>
          <w:szCs w:val="18"/>
        </w:rPr>
        <w:t xml:space="preserve">Results of the principal component analysis applied to the variables of the national census. </w:t>
      </w:r>
      <w:r w:rsidR="00F92F84" w:rsidRPr="001B235B">
        <w:rPr>
          <w:rStyle w:val="Strong"/>
          <w:sz w:val="18"/>
          <w:szCs w:val="18"/>
        </w:rPr>
        <w:t>A.</w:t>
      </w:r>
      <w:r w:rsidR="00F92F84" w:rsidRPr="001B235B">
        <w:rPr>
          <w:sz w:val="18"/>
          <w:szCs w:val="18"/>
        </w:rPr>
        <w:t xml:space="preserve"> Correlation circle of the variables included in the PCA. The representation of the variables on the first two principal components is shown, which explain approximately 50% of the total variability. </w:t>
      </w:r>
      <w:r w:rsidR="00F92F84" w:rsidRPr="001B235B">
        <w:rPr>
          <w:rStyle w:val="Strong"/>
          <w:sz w:val="18"/>
          <w:szCs w:val="18"/>
        </w:rPr>
        <w:t>B.</w:t>
      </w:r>
      <w:r w:rsidR="00F92F84" w:rsidRPr="001B235B">
        <w:rPr>
          <w:sz w:val="18"/>
          <w:szCs w:val="18"/>
        </w:rPr>
        <w:t xml:space="preserve"> Scree plot showing the variance explained by each component. The first component explains over 40% of the variability, followed by the second component, such that together they account for 52% of the total variance in the data.</w:t>
      </w:r>
    </w:p>
    <w:p w14:paraId="4C3DF922" w14:textId="77777777" w:rsidR="002028D7" w:rsidRPr="000D1554" w:rsidRDefault="000D1554" w:rsidP="000D1554">
      <w:pPr>
        <w:spacing w:after="160" w:line="278" w:lineRule="auto"/>
        <w:rPr>
          <w:rFonts w:ascii="Arial" w:eastAsiaTheme="minorHAnsi" w:hAnsi="Arial" w:cs="Arial"/>
          <w:b/>
          <w:bCs/>
          <w:kern w:val="2"/>
          <w:lang w:val="en-US" w:eastAsia="en-US"/>
          <w14:ligatures w14:val="standardContextual"/>
        </w:rPr>
      </w:pPr>
      <w:r w:rsidRPr="00581C0E">
        <w:rPr>
          <w:b/>
          <w:bCs/>
          <w:lang w:val="en-US"/>
        </w:rPr>
        <w:br w:type="page"/>
      </w:r>
    </w:p>
    <w:p w14:paraId="008B5D91" w14:textId="77777777" w:rsidR="00920D03" w:rsidRPr="00C02CFF" w:rsidRDefault="00F74804" w:rsidP="00C02CFF">
      <w:pPr>
        <w:pStyle w:val="Heading2"/>
        <w:numPr>
          <w:ilvl w:val="0"/>
          <w:numId w:val="0"/>
        </w:numPr>
        <w:ind w:left="720" w:hanging="720"/>
        <w:rPr>
          <w:b/>
          <w:bCs/>
        </w:rPr>
      </w:pPr>
      <w:bookmarkStart w:id="6" w:name="_Toc233211399"/>
      <w:r w:rsidRPr="00C02CFF">
        <w:rPr>
          <w:b/>
          <w:bCs/>
        </w:rPr>
        <w:lastRenderedPageBreak/>
        <w:t>2.</w:t>
      </w:r>
      <w:r w:rsidR="0055343B" w:rsidRPr="00C02CFF">
        <w:rPr>
          <w:b/>
          <w:bCs/>
        </w:rPr>
        <w:t>2</w:t>
      </w:r>
      <w:r w:rsidRPr="00C02CFF">
        <w:rPr>
          <w:b/>
          <w:bCs/>
        </w:rPr>
        <w:t>.</w:t>
      </w:r>
      <w:r w:rsidRPr="00C02CFF">
        <w:rPr>
          <w:b/>
          <w:bCs/>
        </w:rPr>
        <w:tab/>
        <w:t>Model specification</w:t>
      </w:r>
      <w:bookmarkEnd w:id="6"/>
    </w:p>
    <w:p w14:paraId="66340CF3" w14:textId="1D7C2118" w:rsidR="00E41F2D" w:rsidRPr="001232F5" w:rsidRDefault="00E41F2D" w:rsidP="00327E04">
      <w:pPr>
        <w:pStyle w:val="Textoplano"/>
        <w:rPr>
          <w:b/>
          <w:bCs/>
        </w:rPr>
      </w:pPr>
      <w:r w:rsidRPr="001232F5">
        <w:rPr>
          <w:b/>
          <w:bCs/>
        </w:rPr>
        <w:t>Elementary education</w:t>
      </w:r>
    </w:p>
    <w:p w14:paraId="75A25025" w14:textId="77777777" w:rsidR="00327E04" w:rsidRPr="001232F5" w:rsidRDefault="00327E04" w:rsidP="00327E04">
      <w:pPr>
        <w:pStyle w:val="Textoplano"/>
        <w:rPr>
          <w:color w:val="000000" w:themeColor="text1"/>
        </w:rPr>
      </w:pPr>
      <w:r w:rsidRPr="001232F5">
        <w:rPr>
          <w:color w:val="000000" w:themeColor="text1"/>
        </w:rPr>
        <w:t xml:space="preserve">The model is specified as: </w:t>
      </w:r>
    </w:p>
    <w:p w14:paraId="6EE9829D" w14:textId="0B4839B9" w:rsidR="00327E04" w:rsidRPr="001232F5" w:rsidRDefault="00000000" w:rsidP="00327E04">
      <w:pPr>
        <w:pStyle w:val="Textoplano"/>
        <w:rPr>
          <w:color w:val="000000" w:themeColor="text1"/>
        </w:rPr>
      </w:pPr>
      <m:oMathPara>
        <m:oMath>
          <m:sSub>
            <m:sSubPr>
              <m:ctrlPr>
                <w:rPr>
                  <w:rFonts w:ascii="Cambria Math" w:eastAsia="Times New Roman" w:hAnsi="Cambria Math"/>
                  <w:kern w:val="0"/>
                  <w:lang w:eastAsia="es-MX"/>
                  <w14:ligatures w14:val="none"/>
                </w:rPr>
              </m:ctrlPr>
            </m:sSubPr>
            <m:e>
              <m:r>
                <w:rPr>
                  <w:rFonts w:ascii="Cambria Math" w:eastAsia="Times New Roman" w:hAnsi="Cambria Math"/>
                  <w:kern w:val="0"/>
                  <w:lang w:eastAsia="es-MX"/>
                  <w14:ligatures w14:val="none"/>
                </w:rPr>
                <m:t xml:space="preserve">   y</m:t>
              </m:r>
            </m:e>
            <m:sub>
              <m:r>
                <w:rPr>
                  <w:rFonts w:ascii="Cambria Math" w:eastAsia="Times New Roman" w:hAnsi="Cambria Math"/>
                  <w:kern w:val="0"/>
                  <w:lang w:eastAsia="es-MX"/>
                  <w14:ligatures w14:val="none"/>
                </w:rPr>
                <m:t>it</m:t>
              </m:r>
            </m:sub>
          </m:sSub>
          <m:r>
            <w:rPr>
              <w:rFonts w:ascii="Cambria Math" w:eastAsia="Times New Roman" w:hAnsi="Cambria Math"/>
              <w:kern w:val="0"/>
              <w:lang w:eastAsia="es-MX"/>
              <w14:ligatures w14:val="none"/>
            </w:rPr>
            <m:t>|</m:t>
          </m:r>
          <m:sSub>
            <m:sSubPr>
              <m:ctrlPr>
                <w:rPr>
                  <w:rFonts w:ascii="Cambria Math" w:eastAsia="Times New Roman" w:hAnsi="Cambria Math"/>
                  <w:kern w:val="0"/>
                  <w:lang w:eastAsia="es-MX"/>
                  <w14:ligatures w14:val="none"/>
                </w:rPr>
              </m:ctrlPr>
            </m:sSubPr>
            <m:e>
              <m:r>
                <w:rPr>
                  <w:rFonts w:ascii="Cambria Math" w:eastAsia="Times New Roman" w:hAnsi="Cambria Math"/>
                  <w:kern w:val="0"/>
                  <w:lang w:eastAsia="es-MX"/>
                  <w14:ligatures w14:val="none"/>
                </w:rPr>
                <m:t>p</m:t>
              </m:r>
            </m:e>
            <m:sub>
              <m:r>
                <w:rPr>
                  <w:rFonts w:ascii="Cambria Math" w:eastAsia="Times New Roman" w:hAnsi="Cambria Math"/>
                  <w:kern w:val="0"/>
                  <w:lang w:eastAsia="es-MX"/>
                  <w14:ligatures w14:val="none"/>
                </w:rPr>
                <m:t xml:space="preserve">it </m:t>
              </m:r>
            </m:sub>
          </m:sSub>
          <m:r>
            <w:rPr>
              <w:rFonts w:ascii="Cambria Math" w:eastAsia="Times New Roman" w:hAnsi="Cambria Math"/>
              <w:kern w:val="0"/>
              <w:lang w:eastAsia="es-MX"/>
              <w14:ligatures w14:val="none"/>
            </w:rPr>
            <m:t xml:space="preserve">~ </m:t>
          </m:r>
          <m:r>
            <m:rPr>
              <m:sty m:val="p"/>
            </m:rPr>
            <w:rPr>
              <w:rFonts w:ascii="Cambria Math" w:eastAsia="Times New Roman" w:hAnsi="Cambria Math"/>
              <w:kern w:val="0"/>
              <w:lang w:eastAsia="es-MX"/>
              <w14:ligatures w14:val="none"/>
            </w:rPr>
            <m:t>Binomial (</m:t>
          </m:r>
          <m:sSub>
            <m:sSubPr>
              <m:ctrlPr>
                <w:rPr>
                  <w:rFonts w:ascii="Cambria Math" w:eastAsia="Times New Roman" w:hAnsi="Cambria Math"/>
                  <w:kern w:val="0"/>
                  <w:lang w:eastAsia="es-MX"/>
                  <w14:ligatures w14:val="none"/>
                </w:rPr>
              </m:ctrlPr>
            </m:sSubPr>
            <m:e>
              <m:r>
                <w:rPr>
                  <w:rFonts w:ascii="Cambria Math" w:eastAsia="Times New Roman" w:hAnsi="Cambria Math"/>
                  <w:kern w:val="0"/>
                  <w:lang w:eastAsia="es-MX"/>
                  <w14:ligatures w14:val="none"/>
                </w:rPr>
                <m:t>n</m:t>
              </m:r>
            </m:e>
            <m:sub>
              <m:r>
                <w:rPr>
                  <w:rFonts w:ascii="Cambria Math" w:eastAsia="Times New Roman" w:hAnsi="Cambria Math"/>
                  <w:kern w:val="0"/>
                  <w:lang w:eastAsia="es-MX"/>
                  <w14:ligatures w14:val="none"/>
                </w:rPr>
                <m:t>it</m:t>
              </m:r>
            </m:sub>
          </m:sSub>
          <m:r>
            <w:rPr>
              <w:rFonts w:ascii="Cambria Math" w:eastAsia="Times New Roman" w:hAnsi="Cambria Math"/>
              <w:kern w:val="0"/>
              <w:lang w:eastAsia="es-MX"/>
              <w14:ligatures w14:val="none"/>
            </w:rPr>
            <m:t>,</m:t>
          </m:r>
          <m:sSub>
            <m:sSubPr>
              <m:ctrlPr>
                <w:rPr>
                  <w:rFonts w:ascii="Cambria Math" w:eastAsia="Times New Roman" w:hAnsi="Cambria Math"/>
                  <w:kern w:val="0"/>
                  <w:lang w:eastAsia="es-MX"/>
                  <w14:ligatures w14:val="none"/>
                </w:rPr>
              </m:ctrlPr>
            </m:sSubPr>
            <m:e>
              <m:r>
                <w:rPr>
                  <w:rFonts w:ascii="Cambria Math" w:eastAsia="Times New Roman" w:hAnsi="Cambria Math"/>
                  <w:kern w:val="0"/>
                  <w:lang w:eastAsia="es-MX"/>
                  <w14:ligatures w14:val="none"/>
                </w:rPr>
                <m:t>p</m:t>
              </m:r>
            </m:e>
            <m:sub>
              <m:r>
                <w:rPr>
                  <w:rFonts w:ascii="Cambria Math" w:eastAsia="Times New Roman" w:hAnsi="Cambria Math"/>
                  <w:kern w:val="0"/>
                  <w:lang w:eastAsia="es-MX"/>
                  <w14:ligatures w14:val="none"/>
                </w:rPr>
                <m:t>it</m:t>
              </m:r>
            </m:sub>
          </m:sSub>
          <m:r>
            <w:rPr>
              <w:rFonts w:ascii="Cambria Math" w:eastAsia="Times New Roman" w:hAnsi="Cambria Math"/>
              <w:kern w:val="0"/>
              <w:lang w:eastAsia="es-MX"/>
              <w14:ligatures w14:val="none"/>
            </w:rPr>
            <m:t>)</m:t>
          </m:r>
        </m:oMath>
      </m:oMathPara>
    </w:p>
    <w:p w14:paraId="49BB7DA7" w14:textId="7080BDFB" w:rsidR="00327E04" w:rsidRPr="001232F5" w:rsidRDefault="006D07C7" w:rsidP="00327E04">
      <w:pPr>
        <w:pStyle w:val="Textoplano"/>
        <w:rPr>
          <w:color w:val="000000" w:themeColor="text1"/>
        </w:rPr>
      </w:pPr>
      <w:r w:rsidRPr="001232F5">
        <w:t xml:space="preserve">where </w:t>
      </w:r>
      <m:oMath>
        <m:sSub>
          <m:sSubPr>
            <m:ctrlPr>
              <w:rPr>
                <w:rFonts w:ascii="Cambria Math" w:hAnsi="Cambria Math"/>
              </w:rPr>
            </m:ctrlPr>
          </m:sSubPr>
          <m:e>
            <m:r>
              <w:rPr>
                <w:rFonts w:ascii="Cambria Math" w:hAnsi="Cambria Math"/>
              </w:rPr>
              <m:t>μ</m:t>
            </m:r>
          </m:e>
          <m:sub>
            <m:r>
              <w:rPr>
                <w:rFonts w:ascii="Cambria Math" w:hAnsi="Cambria Math"/>
              </w:rPr>
              <m:t>it</m:t>
            </m:r>
          </m:sub>
        </m:sSub>
        <m:r>
          <w:rPr>
            <w:rFonts w:ascii="Cambria Math" w:hAnsi="Cambria Math"/>
          </w:rPr>
          <m:t>=E(</m:t>
        </m:r>
        <m:sSub>
          <m:sSubPr>
            <m:ctrlPr>
              <w:rPr>
                <w:rFonts w:ascii="Cambria Math" w:hAnsi="Cambria Math"/>
              </w:rPr>
            </m:ctrlPr>
          </m:sSubPr>
          <m:e>
            <m:r>
              <w:rPr>
                <w:rFonts w:ascii="Cambria Math" w:hAnsi="Cambria Math"/>
              </w:rPr>
              <m:t>p</m:t>
            </m:r>
          </m:e>
          <m:sub>
            <m:r>
              <w:rPr>
                <w:rFonts w:ascii="Cambria Math" w:hAnsi="Cambria Math"/>
              </w:rPr>
              <m:t>it</m:t>
            </m:r>
          </m:sub>
        </m:sSub>
        <m:r>
          <w:rPr>
            <w:rFonts w:ascii="Cambria Math" w:hAnsi="Cambria Math"/>
          </w:rPr>
          <m:t>∣ξ,v,w)</m:t>
        </m:r>
      </m:oMath>
      <w:r w:rsidRPr="001232F5">
        <w:rPr>
          <w:rFonts w:eastAsiaTheme="minorEastAsia"/>
        </w:rPr>
        <w:t xml:space="preserve"> </w:t>
      </w:r>
      <w:r w:rsidRPr="001232F5">
        <w:t>is the expected prevalence of elementary education completion given all random effects. The mean is linked to a linear predictor through a logit transformation</w:t>
      </w:r>
      <w:r w:rsidR="00327E04" w:rsidRPr="001232F5">
        <w:rPr>
          <w:color w:val="000000" w:themeColor="text1"/>
        </w:rPr>
        <w:t xml:space="preserve">: </w:t>
      </w:r>
    </w:p>
    <w:p w14:paraId="7E2952AE" w14:textId="77777777" w:rsidR="006D07C7" w:rsidRPr="001232F5" w:rsidRDefault="00000000" w:rsidP="00327E04">
      <w:pPr>
        <w:pStyle w:val="Textoplano"/>
        <w:rPr>
          <w:rFonts w:eastAsiaTheme="minorEastAsia"/>
          <w:kern w:val="0"/>
          <w:lang w:val="es-PE" w:eastAsia="es-MX"/>
          <w14:ligatures w14:val="none"/>
        </w:rPr>
      </w:pPr>
      <m:oMathPara>
        <m:oMath>
          <m:sSub>
            <m:sSubPr>
              <m:ctrlPr>
                <w:rPr>
                  <w:rFonts w:ascii="Cambria Math" w:eastAsia="Times New Roman" w:hAnsi="Cambria Math"/>
                  <w:kern w:val="0"/>
                  <w:lang w:eastAsia="es-MX"/>
                  <w14:ligatures w14:val="none"/>
                </w:rPr>
              </m:ctrlPr>
            </m:sSubPr>
            <m:e>
              <m:r>
                <w:rPr>
                  <w:rFonts w:ascii="Cambria Math" w:eastAsia="Times New Roman" w:hAnsi="Cambria Math"/>
                  <w:kern w:val="0"/>
                  <w:lang w:eastAsia="es-MX"/>
                  <w14:ligatures w14:val="none"/>
                </w:rPr>
                <m:t>η</m:t>
              </m:r>
            </m:e>
            <m:sub>
              <m:r>
                <w:rPr>
                  <w:rFonts w:ascii="Cambria Math" w:eastAsia="Times New Roman" w:hAnsi="Cambria Math"/>
                  <w:kern w:val="0"/>
                  <w:lang w:eastAsia="es-MX"/>
                  <w14:ligatures w14:val="none"/>
                </w:rPr>
                <m:t>it</m:t>
              </m:r>
            </m:sub>
          </m:sSub>
          <m:r>
            <w:rPr>
              <w:rFonts w:ascii="Cambria Math" w:eastAsia="Times New Roman" w:hAnsi="Cambria Math"/>
              <w:kern w:val="0"/>
              <w:lang w:val="es-PE" w:eastAsia="es-MX"/>
              <w14:ligatures w14:val="none"/>
            </w:rPr>
            <m:t>=</m:t>
          </m:r>
          <m:sSub>
            <m:sSubPr>
              <m:ctrlPr>
                <w:rPr>
                  <w:rFonts w:ascii="Cambria Math" w:eastAsia="Times New Roman" w:hAnsi="Cambria Math"/>
                  <w:kern w:val="0"/>
                  <w:lang w:eastAsia="es-MX"/>
                  <w14:ligatures w14:val="none"/>
                </w:rPr>
              </m:ctrlPr>
            </m:sSubPr>
            <m:e>
              <m:r>
                <w:rPr>
                  <w:rFonts w:ascii="Cambria Math" w:eastAsia="Times New Roman" w:hAnsi="Cambria Math"/>
                  <w:kern w:val="0"/>
                  <w:lang w:eastAsia="es-MX"/>
                  <w14:ligatures w14:val="none"/>
                </w:rPr>
                <m:t>β</m:t>
              </m:r>
            </m:e>
            <m:sub>
              <m:r>
                <w:rPr>
                  <w:rFonts w:ascii="Cambria Math" w:eastAsia="Times New Roman" w:hAnsi="Cambria Math"/>
                  <w:kern w:val="0"/>
                  <w:lang w:val="es-PE" w:eastAsia="es-MX"/>
                  <w14:ligatures w14:val="none"/>
                </w:rPr>
                <m:t>0</m:t>
              </m:r>
            </m:sub>
          </m:sSub>
          <m:r>
            <w:rPr>
              <w:rFonts w:ascii="Cambria Math" w:eastAsia="Times New Roman" w:hAnsi="Cambria Math"/>
              <w:kern w:val="0"/>
              <w:lang w:val="es-PE" w:eastAsia="es-MX"/>
              <w14:ligatures w14:val="none"/>
            </w:rPr>
            <m:t>+</m:t>
          </m:r>
          <m:nary>
            <m:naryPr>
              <m:chr m:val="∑"/>
              <m:limLoc m:val="undOvr"/>
              <m:grow m:val="1"/>
              <m:ctrlPr>
                <w:rPr>
                  <w:rFonts w:ascii="Cambria Math" w:eastAsia="Times New Roman" w:hAnsi="Cambria Math"/>
                  <w:kern w:val="0"/>
                  <w:lang w:eastAsia="es-MX"/>
                  <w14:ligatures w14:val="none"/>
                </w:rPr>
              </m:ctrlPr>
            </m:naryPr>
            <m:sub>
              <m:r>
                <w:rPr>
                  <w:rFonts w:ascii="Cambria Math" w:eastAsia="Times New Roman" w:hAnsi="Cambria Math"/>
                  <w:kern w:val="0"/>
                  <w:lang w:eastAsia="es-MX"/>
                  <w14:ligatures w14:val="none"/>
                </w:rPr>
                <m:t>k</m:t>
              </m:r>
              <m:r>
                <w:rPr>
                  <w:rFonts w:ascii="Cambria Math" w:eastAsia="Times New Roman" w:hAnsi="Cambria Math"/>
                  <w:kern w:val="0"/>
                  <w:lang w:val="es-PE" w:eastAsia="es-MX"/>
                  <w14:ligatures w14:val="none"/>
                </w:rPr>
                <m:t>=1</m:t>
              </m:r>
            </m:sub>
            <m:sup>
              <m:r>
                <w:rPr>
                  <w:rFonts w:ascii="Cambria Math" w:eastAsia="Times New Roman" w:hAnsi="Cambria Math"/>
                  <w:kern w:val="0"/>
                  <w:lang w:eastAsia="es-MX"/>
                  <w14:ligatures w14:val="none"/>
                </w:rPr>
                <m:t>K</m:t>
              </m:r>
            </m:sup>
            <m:e>
              <m:sSub>
                <m:sSubPr>
                  <m:ctrlPr>
                    <w:rPr>
                      <w:rFonts w:ascii="Cambria Math" w:eastAsia="Times New Roman" w:hAnsi="Cambria Math"/>
                      <w:kern w:val="0"/>
                      <w:lang w:eastAsia="es-MX"/>
                      <w14:ligatures w14:val="none"/>
                    </w:rPr>
                  </m:ctrlPr>
                </m:sSubPr>
                <m:e>
                  <m:r>
                    <w:rPr>
                      <w:rFonts w:ascii="Cambria Math" w:eastAsia="Times New Roman" w:hAnsi="Cambria Math"/>
                      <w:kern w:val="0"/>
                      <w:lang w:eastAsia="es-MX"/>
                      <w14:ligatures w14:val="none"/>
                    </w:rPr>
                    <m:t>β</m:t>
                  </m:r>
                </m:e>
                <m:sub>
                  <m:r>
                    <w:rPr>
                      <w:rFonts w:ascii="Cambria Math" w:eastAsia="Times New Roman" w:hAnsi="Cambria Math"/>
                      <w:kern w:val="0"/>
                      <w:lang w:eastAsia="es-MX"/>
                      <w14:ligatures w14:val="none"/>
                    </w:rPr>
                    <m:t>k</m:t>
                  </m:r>
                </m:sub>
              </m:sSub>
            </m:e>
          </m:nary>
          <m:r>
            <m:rPr>
              <m:nor/>
            </m:rPr>
            <w:rPr>
              <w:rFonts w:eastAsia="Times New Roman"/>
              <w:kern w:val="0"/>
              <w:lang w:val="es-PE" w:eastAsia="es-MX"/>
              <w14:ligatures w14:val="none"/>
            </w:rPr>
            <m:t> </m:t>
          </m:r>
          <m:sSub>
            <m:sSubPr>
              <m:ctrlPr>
                <w:rPr>
                  <w:rFonts w:ascii="Cambria Math" w:eastAsia="Times New Roman" w:hAnsi="Cambria Math"/>
                  <w:kern w:val="0"/>
                  <w:lang w:eastAsia="es-MX"/>
                  <w14:ligatures w14:val="none"/>
                </w:rPr>
              </m:ctrlPr>
            </m:sSubPr>
            <m:e>
              <m:r>
                <m:rPr>
                  <m:nor/>
                </m:rPr>
                <w:rPr>
                  <w:rFonts w:eastAsia="Times New Roman"/>
                  <w:i/>
                  <w:iCs/>
                  <w:kern w:val="0"/>
                  <w:lang w:val="es-PE" w:eastAsia="es-MX"/>
                  <w14:ligatures w14:val="none"/>
                </w:rPr>
                <m:t>pc</m:t>
              </m:r>
            </m:e>
            <m:sub>
              <m:r>
                <w:rPr>
                  <w:rFonts w:ascii="Cambria Math" w:eastAsia="Times New Roman" w:hAnsi="Cambria Math"/>
                  <w:kern w:val="0"/>
                  <w:lang w:eastAsia="es-MX"/>
                  <w14:ligatures w14:val="none"/>
                </w:rPr>
                <m:t>k</m:t>
              </m:r>
              <m:r>
                <w:rPr>
                  <w:rFonts w:ascii="Cambria Math" w:eastAsia="Times New Roman" w:hAnsi="Cambria Math"/>
                  <w:kern w:val="0"/>
                  <w:lang w:val="es-PE" w:eastAsia="es-MX"/>
                  <w14:ligatures w14:val="none"/>
                </w:rPr>
                <m:t>,</m:t>
              </m:r>
              <m:r>
                <w:rPr>
                  <w:rFonts w:ascii="Cambria Math" w:eastAsia="Times New Roman" w:hAnsi="Cambria Math"/>
                  <w:kern w:val="0"/>
                  <w:lang w:eastAsia="es-MX"/>
                  <w14:ligatures w14:val="none"/>
                </w:rPr>
                <m:t>it</m:t>
              </m:r>
            </m:sub>
          </m:sSub>
          <m:r>
            <w:rPr>
              <w:rFonts w:ascii="Cambria Math" w:eastAsia="Times New Roman" w:hAnsi="Cambria Math"/>
              <w:kern w:val="0"/>
              <w:lang w:val="es-PE" w:eastAsia="es-MX"/>
              <w14:ligatures w14:val="none"/>
            </w:rPr>
            <m:t>+</m:t>
          </m:r>
          <m:r>
            <m:rPr>
              <m:sty m:val="p"/>
            </m:rPr>
            <w:rPr>
              <w:rStyle w:val="mord"/>
              <w:rFonts w:ascii="Cambria Math" w:hAnsi="Cambria Math"/>
            </w:rPr>
            <m:t>ξ</m:t>
          </m:r>
          <m:d>
            <m:dPr>
              <m:ctrlPr>
                <w:rPr>
                  <w:rStyle w:val="mord"/>
                  <w:rFonts w:ascii="Cambria Math" w:hAnsi="Cambria Math"/>
                </w:rPr>
              </m:ctrlPr>
            </m:dPr>
            <m:e>
              <m:sSub>
                <m:sSubPr>
                  <m:ctrlPr>
                    <w:rPr>
                      <w:rFonts w:ascii="Cambria Math" w:eastAsia="Times New Roman" w:hAnsi="Cambria Math"/>
                      <w:kern w:val="0"/>
                      <w:lang w:eastAsia="es-MX"/>
                      <w14:ligatures w14:val="none"/>
                    </w:rPr>
                  </m:ctrlPr>
                </m:sSubPr>
                <m:e>
                  <m:r>
                    <m:rPr>
                      <m:sty m:val="p"/>
                    </m:rPr>
                    <w:rPr>
                      <w:rFonts w:ascii="Cambria Math" w:eastAsia="Times New Roman" w:hAnsi="Cambria Math"/>
                      <w:kern w:val="0"/>
                      <w:lang w:val="es-PE" w:eastAsia="es-MX"/>
                      <w14:ligatures w14:val="none"/>
                    </w:rPr>
                    <m:t>s</m:t>
                  </m:r>
                </m:e>
                <m:sub>
                  <m:r>
                    <w:rPr>
                      <w:rFonts w:ascii="Cambria Math" w:eastAsia="Times New Roman" w:hAnsi="Cambria Math"/>
                      <w:kern w:val="0"/>
                      <w:lang w:eastAsia="es-MX"/>
                      <w14:ligatures w14:val="none"/>
                    </w:rPr>
                    <m:t>i</m:t>
                  </m:r>
                </m:sub>
              </m:sSub>
              <m:ctrlPr>
                <w:rPr>
                  <w:rFonts w:ascii="Cambria Math" w:eastAsia="Times New Roman" w:hAnsi="Cambria Math"/>
                  <w:i/>
                  <w:kern w:val="0"/>
                  <w:lang w:eastAsia="es-MX"/>
                  <w14:ligatures w14:val="none"/>
                </w:rPr>
              </m:ctrlPr>
            </m:e>
          </m:d>
          <m:r>
            <w:rPr>
              <w:rFonts w:ascii="Cambria Math" w:eastAsia="Times New Roman" w:hAnsi="Cambria Math"/>
              <w:kern w:val="0"/>
              <w:lang w:val="es-PE" w:eastAsia="es-MX"/>
              <w14:ligatures w14:val="none"/>
            </w:rPr>
            <m:t>+</m:t>
          </m:r>
          <m:sSub>
            <m:sSubPr>
              <m:ctrlPr>
                <w:rPr>
                  <w:rFonts w:ascii="Cambria Math" w:eastAsia="Times New Roman" w:hAnsi="Cambria Math"/>
                  <w:kern w:val="0"/>
                  <w:lang w:eastAsia="es-MX"/>
                  <w14:ligatures w14:val="none"/>
                </w:rPr>
              </m:ctrlPr>
            </m:sSubPr>
            <m:e>
              <m:r>
                <w:rPr>
                  <w:rFonts w:ascii="Cambria Math" w:eastAsia="Times New Roman" w:hAnsi="Cambria Math"/>
                  <w:kern w:val="0"/>
                  <w:lang w:eastAsia="es-MX"/>
                  <w14:ligatures w14:val="none"/>
                </w:rPr>
                <m:t>w</m:t>
              </m:r>
            </m:e>
            <m:sub>
              <m:r>
                <w:rPr>
                  <w:rFonts w:ascii="Cambria Math" w:eastAsia="Times New Roman" w:hAnsi="Cambria Math"/>
                  <w:kern w:val="0"/>
                  <w:lang w:eastAsia="es-MX"/>
                  <w14:ligatures w14:val="none"/>
                </w:rPr>
                <m:t>p</m:t>
              </m:r>
              <m:r>
                <w:rPr>
                  <w:rFonts w:ascii="Cambria Math" w:eastAsia="Times New Roman" w:hAnsi="Cambria Math"/>
                  <w:kern w:val="0"/>
                  <w:lang w:val="es-PE" w:eastAsia="es-MX"/>
                  <w14:ligatures w14:val="none"/>
                </w:rPr>
                <m:t>(</m:t>
              </m:r>
              <m:r>
                <w:rPr>
                  <w:rFonts w:ascii="Cambria Math" w:eastAsia="Times New Roman" w:hAnsi="Cambria Math"/>
                  <w:kern w:val="0"/>
                  <w:lang w:eastAsia="es-MX"/>
                  <w14:ligatures w14:val="none"/>
                </w:rPr>
                <m:t>i</m:t>
              </m:r>
              <m:r>
                <w:rPr>
                  <w:rFonts w:ascii="Cambria Math" w:eastAsia="Times New Roman" w:hAnsi="Cambria Math"/>
                  <w:kern w:val="0"/>
                  <w:lang w:val="es-PE" w:eastAsia="es-MX"/>
                  <w14:ligatures w14:val="none"/>
                </w:rPr>
                <m:t>)</m:t>
              </m:r>
            </m:sub>
          </m:sSub>
          <m:r>
            <w:rPr>
              <w:rFonts w:ascii="Cambria Math" w:eastAsia="Times New Roman" w:hAnsi="Cambria Math"/>
              <w:kern w:val="0"/>
              <w:lang w:val="es-PE" w:eastAsia="es-MX"/>
              <w14:ligatures w14:val="none"/>
            </w:rPr>
            <m:t xml:space="preserve">+ </m:t>
          </m:r>
          <m:sSub>
            <m:sSubPr>
              <m:ctrlPr>
                <w:rPr>
                  <w:rFonts w:ascii="Cambria Math" w:eastAsia="Times New Roman" w:hAnsi="Cambria Math"/>
                  <w:kern w:val="0"/>
                  <w:lang w:eastAsia="es-MX"/>
                  <w14:ligatures w14:val="none"/>
                </w:rPr>
              </m:ctrlPr>
            </m:sSubPr>
            <m:e>
              <m:r>
                <w:rPr>
                  <w:rFonts w:ascii="Cambria Math" w:eastAsia="Times New Roman" w:hAnsi="Cambria Math"/>
                  <w:kern w:val="0"/>
                  <w:lang w:eastAsia="es-MX"/>
                  <w14:ligatures w14:val="none"/>
                </w:rPr>
                <m:t>v</m:t>
              </m:r>
            </m:e>
            <m:sub>
              <m:r>
                <w:rPr>
                  <w:rFonts w:ascii="Cambria Math" w:eastAsia="Times New Roman" w:hAnsi="Cambria Math"/>
                  <w:kern w:val="0"/>
                  <w:lang w:eastAsia="es-MX"/>
                  <w14:ligatures w14:val="none"/>
                </w:rPr>
                <m:t>t</m:t>
              </m:r>
            </m:sub>
          </m:sSub>
        </m:oMath>
      </m:oMathPara>
    </w:p>
    <w:p w14:paraId="7F23C149" w14:textId="77777777" w:rsidR="006D07C7" w:rsidRPr="001232F5" w:rsidRDefault="006D07C7" w:rsidP="006D07C7">
      <w:pPr>
        <w:spacing w:after="120" w:line="360" w:lineRule="auto"/>
        <w:ind w:left="357"/>
        <w:jc w:val="both"/>
        <w:rPr>
          <w:rFonts w:ascii="Arial" w:hAnsi="Arial" w:cs="Arial"/>
          <w:lang w:val="en-US"/>
        </w:rPr>
      </w:pPr>
      <w:r w:rsidRPr="001232F5">
        <w:rPr>
          <w:rFonts w:ascii="Arial" w:hAnsi="Arial" w:cs="Arial"/>
          <w:lang w:val="en-US"/>
        </w:rPr>
        <w:t>Where:</w:t>
      </w:r>
    </w:p>
    <w:p w14:paraId="19BB1AFD" w14:textId="77777777" w:rsidR="006D07C7" w:rsidRPr="001232F5" w:rsidRDefault="00000000" w:rsidP="006D07C7">
      <w:pPr>
        <w:pStyle w:val="ListParagraph"/>
        <w:numPr>
          <w:ilvl w:val="0"/>
          <w:numId w:val="8"/>
        </w:numPr>
        <w:spacing w:after="120" w:line="360" w:lineRule="auto"/>
        <w:jc w:val="both"/>
        <w:rPr>
          <w:rFonts w:ascii="Arial" w:hAnsi="Arial" w:cs="Arial"/>
          <w:lang w:val="en-US"/>
        </w:rPr>
      </w:pPr>
      <m:oMath>
        <m:sSub>
          <m:sSubPr>
            <m:ctrlPr>
              <w:rPr>
                <w:rFonts w:ascii="Cambria Math" w:hAnsi="Cambria Math" w:cs="Arial"/>
              </w:rPr>
            </m:ctrlPr>
          </m:sSubPr>
          <m:e>
            <m:r>
              <w:rPr>
                <w:rFonts w:ascii="Cambria Math" w:hAnsi="Cambria Math" w:cs="Arial"/>
              </w:rPr>
              <m:t>β</m:t>
            </m:r>
          </m:e>
          <m:sub>
            <m:r>
              <w:rPr>
                <w:rFonts w:ascii="Cambria Math" w:hAnsi="Cambria Math" w:cs="Arial"/>
                <w:lang w:val="en-US"/>
              </w:rPr>
              <m:t>0</m:t>
            </m:r>
          </m:sub>
        </m:sSub>
      </m:oMath>
      <w:r w:rsidR="006D07C7" w:rsidRPr="001232F5">
        <w:rPr>
          <w:rFonts w:ascii="Arial" w:eastAsiaTheme="minorEastAsia" w:hAnsi="Arial" w:cs="Arial"/>
          <w:lang w:val="en-US"/>
        </w:rPr>
        <w:t xml:space="preserve"> </w:t>
      </w:r>
      <w:r w:rsidR="006D07C7" w:rsidRPr="001232F5">
        <w:rPr>
          <w:rFonts w:ascii="Arial" w:hAnsi="Arial" w:cs="Arial"/>
          <w:lang w:val="en-US"/>
        </w:rPr>
        <w:t>is the intercept</w:t>
      </w:r>
    </w:p>
    <w:p w14:paraId="3A070CFD" w14:textId="77777777" w:rsidR="006D07C7" w:rsidRPr="001232F5" w:rsidRDefault="006D07C7" w:rsidP="006D07C7">
      <w:pPr>
        <w:pStyle w:val="ListParagraph"/>
        <w:numPr>
          <w:ilvl w:val="0"/>
          <w:numId w:val="8"/>
        </w:numPr>
        <w:spacing w:after="120" w:line="360" w:lineRule="auto"/>
        <w:jc w:val="both"/>
        <w:rPr>
          <w:rFonts w:ascii="Arial" w:hAnsi="Arial" w:cs="Arial"/>
          <w:lang w:val="en-US"/>
        </w:rPr>
      </w:pPr>
      <w:r w:rsidRPr="001232F5">
        <w:rPr>
          <w:rFonts w:ascii="Arial" w:hAnsi="Arial" w:cs="Arial"/>
          <w:lang w:val="en-US"/>
        </w:rPr>
        <w:t xml:space="preserve"> </w:t>
      </w:r>
      <m:oMath>
        <m:sSub>
          <m:sSubPr>
            <m:ctrlPr>
              <w:rPr>
                <w:rFonts w:ascii="Cambria Math" w:hAnsi="Cambria Math" w:cs="Arial"/>
              </w:rPr>
            </m:ctrlPr>
          </m:sSubPr>
          <m:e>
            <m:r>
              <m:rPr>
                <m:nor/>
              </m:rPr>
              <w:rPr>
                <w:rFonts w:ascii="Arial" w:hAnsi="Arial" w:cs="Arial"/>
                <w:lang w:val="en-US"/>
              </w:rPr>
              <m:t>pc</m:t>
            </m:r>
          </m:e>
          <m:sub>
            <m:r>
              <w:rPr>
                <w:rFonts w:ascii="Cambria Math" w:hAnsi="Cambria Math" w:cs="Arial"/>
              </w:rPr>
              <m:t>k</m:t>
            </m:r>
            <m:r>
              <w:rPr>
                <w:rFonts w:ascii="Cambria Math" w:hAnsi="Cambria Math" w:cs="Arial"/>
                <w:lang w:val="en-US"/>
              </w:rPr>
              <m:t>,</m:t>
            </m:r>
            <m:r>
              <w:rPr>
                <w:rFonts w:ascii="Cambria Math" w:hAnsi="Cambria Math" w:cs="Arial"/>
              </w:rPr>
              <m:t>it</m:t>
            </m:r>
          </m:sub>
        </m:sSub>
      </m:oMath>
      <w:r w:rsidRPr="001232F5">
        <w:rPr>
          <w:rFonts w:ascii="Arial" w:eastAsiaTheme="minorEastAsia" w:hAnsi="Arial" w:cs="Arial"/>
          <w:lang w:val="en-US"/>
        </w:rPr>
        <w:t xml:space="preserve"> </w:t>
      </w:r>
      <w:r w:rsidRPr="001232F5">
        <w:rPr>
          <w:rFonts w:ascii="Arial" w:hAnsi="Arial" w:cs="Arial"/>
          <w:lang w:val="en-US"/>
        </w:rPr>
        <w:t xml:space="preserve">is the value of the </w:t>
      </w:r>
      <m:oMath>
        <m:r>
          <w:rPr>
            <w:rFonts w:ascii="Cambria Math" w:hAnsi="Cambria Math" w:cs="Arial"/>
          </w:rPr>
          <m:t>k</m:t>
        </m:r>
      </m:oMath>
      <w:r w:rsidRPr="001232F5">
        <w:rPr>
          <w:rFonts w:ascii="Arial" w:hAnsi="Arial" w:cs="Arial"/>
          <w:lang w:val="en-US"/>
        </w:rPr>
        <w:t xml:space="preserve">-th principal component for PSU </w:t>
      </w:r>
      <m:oMath>
        <m:r>
          <w:rPr>
            <w:rFonts w:ascii="Cambria Math" w:hAnsi="Cambria Math" w:cs="Arial"/>
          </w:rPr>
          <m:t>i</m:t>
        </m:r>
      </m:oMath>
      <w:r w:rsidRPr="001232F5">
        <w:rPr>
          <w:rFonts w:ascii="Arial" w:eastAsiaTheme="minorEastAsia" w:hAnsi="Arial" w:cs="Arial"/>
          <w:lang w:val="en-US"/>
        </w:rPr>
        <w:t xml:space="preserve"> </w:t>
      </w:r>
      <w:r w:rsidRPr="001232F5">
        <w:rPr>
          <w:rFonts w:ascii="Arial" w:hAnsi="Arial" w:cs="Arial"/>
          <w:lang w:val="en-US"/>
        </w:rPr>
        <w:t xml:space="preserve">at time </w:t>
      </w:r>
      <m:oMath>
        <m:r>
          <w:rPr>
            <w:rFonts w:ascii="Cambria Math" w:hAnsi="Cambria Math" w:cs="Arial"/>
          </w:rPr>
          <m:t>t</m:t>
        </m:r>
      </m:oMath>
      <w:r w:rsidRPr="001232F5">
        <w:rPr>
          <w:rFonts w:ascii="Arial" w:hAnsi="Arial" w:cs="Arial"/>
          <w:lang w:val="en-US"/>
        </w:rPr>
        <w:t xml:space="preserve">. </w:t>
      </w:r>
    </w:p>
    <w:p w14:paraId="3B8A1EC7" w14:textId="77777777" w:rsidR="006D07C7" w:rsidRPr="001232F5" w:rsidRDefault="006D07C7" w:rsidP="006D07C7">
      <w:pPr>
        <w:pStyle w:val="ListParagraph"/>
        <w:numPr>
          <w:ilvl w:val="0"/>
          <w:numId w:val="8"/>
        </w:numPr>
        <w:spacing w:after="120" w:line="360" w:lineRule="auto"/>
        <w:jc w:val="both"/>
        <w:rPr>
          <w:rFonts w:ascii="Arial" w:hAnsi="Arial" w:cs="Arial"/>
          <w:lang w:val="en-US"/>
        </w:rPr>
      </w:pPr>
      <m:oMath>
        <m:r>
          <w:rPr>
            <w:rFonts w:ascii="Cambria Math" w:hAnsi="Cambria Math" w:cs="Arial"/>
          </w:rPr>
          <m:t>ξ</m:t>
        </m:r>
        <m:r>
          <w:rPr>
            <w:rFonts w:ascii="Cambria Math" w:hAnsi="Cambria Math" w:cs="Arial"/>
            <w:lang w:val="en-US"/>
          </w:rPr>
          <m:t>(</m:t>
        </m:r>
        <m:sSub>
          <m:sSubPr>
            <m:ctrlPr>
              <w:rPr>
                <w:rFonts w:ascii="Cambria Math" w:hAnsi="Cambria Math" w:cs="Arial"/>
              </w:rPr>
            </m:ctrlPr>
          </m:sSubPr>
          <m:e>
            <m:r>
              <m:rPr>
                <m:sty m:val="p"/>
              </m:rPr>
              <w:rPr>
                <w:rFonts w:ascii="Cambria Math" w:hAnsi="Cambria Math" w:cs="Arial"/>
                <w:lang w:val="en-US"/>
              </w:rPr>
              <m:t>s</m:t>
            </m:r>
          </m:e>
          <m:sub>
            <m:r>
              <w:rPr>
                <w:rFonts w:ascii="Cambria Math" w:hAnsi="Cambria Math" w:cs="Arial"/>
              </w:rPr>
              <m:t>i</m:t>
            </m:r>
          </m:sub>
        </m:sSub>
        <m:r>
          <w:rPr>
            <w:rFonts w:ascii="Cambria Math" w:hAnsi="Cambria Math" w:cs="Arial"/>
            <w:lang w:val="en-US"/>
          </w:rPr>
          <m:t>)</m:t>
        </m:r>
      </m:oMath>
      <w:r w:rsidRPr="001232F5">
        <w:rPr>
          <w:rFonts w:ascii="Arial" w:eastAsiaTheme="minorEastAsia" w:hAnsi="Arial" w:cs="Arial"/>
          <w:lang w:val="en-US"/>
        </w:rPr>
        <w:t xml:space="preserve"> </w:t>
      </w:r>
      <w:r w:rsidRPr="001232F5">
        <w:rPr>
          <w:rFonts w:ascii="Arial" w:hAnsi="Arial" w:cs="Arial"/>
          <w:lang w:val="en-US"/>
        </w:rPr>
        <w:t>is a spatial random effect modeled as a Gaussian random field (GRF) with Matérn covariance structure, approximated via the SPDE approach fitted on a triangular mesh over the Loreto region</w:t>
      </w:r>
    </w:p>
    <w:p w14:paraId="3CCB7C1B" w14:textId="77777777" w:rsidR="006D07C7" w:rsidRPr="001232F5" w:rsidRDefault="00000000" w:rsidP="006D07C7">
      <w:pPr>
        <w:pStyle w:val="ListParagraph"/>
        <w:numPr>
          <w:ilvl w:val="0"/>
          <w:numId w:val="8"/>
        </w:numPr>
        <w:spacing w:after="120" w:line="360" w:lineRule="auto"/>
        <w:jc w:val="both"/>
        <w:rPr>
          <w:rFonts w:ascii="Arial" w:eastAsiaTheme="minorEastAsia" w:hAnsi="Arial" w:cs="Arial"/>
          <w:lang w:val="en-US"/>
        </w:rPr>
      </w:pPr>
      <m:oMath>
        <m:sSub>
          <m:sSubPr>
            <m:ctrlPr>
              <w:rPr>
                <w:rFonts w:ascii="Cambria Math" w:eastAsia="Times New Roman" w:hAnsi="Cambria Math" w:cs="Arial"/>
                <w:kern w:val="0"/>
                <w:lang w:eastAsia="es-MX"/>
                <w14:ligatures w14:val="none"/>
              </w:rPr>
            </m:ctrlPr>
          </m:sSubPr>
          <m:e>
            <m:r>
              <w:rPr>
                <w:rFonts w:ascii="Cambria Math" w:eastAsia="Times New Roman" w:hAnsi="Cambria Math" w:cs="Arial"/>
                <w:kern w:val="0"/>
                <w:lang w:eastAsia="es-MX"/>
                <w14:ligatures w14:val="none"/>
              </w:rPr>
              <m:t>v</m:t>
            </m:r>
          </m:e>
          <m:sub>
            <m:r>
              <w:rPr>
                <w:rFonts w:ascii="Cambria Math" w:eastAsia="Times New Roman" w:hAnsi="Cambria Math" w:cs="Arial"/>
                <w:kern w:val="0"/>
                <w:lang w:eastAsia="es-MX"/>
                <w14:ligatures w14:val="none"/>
              </w:rPr>
              <m:t>t</m:t>
            </m:r>
          </m:sub>
        </m:sSub>
      </m:oMath>
      <w:r w:rsidR="006D07C7" w:rsidRPr="001232F5">
        <w:rPr>
          <w:rFonts w:ascii="Arial" w:eastAsiaTheme="minorEastAsia" w:hAnsi="Arial" w:cs="Arial"/>
          <w:kern w:val="0"/>
          <w:lang w:val="en-US" w:eastAsia="es-MX"/>
          <w14:ligatures w14:val="none"/>
        </w:rPr>
        <w:t xml:space="preserve"> </w:t>
      </w:r>
      <w:r w:rsidR="006D07C7" w:rsidRPr="001232F5">
        <w:rPr>
          <w:rFonts w:ascii="Arial" w:hAnsi="Arial" w:cs="Arial"/>
          <w:lang w:val="en-US"/>
        </w:rPr>
        <w:t>is a temporal random effect modeled as a second-order random walk (RW2), allowing for smooth nonlinear temporal variation over the study period</w:t>
      </w:r>
    </w:p>
    <w:p w14:paraId="1ADDA0E6" w14:textId="0A25B92A" w:rsidR="00E41F2D" w:rsidRPr="001232F5" w:rsidRDefault="00000000" w:rsidP="006D07C7">
      <w:pPr>
        <w:pStyle w:val="Textoplano"/>
        <w:numPr>
          <w:ilvl w:val="0"/>
          <w:numId w:val="8"/>
        </w:numPr>
        <w:rPr>
          <w:rFonts w:eastAsiaTheme="minorEastAsia"/>
        </w:rPr>
      </w:pPr>
      <m:oMath>
        <m:sSub>
          <m:sSubPr>
            <m:ctrlPr>
              <w:rPr>
                <w:rFonts w:ascii="Cambria Math" w:eastAsia="Times New Roman" w:hAnsi="Cambria Math"/>
                <w:kern w:val="0"/>
                <w:lang w:eastAsia="es-MX"/>
                <w14:ligatures w14:val="none"/>
              </w:rPr>
            </m:ctrlPr>
          </m:sSubPr>
          <m:e>
            <m:r>
              <w:rPr>
                <w:rFonts w:ascii="Cambria Math" w:eastAsia="Times New Roman" w:hAnsi="Cambria Math"/>
                <w:kern w:val="0"/>
                <w:lang w:eastAsia="es-MX"/>
                <w14:ligatures w14:val="none"/>
              </w:rPr>
              <m:t>w</m:t>
            </m:r>
          </m:e>
          <m:sub>
            <m:r>
              <w:rPr>
                <w:rFonts w:ascii="Cambria Math" w:eastAsia="Times New Roman" w:hAnsi="Cambria Math"/>
                <w:kern w:val="0"/>
                <w:lang w:eastAsia="es-MX"/>
                <w14:ligatures w14:val="none"/>
              </w:rPr>
              <m:t>p(i)</m:t>
            </m:r>
          </m:sub>
        </m:sSub>
      </m:oMath>
      <w:r w:rsidR="006D07C7" w:rsidRPr="001232F5">
        <w:rPr>
          <w:rFonts w:eastAsiaTheme="minorEastAsia"/>
          <w:kern w:val="0"/>
          <w:lang w:eastAsia="es-MX"/>
          <w14:ligatures w14:val="none"/>
        </w:rPr>
        <w:t xml:space="preserve"> i</w:t>
      </w:r>
      <w:proofErr w:type="spellStart"/>
      <w:r w:rsidR="006D07C7" w:rsidRPr="001232F5">
        <w:t>s</w:t>
      </w:r>
      <w:proofErr w:type="spellEnd"/>
      <w:r w:rsidR="006D07C7" w:rsidRPr="001232F5">
        <w:t xml:space="preserve"> a province-level iid random effect capturing residual heterogeneity at an intermediate spatial scale (included only in selected model specifications</w:t>
      </w:r>
      <w:r w:rsidR="00327E04" w:rsidRPr="001232F5">
        <w:t>)</w:t>
      </w:r>
    </w:p>
    <w:p w14:paraId="16333B5C" w14:textId="5DF28FDD" w:rsidR="00E41F2D" w:rsidRPr="001232F5" w:rsidRDefault="00E41F2D" w:rsidP="00327E04">
      <w:pPr>
        <w:pStyle w:val="Textoplano"/>
        <w:rPr>
          <w:u w:val="single"/>
        </w:rPr>
      </w:pPr>
      <w:r w:rsidRPr="001232F5">
        <w:rPr>
          <w:u w:val="single"/>
        </w:rPr>
        <w:t>Prior specifications</w:t>
      </w:r>
    </w:p>
    <w:p w14:paraId="36794EBC" w14:textId="2842AB40" w:rsidR="003843FD" w:rsidRPr="001232F5" w:rsidRDefault="00065E19" w:rsidP="00065E19">
      <w:pPr>
        <w:pStyle w:val="Textoplano"/>
      </w:pPr>
      <w:r w:rsidRPr="001232F5">
        <w:t xml:space="preserve">Penalized complexity (PC) priors were specified for all random effects in the education models. For the temporal random effect (RW2), a PC prior was specified as </w:t>
      </w:r>
      <m:oMath>
        <m:r>
          <w:rPr>
            <w:rFonts w:ascii="Cambria Math" w:hAnsi="Cambria Math"/>
          </w:rPr>
          <m:t>P</m:t>
        </m:r>
        <m:r>
          <m:rPr>
            <m:sty m:val="p"/>
          </m:rPr>
          <w:rPr>
            <w:rFonts w:ascii="Cambria Math" w:hAnsi="Cambria Math"/>
          </w:rPr>
          <m:t>(</m:t>
        </m:r>
        <m:r>
          <w:rPr>
            <w:rFonts w:ascii="Cambria Math" w:hAnsi="Cambria Math"/>
          </w:rPr>
          <m:t>σ</m:t>
        </m:r>
        <m:r>
          <m:rPr>
            <m:sty m:val="p"/>
          </m:rPr>
          <w:rPr>
            <w:rFonts w:ascii="Cambria Math" w:hAnsi="Cambria Math"/>
          </w:rPr>
          <m:t>&gt;1.0)=0.01</m:t>
        </m:r>
      </m:oMath>
      <w:r w:rsidRPr="001232F5">
        <w:t xml:space="preserve">. For the province-level iid random effect included in some model candidates, the same PC prior structure was applied: </w:t>
      </w:r>
      <m:oMath>
        <m:r>
          <w:rPr>
            <w:rFonts w:ascii="Cambria Math" w:hAnsi="Cambria Math"/>
          </w:rPr>
          <m:t>P</m:t>
        </m:r>
        <m:r>
          <m:rPr>
            <m:sty m:val="p"/>
          </m:rPr>
          <w:rPr>
            <w:rFonts w:ascii="Cambria Math" w:hAnsi="Cambria Math"/>
          </w:rPr>
          <m:t>(</m:t>
        </m:r>
        <m:r>
          <w:rPr>
            <w:rFonts w:ascii="Cambria Math" w:hAnsi="Cambria Math"/>
          </w:rPr>
          <m:t>σ</m:t>
        </m:r>
        <m:r>
          <m:rPr>
            <m:sty m:val="p"/>
          </m:rPr>
          <w:rPr>
            <w:rFonts w:ascii="Cambria Math" w:hAnsi="Cambria Math"/>
          </w:rPr>
          <m:t>&gt;1.0)=0.01</m:t>
        </m:r>
      </m:oMath>
      <w:r w:rsidRPr="001232F5">
        <w:t>. PC priors for the spatial field (SPDE) are described in the Spatial random effects section below</w:t>
      </w:r>
      <w:r w:rsidR="00927D4D" w:rsidRPr="001232F5">
        <w:t>.</w:t>
      </w:r>
    </w:p>
    <w:p w14:paraId="167F51D4" w14:textId="2AFC91FD" w:rsidR="00E41F2D" w:rsidRPr="001232F5" w:rsidRDefault="00E41F2D" w:rsidP="00065E19">
      <w:pPr>
        <w:pStyle w:val="Textoplano"/>
      </w:pPr>
      <w:r w:rsidRPr="001232F5">
        <w:t>Spatial random effects</w:t>
      </w:r>
    </w:p>
    <w:p w14:paraId="6DA7A65E" w14:textId="085B2F14" w:rsidR="00C31FE7" w:rsidRPr="001232F5" w:rsidRDefault="00C31FE7" w:rsidP="00065E19">
      <w:pPr>
        <w:pStyle w:val="Textoplano"/>
      </w:pPr>
      <w:r w:rsidRPr="001232F5">
        <w:t xml:space="preserve">The spatial random effect </w:t>
      </w:r>
      <m:oMath>
        <m:r>
          <w:rPr>
            <w:rFonts w:ascii="Cambria Math" w:hAnsi="Cambria Math"/>
          </w:rPr>
          <m:t>ξ</m:t>
        </m:r>
        <m:r>
          <m:rPr>
            <m:sty m:val="p"/>
          </m:rPr>
          <w:rPr>
            <w:rFonts w:ascii="Cambria Math" w:hAnsi="Cambria Math"/>
          </w:rPr>
          <m:t>(</m:t>
        </m:r>
        <m:sSub>
          <m:sSubPr>
            <m:ctrlPr>
              <w:rPr>
                <w:rFonts w:ascii="Cambria Math" w:hAnsi="Cambria Math"/>
              </w:rPr>
            </m:ctrlPr>
          </m:sSubPr>
          <m:e>
            <m:r>
              <m:rPr>
                <m:sty m:val="b"/>
              </m:rPr>
              <w:rPr>
                <w:rFonts w:ascii="Cambria Math" w:hAnsi="Cambria Math"/>
              </w:rPr>
              <m:t>s</m:t>
            </m:r>
          </m:e>
          <m:sub>
            <m:r>
              <w:rPr>
                <w:rFonts w:ascii="Cambria Math" w:hAnsi="Cambria Math"/>
              </w:rPr>
              <m:t>i</m:t>
            </m:r>
          </m:sub>
        </m:sSub>
        <m:r>
          <m:rPr>
            <m:sty m:val="p"/>
          </m:rPr>
          <w:rPr>
            <w:rFonts w:ascii="Cambria Math" w:hAnsi="Cambria Math"/>
          </w:rPr>
          <m:t>)</m:t>
        </m:r>
      </m:oMath>
      <w:r w:rsidR="00741599" w:rsidRPr="001232F5">
        <w:t xml:space="preserve"> </w:t>
      </w:r>
      <w:r w:rsidRPr="001232F5">
        <w:t>is modeled as a Gaussian random field with Matérn covariance structure using the stochastic partial differential equation (SPDE) approach:</w:t>
      </w:r>
    </w:p>
    <w:p w14:paraId="53A66732" w14:textId="06860B5F" w:rsidR="00C31FE7" w:rsidRPr="001232F5" w:rsidRDefault="00000000" w:rsidP="00327E04">
      <w:pPr>
        <w:pStyle w:val="Textoplano"/>
      </w:pPr>
      <m:oMathPara>
        <m:oMath>
          <m:d>
            <m:dPr>
              <m:ctrlPr>
                <w:rPr>
                  <w:rFonts w:ascii="Cambria Math" w:hAnsi="Cambria Math"/>
                </w:rPr>
              </m:ctrlPr>
            </m:dPr>
            <m:e>
              <m:sSup>
                <m:sSupPr>
                  <m:ctrlPr>
                    <w:rPr>
                      <w:rFonts w:ascii="Cambria Math" w:hAnsi="Cambria Math"/>
                    </w:rPr>
                  </m:ctrlPr>
                </m:sSupPr>
                <m:e>
                  <m:r>
                    <w:rPr>
                      <w:rFonts w:ascii="Cambria Math" w:hAnsi="Cambria Math"/>
                    </w:rPr>
                    <m:t>κ</m:t>
                  </m:r>
                </m:e>
                <m:sup>
                  <m:r>
                    <w:rPr>
                      <w:rFonts w:ascii="Cambria Math" w:hAnsi="Cambria Math"/>
                    </w:rPr>
                    <m:t>2</m:t>
                  </m:r>
                </m:sup>
              </m:sSup>
              <m:r>
                <w:rPr>
                  <w:rFonts w:ascii="Cambria Math" w:hAnsi="Cambria Math"/>
                </w:rPr>
                <m:t>-</m:t>
              </m:r>
              <m:r>
                <m:rPr>
                  <m:sty m:val="p"/>
                </m:rPr>
                <w:rPr>
                  <w:rFonts w:ascii="Cambria Math" w:hAnsi="Cambria Math"/>
                </w:rPr>
                <m:t>Δ</m:t>
              </m:r>
              <m:sSup>
                <m:sSupPr>
                  <m:ctrlPr>
                    <w:rPr>
                      <w:rFonts w:ascii="Cambria Math" w:hAnsi="Cambria Math"/>
                    </w:rPr>
                  </m:ctrlPr>
                </m:sSupPr>
                <m:e>
                  <m:r>
                    <w:rPr>
                      <w:rFonts w:ascii="Cambria Math" w:hAnsi="Cambria Math"/>
                    </w:rPr>
                    <m:t>)</m:t>
                  </m:r>
                </m:e>
                <m:sup>
                  <m:r>
                    <w:rPr>
                      <w:rFonts w:ascii="Cambria Math" w:hAnsi="Cambria Math"/>
                    </w:rPr>
                    <m:t>α</m:t>
                  </m:r>
                  <m:r>
                    <m:rPr>
                      <m:sty m:val="p"/>
                    </m:rPr>
                    <w:rPr>
                      <w:rFonts w:ascii="Cambria Math" w:hAnsi="Cambria Math"/>
                    </w:rPr>
                    <m:t>/</m:t>
                  </m:r>
                  <m:r>
                    <w:rPr>
                      <w:rFonts w:ascii="Cambria Math" w:hAnsi="Cambria Math"/>
                    </w:rPr>
                    <m:t>2</m:t>
                  </m:r>
                </m:sup>
              </m:sSup>
              <m:r>
                <w:rPr>
                  <w:rFonts w:ascii="Cambria Math" w:hAnsi="Cambria Math"/>
                </w:rPr>
                <m:t>ξ(s)=W(</m:t>
              </m:r>
              <m:r>
                <m:rPr>
                  <m:sty m:val="b"/>
                </m:rPr>
                <w:rPr>
                  <w:rFonts w:ascii="Cambria Math" w:hAnsi="Cambria Math"/>
                </w:rPr>
                <m:t>s</m:t>
              </m:r>
            </m:e>
          </m:d>
        </m:oMath>
      </m:oMathPara>
    </w:p>
    <w:p w14:paraId="27440EDF" w14:textId="5F48C90B" w:rsidR="00C31FE7" w:rsidRPr="001232F5" w:rsidRDefault="00C31FE7" w:rsidP="00327E04">
      <w:pPr>
        <w:pStyle w:val="Textoplano"/>
      </w:pPr>
      <w:r w:rsidRPr="001232F5">
        <w:t xml:space="preserve">where </w:t>
      </w:r>
      <m:oMath>
        <m:r>
          <w:rPr>
            <w:rFonts w:ascii="Cambria Math" w:hAnsi="Cambria Math"/>
          </w:rPr>
          <m:t>W(</m:t>
        </m:r>
        <m:r>
          <m:rPr>
            <m:sty m:val="b"/>
          </m:rPr>
          <w:rPr>
            <w:rFonts w:ascii="Cambria Math" w:hAnsi="Cambria Math"/>
          </w:rPr>
          <m:t>s</m:t>
        </m:r>
        <m:r>
          <w:rPr>
            <w:rFonts w:ascii="Cambria Math" w:hAnsi="Cambria Math"/>
          </w:rPr>
          <m:t xml:space="preserve">) </m:t>
        </m:r>
      </m:oMath>
      <w:r w:rsidRPr="001232F5">
        <w:t xml:space="preserve">is Gaussian white noise, </w:t>
      </w:r>
      <m:oMath>
        <m:r>
          <m:rPr>
            <m:sty m:val="b"/>
          </m:rPr>
          <w:rPr>
            <w:rFonts w:ascii="Cambria Math" w:hAnsi="Cambria Math"/>
          </w:rPr>
          <m:t>Δ</m:t>
        </m:r>
      </m:oMath>
      <w:r w:rsidR="00741599" w:rsidRPr="001232F5">
        <w:rPr>
          <w:rFonts w:eastAsiaTheme="minorEastAsia"/>
        </w:rPr>
        <w:t xml:space="preserve"> </w:t>
      </w:r>
      <w:r w:rsidRPr="001232F5">
        <w:t xml:space="preserve">is the Laplacian operator, and </w:t>
      </w:r>
      <m:oMath>
        <m:r>
          <w:rPr>
            <w:rFonts w:ascii="Cambria Math" w:hAnsi="Cambria Math"/>
          </w:rPr>
          <m:t>κ</m:t>
        </m:r>
      </m:oMath>
      <w:r w:rsidR="00741599" w:rsidRPr="001232F5">
        <w:rPr>
          <w:rFonts w:eastAsiaTheme="minorEastAsia"/>
        </w:rPr>
        <w:t xml:space="preserve"> </w:t>
      </w:r>
      <w:proofErr w:type="spellStart"/>
      <w:r w:rsidRPr="001232F5">
        <w:t>and</w:t>
      </w:r>
      <w:proofErr w:type="spellEnd"/>
      <w:r w:rsidRPr="001232F5">
        <w:t xml:space="preserve"> </w:t>
      </w:r>
      <m:oMath>
        <m:r>
          <w:rPr>
            <w:rFonts w:ascii="Cambria Math" w:hAnsi="Cambria Math"/>
          </w:rPr>
          <m:t>α</m:t>
        </m:r>
      </m:oMath>
      <w:r w:rsidR="00741599" w:rsidRPr="001232F5">
        <w:rPr>
          <w:rFonts w:eastAsiaTheme="minorEastAsia"/>
        </w:rPr>
        <w:t xml:space="preserve"> </w:t>
      </w:r>
      <w:r w:rsidRPr="001232F5">
        <w:t>control the spatial scale and smoothness of the field.</w:t>
      </w:r>
      <w:r w:rsidR="0097696D" w:rsidRPr="001232F5">
        <w:t xml:space="preserve"> The field was approximated using </w:t>
      </w:r>
      <m:oMath>
        <m:r>
          <w:rPr>
            <w:rFonts w:ascii="Cambria Math" w:hAnsi="Cambria Math"/>
          </w:rPr>
          <m:t>α=2</m:t>
        </m:r>
      </m:oMath>
      <w:r w:rsidR="0097696D" w:rsidRPr="001232F5">
        <w:rPr>
          <w:rFonts w:eastAsiaTheme="minorEastAsia"/>
        </w:rPr>
        <w:t xml:space="preserve"> </w:t>
      </w:r>
      <w:r w:rsidR="0097696D" w:rsidRPr="001232F5">
        <w:t xml:space="preserve">(equivalent to smoothness </w:t>
      </w:r>
      <m:oMath>
        <m:r>
          <w:rPr>
            <w:rFonts w:ascii="Cambria Math" w:hAnsi="Cambria Math"/>
          </w:rPr>
          <m:t>ν=1</m:t>
        </m:r>
      </m:oMath>
      <w:r w:rsidR="0097696D" w:rsidRPr="001232F5">
        <w:t>)</w:t>
      </w:r>
      <w:r w:rsidR="0097696D" w:rsidRPr="001232F5">
        <w:rPr>
          <w:rFonts w:eastAsiaTheme="minorEastAsia"/>
        </w:rPr>
        <w:t>.</w:t>
      </w:r>
      <w:r w:rsidRPr="001232F5">
        <w:t xml:space="preserve"> </w:t>
      </w:r>
      <w:r w:rsidR="0097696D" w:rsidRPr="001232F5">
        <w:t xml:space="preserve">The model is parameterized in terms of the marginal standard deviation </w:t>
      </w:r>
      <m:oMath>
        <m:sSub>
          <m:sSubPr>
            <m:ctrlPr>
              <w:rPr>
                <w:rFonts w:ascii="Cambria Math" w:hAnsi="Cambria Math"/>
              </w:rPr>
            </m:ctrlPr>
          </m:sSubPr>
          <m:e>
            <m:r>
              <w:rPr>
                <w:rFonts w:ascii="Cambria Math" w:hAnsi="Cambria Math"/>
              </w:rPr>
              <m:t>σ</m:t>
            </m:r>
          </m:e>
          <m:sub>
            <m:r>
              <w:rPr>
                <w:rFonts w:ascii="Cambria Math" w:hAnsi="Cambria Math"/>
              </w:rPr>
              <m:t>ξ</m:t>
            </m:r>
          </m:sub>
        </m:sSub>
      </m:oMath>
      <w:r w:rsidR="0097696D" w:rsidRPr="001232F5">
        <w:rPr>
          <w:rFonts w:eastAsiaTheme="minorEastAsia"/>
        </w:rPr>
        <w:t xml:space="preserve"> </w:t>
      </w:r>
      <w:r w:rsidR="0097696D" w:rsidRPr="001232F5">
        <w:t xml:space="preserve">and spatial range </w:t>
      </w:r>
      <m:oMath>
        <m:sSub>
          <m:sSubPr>
            <m:ctrlPr>
              <w:rPr>
                <w:rFonts w:ascii="Cambria Math" w:hAnsi="Cambria Math"/>
              </w:rPr>
            </m:ctrlPr>
          </m:sSubPr>
          <m:e>
            <m:r>
              <w:rPr>
                <w:rFonts w:ascii="Cambria Math" w:hAnsi="Cambria Math"/>
              </w:rPr>
              <m:t>ρ</m:t>
            </m:r>
          </m:e>
          <m:sub>
            <m:r>
              <w:rPr>
                <w:rFonts w:ascii="Cambria Math" w:hAnsi="Cambria Math"/>
              </w:rPr>
              <m:t>ξ</m:t>
            </m:r>
          </m:sub>
        </m:sSub>
      </m:oMath>
      <w:r w:rsidR="0097696D" w:rsidRPr="001232F5">
        <w:t xml:space="preserve">, where </w:t>
      </w:r>
      <m:oMath>
        <m:sSub>
          <m:sSubPr>
            <m:ctrlPr>
              <w:rPr>
                <w:rFonts w:ascii="Cambria Math" w:hAnsi="Cambria Math"/>
              </w:rPr>
            </m:ctrlPr>
          </m:sSubPr>
          <m:e>
            <m:r>
              <w:rPr>
                <w:rFonts w:ascii="Cambria Math" w:hAnsi="Cambria Math"/>
              </w:rPr>
              <m:t>ρ</m:t>
            </m:r>
          </m:e>
          <m:sub>
            <m:r>
              <w:rPr>
                <w:rFonts w:ascii="Cambria Math" w:hAnsi="Cambria Math"/>
              </w:rPr>
              <m:t>ξ</m:t>
            </m:r>
          </m:sub>
        </m:sSub>
      </m:oMath>
      <w:r w:rsidR="0097696D" w:rsidRPr="001232F5">
        <w:rPr>
          <w:rFonts w:eastAsiaTheme="minorEastAsia"/>
        </w:rPr>
        <w:t xml:space="preserve"> </w:t>
      </w:r>
      <w:r w:rsidR="0097696D" w:rsidRPr="001232F5">
        <w:t xml:space="preserve">represents the distance beyond which spatial correlation becomes negligible and </w:t>
      </w:r>
      <m:oMath>
        <m:sSub>
          <m:sSubPr>
            <m:ctrlPr>
              <w:rPr>
                <w:rFonts w:ascii="Cambria Math" w:hAnsi="Cambria Math"/>
              </w:rPr>
            </m:ctrlPr>
          </m:sSubPr>
          <m:e>
            <m:r>
              <w:rPr>
                <w:rFonts w:ascii="Cambria Math" w:hAnsi="Cambria Math"/>
              </w:rPr>
              <m:t>σ</m:t>
            </m:r>
          </m:e>
          <m:sub>
            <m:r>
              <w:rPr>
                <w:rFonts w:ascii="Cambria Math" w:hAnsi="Cambria Math"/>
              </w:rPr>
              <m:t>ξ</m:t>
            </m:r>
          </m:sub>
        </m:sSub>
      </m:oMath>
      <w:r w:rsidR="0097696D" w:rsidRPr="001232F5">
        <w:rPr>
          <w:rFonts w:eastAsiaTheme="minorEastAsia"/>
        </w:rPr>
        <w:t xml:space="preserve"> </w:t>
      </w:r>
      <w:r w:rsidR="0097696D" w:rsidRPr="001232F5">
        <w:t>governs the magnitude of spatial variability. The triangulated mesh was constructed over the observed PSU coordinates constrained to the boundary of the Loreto region, with an interior maximum edge length of 0.25°, an outer buffer of 0.5° with maximum edge length of 0.6°, a cut-off distance of 0.08° to avoid redundant nodes in dense PSU clusters, and a boundary offset of 0.1°. Penalized complexity priors were placed on the range (</w:t>
      </w:r>
      <m:oMath>
        <m:r>
          <w:rPr>
            <w:rFonts w:ascii="Cambria Math" w:hAnsi="Cambria Math"/>
          </w:rPr>
          <m:t>P(</m:t>
        </m:r>
        <m:sSub>
          <m:sSubPr>
            <m:ctrlPr>
              <w:rPr>
                <w:rFonts w:ascii="Cambria Math" w:hAnsi="Cambria Math"/>
              </w:rPr>
            </m:ctrlPr>
          </m:sSubPr>
          <m:e>
            <m:r>
              <w:rPr>
                <w:rFonts w:ascii="Cambria Math" w:hAnsi="Cambria Math"/>
              </w:rPr>
              <m:t>ρ</m:t>
            </m:r>
          </m:e>
          <m:sub>
            <m:r>
              <w:rPr>
                <w:rFonts w:ascii="Cambria Math" w:hAnsi="Cambria Math"/>
              </w:rPr>
              <m:t>ξ</m:t>
            </m:r>
          </m:sub>
        </m:sSub>
        <m:r>
          <w:rPr>
            <w:rFonts w:ascii="Cambria Math" w:hAnsi="Cambria Math"/>
          </w:rPr>
          <m:t>&gt;1.0</m:t>
        </m:r>
        <m:r>
          <m:rPr>
            <m:sty m:val="p"/>
          </m:rPr>
          <w:rPr>
            <w:rFonts w:ascii="Cambria Math" w:hAnsi="Cambria Math"/>
          </w:rPr>
          <m:t>°</m:t>
        </m:r>
        <m:r>
          <w:rPr>
            <w:rFonts w:ascii="Cambria Math" w:hAnsi="Cambria Math"/>
          </w:rPr>
          <m:t>)=0.01</m:t>
        </m:r>
      </m:oMath>
      <w:r w:rsidR="0097696D" w:rsidRPr="001232F5">
        <w:t>) and marginal standard deviation (</w:t>
      </w:r>
      <m:oMath>
        <m:r>
          <w:rPr>
            <w:rFonts w:ascii="Cambria Math" w:hAnsi="Cambria Math"/>
          </w:rPr>
          <m:t>P(</m:t>
        </m:r>
        <m:sSub>
          <m:sSubPr>
            <m:ctrlPr>
              <w:rPr>
                <w:rFonts w:ascii="Cambria Math" w:hAnsi="Cambria Math"/>
              </w:rPr>
            </m:ctrlPr>
          </m:sSubPr>
          <m:e>
            <m:r>
              <w:rPr>
                <w:rFonts w:ascii="Cambria Math" w:hAnsi="Cambria Math"/>
              </w:rPr>
              <m:t>σ</m:t>
            </m:r>
          </m:e>
          <m:sub>
            <m:r>
              <w:rPr>
                <w:rFonts w:ascii="Cambria Math" w:hAnsi="Cambria Math"/>
              </w:rPr>
              <m:t>ξ</m:t>
            </m:r>
          </m:sub>
        </m:sSub>
        <m:r>
          <w:rPr>
            <w:rFonts w:ascii="Cambria Math" w:hAnsi="Cambria Math"/>
          </w:rPr>
          <m:t>&gt;1.0)=0.01</m:t>
        </m:r>
      </m:oMath>
      <w:r w:rsidR="0097696D" w:rsidRPr="001232F5">
        <w:t>).</w:t>
      </w:r>
    </w:p>
    <w:p w14:paraId="38F11954" w14:textId="55915FBD" w:rsidR="00E41F2D" w:rsidRPr="001232F5" w:rsidRDefault="00E41F2D" w:rsidP="00327E04">
      <w:pPr>
        <w:pStyle w:val="Textoplano"/>
        <w:rPr>
          <w:u w:val="single"/>
        </w:rPr>
      </w:pPr>
      <w:r w:rsidRPr="001232F5">
        <w:rPr>
          <w:u w:val="single"/>
        </w:rPr>
        <w:t>Temporal random effects</w:t>
      </w:r>
    </w:p>
    <w:p w14:paraId="061C0840" w14:textId="77777777" w:rsidR="00741599" w:rsidRPr="001232F5" w:rsidRDefault="00741599" w:rsidP="00327E04">
      <w:pPr>
        <w:pStyle w:val="Textoplano"/>
      </w:pPr>
      <w:r w:rsidRPr="001232F5">
        <w:t>Temporal dependence is modeled through a second-order random walk process:</w:t>
      </w:r>
    </w:p>
    <w:p w14:paraId="7C753A84" w14:textId="77777777" w:rsidR="00741599" w:rsidRPr="001232F5" w:rsidRDefault="00000000" w:rsidP="00327E04">
      <w:pPr>
        <w:pStyle w:val="Textoplano"/>
      </w:pPr>
      <m:oMathPara>
        <m:oMath>
          <m:sSub>
            <m:sSubPr>
              <m:ctrlPr>
                <w:rPr>
                  <w:rFonts w:ascii="Cambria Math" w:hAnsi="Cambria Math"/>
                </w:rPr>
              </m:ctrlPr>
            </m:sSubPr>
            <m:e>
              <m:r>
                <w:rPr>
                  <w:rFonts w:ascii="Cambria Math" w:hAnsi="Cambria Math"/>
                </w:rPr>
                <m:t>v</m:t>
              </m:r>
            </m:e>
            <m:sub>
              <m:r>
                <w:rPr>
                  <w:rFonts w:ascii="Cambria Math" w:hAnsi="Cambria Math"/>
                </w:rPr>
                <m:t>t</m:t>
              </m:r>
            </m:sub>
          </m:sSub>
          <m:r>
            <w:rPr>
              <w:rFonts w:ascii="Cambria Math" w:hAnsi="Cambria Math"/>
            </w:rPr>
            <m:t>-2</m:t>
          </m:r>
          <m:sSub>
            <m:sSubPr>
              <m:ctrlPr>
                <w:rPr>
                  <w:rFonts w:ascii="Cambria Math" w:hAnsi="Cambria Math"/>
                </w:rPr>
              </m:ctrlPr>
            </m:sSubPr>
            <m:e>
              <m:r>
                <w:rPr>
                  <w:rFonts w:ascii="Cambria Math" w:hAnsi="Cambria Math"/>
                </w:rPr>
                <m:t>v</m:t>
              </m:r>
            </m:e>
            <m:sub>
              <m:r>
                <w:rPr>
                  <w:rFonts w:ascii="Cambria Math" w:hAnsi="Cambria Math"/>
                </w:rPr>
                <m:t>t-1</m:t>
              </m:r>
            </m:sub>
          </m:sSub>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t-2</m:t>
              </m:r>
            </m:sub>
          </m:sSub>
          <m:r>
            <m:rPr>
              <m:scr m:val="script"/>
            </m:rPr>
            <w:rPr>
              <w:rFonts w:ascii="Cambria Math" w:hAnsi="Cambria Math"/>
            </w:rPr>
            <m:t>∼N</m:t>
          </m:r>
          <m:r>
            <w:rPr>
              <w:rFonts w:ascii="Cambria Math" w:hAnsi="Cambria Math"/>
            </w:rPr>
            <m:t>(0,</m:t>
          </m:r>
          <m:sSubSup>
            <m:sSubSupPr>
              <m:ctrlPr>
                <w:rPr>
                  <w:rFonts w:ascii="Cambria Math" w:hAnsi="Cambria Math"/>
                </w:rPr>
              </m:ctrlPr>
            </m:sSubSupPr>
            <m:e>
              <m:r>
                <w:rPr>
                  <w:rFonts w:ascii="Cambria Math" w:hAnsi="Cambria Math"/>
                </w:rPr>
                <m:t>τ</m:t>
              </m:r>
            </m:e>
            <m:sub>
              <m:r>
                <w:rPr>
                  <w:rFonts w:ascii="Cambria Math" w:hAnsi="Cambria Math"/>
                </w:rPr>
                <m:t>v</m:t>
              </m:r>
            </m:sub>
            <m:sup>
              <m:r>
                <w:rPr>
                  <w:rFonts w:ascii="Cambria Math" w:hAnsi="Cambria Math"/>
                </w:rPr>
                <m:t>-1</m:t>
              </m:r>
            </m:sup>
          </m:sSubSup>
          <m:r>
            <w:rPr>
              <w:rFonts w:ascii="Cambria Math" w:hAnsi="Cambria Math"/>
            </w:rPr>
            <m:t>)</m:t>
          </m:r>
        </m:oMath>
      </m:oMathPara>
    </w:p>
    <w:p w14:paraId="0FF4B5DE" w14:textId="313EE68E" w:rsidR="00927D4D" w:rsidRPr="001232F5" w:rsidRDefault="00741599" w:rsidP="00327E04">
      <w:pPr>
        <w:pStyle w:val="Textoplano"/>
        <w:rPr>
          <w:lang w:eastAsia="es-MX"/>
        </w:rPr>
      </w:pPr>
      <w:r w:rsidRPr="001232F5">
        <w:t xml:space="preserve">where </w:t>
      </w:r>
      <m:oMath>
        <m:sSub>
          <m:sSubPr>
            <m:ctrlPr>
              <w:rPr>
                <w:rFonts w:ascii="Cambria Math" w:hAnsi="Cambria Math"/>
              </w:rPr>
            </m:ctrlPr>
          </m:sSubPr>
          <m:e>
            <m:r>
              <w:rPr>
                <w:rFonts w:ascii="Cambria Math" w:hAnsi="Cambria Math"/>
              </w:rPr>
              <m:t>v</m:t>
            </m:r>
          </m:e>
          <m:sub>
            <m:r>
              <w:rPr>
                <w:rFonts w:ascii="Cambria Math" w:hAnsi="Cambria Math"/>
              </w:rPr>
              <m:t>t</m:t>
            </m:r>
          </m:sub>
        </m:sSub>
      </m:oMath>
      <w:r w:rsidRPr="001232F5">
        <w:t xml:space="preserve">denotes the temporal random effect at time </w:t>
      </w:r>
      <m:oMath>
        <m:r>
          <w:rPr>
            <w:rFonts w:ascii="Cambria Math" w:hAnsi="Cambria Math"/>
          </w:rPr>
          <m:t>t</m:t>
        </m:r>
      </m:oMath>
      <w:r w:rsidRPr="001232F5">
        <w:t xml:space="preserve">, and </w:t>
      </w:r>
      <m:oMath>
        <m:sSub>
          <m:sSubPr>
            <m:ctrlPr>
              <w:rPr>
                <w:rFonts w:ascii="Cambria Math" w:hAnsi="Cambria Math"/>
              </w:rPr>
            </m:ctrlPr>
          </m:sSubPr>
          <m:e>
            <m:r>
              <w:rPr>
                <w:rFonts w:ascii="Cambria Math" w:hAnsi="Cambria Math"/>
              </w:rPr>
              <m:t>τ</m:t>
            </m:r>
          </m:e>
          <m:sub>
            <m:r>
              <w:rPr>
                <w:rFonts w:ascii="Cambria Math" w:hAnsi="Cambria Math"/>
              </w:rPr>
              <m:t>v</m:t>
            </m:r>
          </m:sub>
        </m:sSub>
      </m:oMath>
      <w:r w:rsidRPr="001232F5">
        <w:t>is the precision parameter controlling the degree of smoothness, with larger values implying smoother temporal trajectories. This specification penalizes abrupt changes in the slope of the temporal trend, allowing for flexible but smooth nonlinear temporal evolution.</w:t>
      </w:r>
    </w:p>
    <w:p w14:paraId="4BA885C6" w14:textId="77777777" w:rsidR="00927D4D" w:rsidRPr="001232F5" w:rsidRDefault="00927D4D" w:rsidP="00327E04">
      <w:pPr>
        <w:pStyle w:val="Textoplano"/>
        <w:rPr>
          <w:b/>
          <w:bCs/>
        </w:rPr>
      </w:pPr>
      <w:r w:rsidRPr="001232F5">
        <w:rPr>
          <w:b/>
          <w:bCs/>
        </w:rPr>
        <w:t>Poverty status</w:t>
      </w:r>
    </w:p>
    <w:p w14:paraId="25CC6FB0" w14:textId="77777777" w:rsidR="00327E04" w:rsidRPr="001232F5" w:rsidRDefault="00327E04" w:rsidP="00327E04">
      <w:pPr>
        <w:pStyle w:val="Textoplano"/>
        <w:rPr>
          <w:rFonts w:eastAsia="Times New Roman"/>
          <w:kern w:val="0"/>
          <w:lang w:eastAsia="es-MX"/>
          <w14:ligatures w14:val="none"/>
        </w:rPr>
      </w:pPr>
      <w:r w:rsidRPr="001232F5">
        <w:t>The model is specified hierarchically as</w:t>
      </w:r>
      <w:r w:rsidRPr="001232F5">
        <w:rPr>
          <w:rFonts w:eastAsia="Times New Roman"/>
          <w:kern w:val="0"/>
          <w:lang w:eastAsia="es-MX"/>
          <w14:ligatures w14:val="none"/>
        </w:rPr>
        <w:t>:</w:t>
      </w:r>
    </w:p>
    <w:p w14:paraId="2EE58283" w14:textId="76A9CE8A" w:rsidR="00327E04" w:rsidRPr="001232F5" w:rsidRDefault="00000000" w:rsidP="00327E04">
      <w:pPr>
        <w:pStyle w:val="Textoplano"/>
        <w:rPr>
          <w:rFonts w:eastAsia="Times New Roman"/>
          <w:kern w:val="0"/>
          <w:lang w:eastAsia="es-MX"/>
          <w14:ligatures w14:val="none"/>
        </w:rPr>
      </w:pPr>
      <m:oMathPara>
        <m:oMath>
          <m:sSub>
            <m:sSubPr>
              <m:ctrlPr>
                <w:rPr>
                  <w:rFonts w:ascii="Cambria Math" w:eastAsia="Times New Roman" w:hAnsi="Cambria Math"/>
                  <w:kern w:val="0"/>
                  <w:lang w:eastAsia="es-MX"/>
                  <w14:ligatures w14:val="none"/>
                </w:rPr>
              </m:ctrlPr>
            </m:sSubPr>
            <m:e>
              <m:r>
                <w:rPr>
                  <w:rFonts w:ascii="Cambria Math" w:eastAsia="Times New Roman" w:hAnsi="Cambria Math"/>
                  <w:kern w:val="0"/>
                  <w:lang w:eastAsia="es-MX"/>
                  <w14:ligatures w14:val="none"/>
                </w:rPr>
                <m:t>p</m:t>
              </m:r>
            </m:e>
            <m:sub>
              <m:r>
                <w:rPr>
                  <w:rFonts w:ascii="Cambria Math" w:eastAsia="Times New Roman" w:hAnsi="Cambria Math"/>
                  <w:kern w:val="0"/>
                  <w:lang w:eastAsia="es-MX"/>
                  <w14:ligatures w14:val="none"/>
                </w:rPr>
                <m:t>it</m:t>
              </m:r>
            </m:sub>
          </m:sSub>
          <m:r>
            <m:rPr>
              <m:sty m:val="p"/>
            </m:rPr>
            <w:rPr>
              <w:rFonts w:ascii="Cambria Math" w:eastAsia="Times New Roman" w:hAnsi="Cambria Math"/>
              <w:kern w:val="0"/>
              <w:lang w:eastAsia="es-MX"/>
              <w14:ligatures w14:val="none"/>
            </w:rPr>
            <m:t xml:space="preserve">~ Beta </m:t>
          </m:r>
          <m:d>
            <m:dPr>
              <m:ctrlPr>
                <w:rPr>
                  <w:rFonts w:ascii="Cambria Math" w:eastAsia="Times New Roman" w:hAnsi="Cambria Math"/>
                  <w:kern w:val="0"/>
                  <w:lang w:eastAsia="es-MX"/>
                  <w14:ligatures w14:val="none"/>
                </w:rPr>
              </m:ctrlPr>
            </m:dPr>
            <m:e>
              <m:sSub>
                <m:sSubPr>
                  <m:ctrlPr>
                    <w:rPr>
                      <w:rFonts w:ascii="Cambria Math" w:eastAsia="Times New Roman" w:hAnsi="Cambria Math"/>
                      <w:kern w:val="0"/>
                      <w:lang w:eastAsia="es-MX"/>
                      <w14:ligatures w14:val="none"/>
                    </w:rPr>
                  </m:ctrlPr>
                </m:sSubPr>
                <m:e>
                  <m:r>
                    <m:rPr>
                      <m:sty m:val="p"/>
                    </m:rPr>
                    <w:rPr>
                      <w:rStyle w:val="mord"/>
                      <w:rFonts w:ascii="Cambria Math" w:hAnsi="Cambria Math"/>
                    </w:rPr>
                    <m:t>α</m:t>
                  </m:r>
                </m:e>
                <m:sub>
                  <m:r>
                    <w:rPr>
                      <w:rFonts w:ascii="Cambria Math" w:eastAsia="Times New Roman" w:hAnsi="Cambria Math"/>
                      <w:kern w:val="0"/>
                      <w:lang w:eastAsia="es-MX"/>
                      <w14:ligatures w14:val="none"/>
                    </w:rPr>
                    <m:t>it</m:t>
                  </m:r>
                </m:sub>
              </m:sSub>
              <m:r>
                <w:rPr>
                  <w:rFonts w:ascii="Cambria Math" w:eastAsia="Times New Roman" w:hAnsi="Cambria Math"/>
                  <w:kern w:val="0"/>
                  <w:lang w:eastAsia="es-MX"/>
                  <w14:ligatures w14:val="none"/>
                </w:rPr>
                <m:t>,</m:t>
              </m:r>
              <m:sSub>
                <m:sSubPr>
                  <m:ctrlPr>
                    <w:rPr>
                      <w:rFonts w:ascii="Cambria Math" w:eastAsia="Times New Roman" w:hAnsi="Cambria Math"/>
                      <w:kern w:val="0"/>
                      <w:lang w:eastAsia="es-MX"/>
                      <w14:ligatures w14:val="none"/>
                    </w:rPr>
                  </m:ctrlPr>
                </m:sSubPr>
                <m:e>
                  <m:r>
                    <m:rPr>
                      <m:sty m:val="p"/>
                    </m:rPr>
                    <w:rPr>
                      <w:rStyle w:val="mord"/>
                      <w:rFonts w:ascii="Cambria Math" w:hAnsi="Cambria Math"/>
                    </w:rPr>
                    <m:t>β</m:t>
                  </m:r>
                </m:e>
                <m:sub>
                  <m:r>
                    <w:rPr>
                      <w:rFonts w:ascii="Cambria Math" w:eastAsia="Times New Roman" w:hAnsi="Cambria Math"/>
                      <w:kern w:val="0"/>
                      <w:lang w:eastAsia="es-MX"/>
                      <w14:ligatures w14:val="none"/>
                    </w:rPr>
                    <m:t>it</m:t>
                  </m:r>
                </m:sub>
              </m:sSub>
              <m:ctrlPr>
                <w:rPr>
                  <w:rFonts w:ascii="Cambria Math" w:eastAsia="Times New Roman" w:hAnsi="Cambria Math"/>
                  <w:i/>
                  <w:kern w:val="0"/>
                  <w:lang w:eastAsia="es-MX"/>
                  <w14:ligatures w14:val="none"/>
                </w:rPr>
              </m:ctrlPr>
            </m:e>
          </m:d>
          <m:r>
            <w:rPr>
              <w:rFonts w:ascii="Cambria Math" w:eastAsia="Times New Roman" w:hAnsi="Cambria Math"/>
              <w:kern w:val="0"/>
              <w:lang w:eastAsia="es-MX"/>
              <w14:ligatures w14:val="none"/>
            </w:rPr>
            <m:t>,</m:t>
          </m:r>
        </m:oMath>
      </m:oMathPara>
    </w:p>
    <w:p w14:paraId="60DD9856" w14:textId="77777777" w:rsidR="006D07C7" w:rsidRPr="001232F5" w:rsidRDefault="00000000" w:rsidP="006D07C7">
      <w:pPr>
        <w:spacing w:after="120" w:line="360" w:lineRule="auto"/>
        <w:ind w:left="357"/>
        <w:jc w:val="both"/>
        <w:rPr>
          <w:rFonts w:ascii="Arial" w:hAnsi="Arial" w:cs="Arial"/>
        </w:rPr>
      </w:pPr>
      <m:oMathPara>
        <m:oMath>
          <m:sSub>
            <m:sSubPr>
              <m:ctrlPr>
                <w:rPr>
                  <w:rFonts w:ascii="Cambria Math" w:hAnsi="Cambria Math" w:cs="Arial"/>
                </w:rPr>
              </m:ctrlPr>
            </m:sSubPr>
            <m:e>
              <m:r>
                <w:rPr>
                  <w:rFonts w:ascii="Cambria Math" w:hAnsi="Cambria Math" w:cs="Arial"/>
                </w:rPr>
                <m:t xml:space="preserve">   y</m:t>
              </m:r>
            </m:e>
            <m:sub>
              <m:r>
                <w:rPr>
                  <w:rFonts w:ascii="Cambria Math" w:hAnsi="Cambria Math" w:cs="Arial"/>
                </w:rPr>
                <m:t>it</m:t>
              </m:r>
            </m:sub>
          </m:sSub>
          <m:r>
            <w:rPr>
              <w:rFonts w:ascii="Cambria Math" w:hAnsi="Cambria Math" w:cs="Arial"/>
            </w:rPr>
            <m:t>|</m:t>
          </m:r>
          <m:sSub>
            <m:sSubPr>
              <m:ctrlPr>
                <w:rPr>
                  <w:rFonts w:ascii="Cambria Math" w:hAnsi="Cambria Math" w:cs="Arial"/>
                </w:rPr>
              </m:ctrlPr>
            </m:sSubPr>
            <m:e>
              <m:r>
                <w:rPr>
                  <w:rFonts w:ascii="Cambria Math" w:hAnsi="Cambria Math" w:cs="Arial"/>
                </w:rPr>
                <m:t>p</m:t>
              </m:r>
            </m:e>
            <m:sub>
              <m:r>
                <w:rPr>
                  <w:rFonts w:ascii="Cambria Math" w:hAnsi="Cambria Math" w:cs="Arial"/>
                </w:rPr>
                <m:t xml:space="preserve">it </m:t>
              </m:r>
            </m:sub>
          </m:sSub>
          <m:r>
            <w:rPr>
              <w:rFonts w:ascii="Cambria Math" w:hAnsi="Cambria Math" w:cs="Arial"/>
            </w:rPr>
            <m:t xml:space="preserve">~ </m:t>
          </m:r>
          <m:r>
            <m:rPr>
              <m:sty m:val="p"/>
            </m:rPr>
            <w:rPr>
              <w:rFonts w:ascii="Cambria Math" w:hAnsi="Cambria Math" w:cs="Arial"/>
            </w:rPr>
            <m:t>Binomial (</m:t>
          </m:r>
          <m:sSub>
            <m:sSubPr>
              <m:ctrlPr>
                <w:rPr>
                  <w:rFonts w:ascii="Cambria Math" w:hAnsi="Cambria Math" w:cs="Arial"/>
                </w:rPr>
              </m:ctrlPr>
            </m:sSubPr>
            <m:e>
              <m:r>
                <w:rPr>
                  <w:rFonts w:ascii="Cambria Math" w:hAnsi="Cambria Math" w:cs="Arial"/>
                </w:rPr>
                <m:t>n</m:t>
              </m:r>
            </m:e>
            <m:sub>
              <m:r>
                <w:rPr>
                  <w:rFonts w:ascii="Cambria Math" w:hAnsi="Cambria Math" w:cs="Arial"/>
                </w:rPr>
                <m:t>it</m:t>
              </m:r>
            </m:sub>
          </m:sSub>
          <m:r>
            <w:rPr>
              <w:rFonts w:ascii="Cambria Math" w:hAnsi="Cambria Math" w:cs="Arial"/>
            </w:rPr>
            <m:t>,</m:t>
          </m:r>
          <m:sSub>
            <m:sSubPr>
              <m:ctrlPr>
                <w:rPr>
                  <w:rFonts w:ascii="Cambria Math" w:hAnsi="Cambria Math" w:cs="Arial"/>
                </w:rPr>
              </m:ctrlPr>
            </m:sSubPr>
            <m:e>
              <m:r>
                <w:rPr>
                  <w:rFonts w:ascii="Cambria Math" w:hAnsi="Cambria Math" w:cs="Arial"/>
                </w:rPr>
                <m:t>p</m:t>
              </m:r>
            </m:e>
            <m:sub>
              <m:r>
                <w:rPr>
                  <w:rFonts w:ascii="Cambria Math" w:hAnsi="Cambria Math" w:cs="Arial"/>
                </w:rPr>
                <m:t>it</m:t>
              </m:r>
            </m:sub>
          </m:sSub>
          <m:r>
            <w:rPr>
              <w:rFonts w:ascii="Cambria Math" w:hAnsi="Cambria Math" w:cs="Arial"/>
            </w:rPr>
            <m:t>)</m:t>
          </m:r>
        </m:oMath>
      </m:oMathPara>
    </w:p>
    <w:p w14:paraId="08C9551A" w14:textId="4B601AE7" w:rsidR="00327E04" w:rsidRPr="001232F5" w:rsidRDefault="006D07C7" w:rsidP="00327E04">
      <w:pPr>
        <w:pStyle w:val="Textoplano"/>
        <w:rPr>
          <w:rFonts w:eastAsia="Times New Roman"/>
          <w:kern w:val="0"/>
          <w:lang w:eastAsia="es-MX"/>
          <w14:ligatures w14:val="none"/>
        </w:rPr>
      </w:pPr>
      <w:r w:rsidRPr="001232F5">
        <w:rPr>
          <w:rFonts w:eastAsia="Times New Roman"/>
          <w:kern w:val="0"/>
          <w:lang w:eastAsia="es-MX"/>
          <w14:ligatures w14:val="none"/>
        </w:rPr>
        <w:t xml:space="preserve">with </w:t>
      </w:r>
      <m:oMath>
        <m:sSub>
          <m:sSubPr>
            <m:ctrlPr>
              <w:rPr>
                <w:rFonts w:ascii="Cambria Math" w:eastAsia="Times New Roman" w:hAnsi="Cambria Math"/>
                <w:kern w:val="0"/>
                <w:lang w:eastAsia="es-MX"/>
                <w14:ligatures w14:val="none"/>
              </w:rPr>
            </m:ctrlPr>
          </m:sSubPr>
          <m:e>
            <m:r>
              <m:rPr>
                <m:sty m:val="p"/>
              </m:rPr>
              <w:rPr>
                <w:rStyle w:val="mord"/>
                <w:rFonts w:ascii="Cambria Math" w:hAnsi="Cambria Math"/>
              </w:rPr>
              <m:t>α</m:t>
            </m:r>
          </m:e>
          <m:sub>
            <m:r>
              <w:rPr>
                <w:rFonts w:ascii="Cambria Math" w:eastAsia="Times New Roman" w:hAnsi="Cambria Math"/>
                <w:kern w:val="0"/>
                <w:lang w:eastAsia="es-MX"/>
                <w14:ligatures w14:val="none"/>
              </w:rPr>
              <m:t>it</m:t>
            </m:r>
          </m:sub>
        </m:sSub>
        <m:r>
          <w:rPr>
            <w:rFonts w:ascii="Cambria Math" w:eastAsia="Times New Roman" w:hAnsi="Cambria Math"/>
            <w:kern w:val="0"/>
            <w:lang w:eastAsia="es-MX"/>
            <w14:ligatures w14:val="none"/>
          </w:rPr>
          <m:t xml:space="preserve">=  </m:t>
        </m:r>
        <m:sSub>
          <m:sSubPr>
            <m:ctrlPr>
              <w:rPr>
                <w:rFonts w:ascii="Cambria Math" w:eastAsia="Times New Roman" w:hAnsi="Cambria Math"/>
                <w:kern w:val="0"/>
                <w:lang w:eastAsia="es-MX"/>
                <w14:ligatures w14:val="none"/>
              </w:rPr>
            </m:ctrlPr>
          </m:sSubPr>
          <m:e>
            <m:r>
              <w:rPr>
                <w:rFonts w:ascii="Cambria Math" w:eastAsia="Times New Roman" w:hAnsi="Cambria Math"/>
                <w:kern w:val="0"/>
                <w:lang w:eastAsia="es-MX"/>
                <w14:ligatures w14:val="none"/>
              </w:rPr>
              <m:t>μ</m:t>
            </m:r>
          </m:e>
          <m:sub>
            <m:r>
              <w:rPr>
                <w:rFonts w:ascii="Cambria Math" w:eastAsia="Times New Roman" w:hAnsi="Cambria Math"/>
                <w:kern w:val="0"/>
                <w:lang w:eastAsia="es-MX"/>
                <w14:ligatures w14:val="none"/>
              </w:rPr>
              <m:t>it</m:t>
            </m:r>
          </m:sub>
        </m:sSub>
        <m:r>
          <m:rPr>
            <m:sty m:val="p"/>
          </m:rPr>
          <w:rPr>
            <w:rFonts w:ascii="Cambria Math" w:hAnsi="Cambria Math"/>
          </w:rPr>
          <m:t>ϕ</m:t>
        </m:r>
      </m:oMath>
      <w:r w:rsidRPr="001232F5">
        <w:rPr>
          <w:rFonts w:eastAsia="Times New Roman"/>
          <w:kern w:val="0"/>
          <w:lang w:eastAsia="es-MX"/>
          <w14:ligatures w14:val="none"/>
        </w:rPr>
        <w:t xml:space="preserve"> and </w:t>
      </w:r>
      <m:oMath>
        <m:sSub>
          <m:sSubPr>
            <m:ctrlPr>
              <w:rPr>
                <w:rFonts w:ascii="Cambria Math" w:eastAsia="Times New Roman" w:hAnsi="Cambria Math"/>
                <w:kern w:val="0"/>
                <w:lang w:eastAsia="es-MX"/>
                <w14:ligatures w14:val="none"/>
              </w:rPr>
            </m:ctrlPr>
          </m:sSubPr>
          <m:e>
            <m:r>
              <m:rPr>
                <m:sty m:val="p"/>
              </m:rPr>
              <w:rPr>
                <w:rStyle w:val="mord"/>
                <w:rFonts w:ascii="Cambria Math" w:hAnsi="Cambria Math"/>
              </w:rPr>
              <m:t>β</m:t>
            </m:r>
          </m:e>
          <m:sub>
            <m:r>
              <w:rPr>
                <w:rFonts w:ascii="Cambria Math" w:eastAsia="Times New Roman" w:hAnsi="Cambria Math"/>
                <w:kern w:val="0"/>
                <w:lang w:eastAsia="es-MX"/>
                <w14:ligatures w14:val="none"/>
              </w:rPr>
              <m:t>it</m:t>
            </m:r>
          </m:sub>
        </m:sSub>
        <m:r>
          <w:rPr>
            <w:rFonts w:ascii="Cambria Math" w:eastAsia="Times New Roman" w:hAnsi="Cambria Math"/>
            <w:kern w:val="0"/>
            <w:lang w:eastAsia="es-MX"/>
            <w14:ligatures w14:val="none"/>
          </w:rPr>
          <m:t>=</m:t>
        </m:r>
        <m:d>
          <m:dPr>
            <m:ctrlPr>
              <w:rPr>
                <w:rFonts w:ascii="Cambria Math" w:eastAsia="Times New Roman" w:hAnsi="Cambria Math"/>
                <w:i/>
                <w:kern w:val="0"/>
                <w:lang w:eastAsia="es-MX"/>
                <w14:ligatures w14:val="none"/>
              </w:rPr>
            </m:ctrlPr>
          </m:dPr>
          <m:e>
            <m:r>
              <w:rPr>
                <w:rFonts w:ascii="Cambria Math" w:eastAsia="Times New Roman" w:hAnsi="Cambria Math"/>
                <w:kern w:val="0"/>
                <w:lang w:eastAsia="es-MX"/>
                <w14:ligatures w14:val="none"/>
              </w:rPr>
              <m:t xml:space="preserve">1- </m:t>
            </m:r>
            <m:sSub>
              <m:sSubPr>
                <m:ctrlPr>
                  <w:rPr>
                    <w:rFonts w:ascii="Cambria Math" w:eastAsia="Times New Roman" w:hAnsi="Cambria Math"/>
                    <w:kern w:val="0"/>
                    <w:lang w:eastAsia="es-MX"/>
                    <w14:ligatures w14:val="none"/>
                  </w:rPr>
                </m:ctrlPr>
              </m:sSubPr>
              <m:e>
                <m:r>
                  <w:rPr>
                    <w:rFonts w:ascii="Cambria Math" w:eastAsia="Times New Roman" w:hAnsi="Cambria Math"/>
                    <w:kern w:val="0"/>
                    <w:lang w:eastAsia="es-MX"/>
                    <w14:ligatures w14:val="none"/>
                  </w:rPr>
                  <m:t>μ</m:t>
                </m:r>
              </m:e>
              <m:sub>
                <m:r>
                  <w:rPr>
                    <w:rFonts w:ascii="Cambria Math" w:eastAsia="Times New Roman" w:hAnsi="Cambria Math"/>
                    <w:kern w:val="0"/>
                    <w:lang w:eastAsia="es-MX"/>
                    <w14:ligatures w14:val="none"/>
                  </w:rPr>
                  <m:t>it</m:t>
                </m:r>
              </m:sub>
            </m:sSub>
          </m:e>
        </m:d>
        <m:r>
          <m:rPr>
            <m:sty m:val="p"/>
          </m:rPr>
          <w:rPr>
            <w:rFonts w:ascii="Cambria Math" w:hAnsi="Cambria Math"/>
          </w:rPr>
          <m:t>ϕ,</m:t>
        </m:r>
      </m:oMath>
      <w:r w:rsidRPr="001232F5">
        <w:rPr>
          <w:rFonts w:eastAsia="Times New Roman"/>
          <w:kern w:val="0"/>
          <w:lang w:eastAsia="es-MX"/>
          <w14:ligatures w14:val="none"/>
        </w:rPr>
        <w:t xml:space="preserve"> </w:t>
      </w:r>
      <w:r w:rsidRPr="001232F5">
        <w:t xml:space="preserve">where </w:t>
      </w:r>
      <m:oMath>
        <m:sSub>
          <m:sSubPr>
            <m:ctrlPr>
              <w:rPr>
                <w:rFonts w:ascii="Cambria Math" w:hAnsi="Cambria Math"/>
              </w:rPr>
            </m:ctrlPr>
          </m:sSubPr>
          <m:e>
            <m:r>
              <w:rPr>
                <w:rFonts w:ascii="Cambria Math" w:hAnsi="Cambria Math"/>
              </w:rPr>
              <m:t>μ</m:t>
            </m:r>
          </m:e>
          <m:sub>
            <m:r>
              <w:rPr>
                <w:rFonts w:ascii="Cambria Math" w:hAnsi="Cambria Math"/>
              </w:rPr>
              <m:t>it</m:t>
            </m:r>
          </m:sub>
        </m:sSub>
        <m:r>
          <w:rPr>
            <w:rFonts w:ascii="Cambria Math" w:hAnsi="Cambria Math"/>
          </w:rPr>
          <m:t>=E(</m:t>
        </m:r>
        <m:sSub>
          <m:sSubPr>
            <m:ctrlPr>
              <w:rPr>
                <w:rFonts w:ascii="Cambria Math" w:hAnsi="Cambria Math"/>
              </w:rPr>
            </m:ctrlPr>
          </m:sSubPr>
          <m:e>
            <m:r>
              <w:rPr>
                <w:rFonts w:ascii="Cambria Math" w:hAnsi="Cambria Math"/>
              </w:rPr>
              <m:t>p</m:t>
            </m:r>
          </m:e>
          <m:sub>
            <m:r>
              <w:rPr>
                <w:rFonts w:ascii="Cambria Math" w:hAnsi="Cambria Math"/>
              </w:rPr>
              <m:t>it</m:t>
            </m:r>
          </m:sub>
        </m:sSub>
        <m:r>
          <w:rPr>
            <w:rFonts w:ascii="Cambria Math" w:hAnsi="Cambria Math"/>
          </w:rPr>
          <m:t>∣u,v,w)</m:t>
        </m:r>
      </m:oMath>
      <w:r w:rsidRPr="001232F5">
        <w:t xml:space="preserve">is the expected poverty prevalence given all random effects and </w:t>
      </w:r>
      <m:oMath>
        <m:r>
          <w:rPr>
            <w:rFonts w:ascii="Cambria Math" w:hAnsi="Cambria Math"/>
          </w:rPr>
          <m:t>ϕ&gt;0</m:t>
        </m:r>
      </m:oMath>
      <w:r w:rsidRPr="001232F5">
        <w:t>is a precision parameter controlling overdispersion</w:t>
      </w:r>
      <w:r w:rsidR="007C1314" w:rsidRPr="001232F5">
        <w:t xml:space="preserve">. </w:t>
      </w:r>
      <w:r w:rsidRPr="001232F5">
        <w:t>The mean is linked to a linear predictor through a logit transformation</w:t>
      </w:r>
      <w:r w:rsidR="00327E04" w:rsidRPr="001232F5">
        <w:rPr>
          <w:rFonts w:eastAsia="Times New Roman"/>
          <w:kern w:val="0"/>
          <w:lang w:eastAsia="es-MX"/>
          <w14:ligatures w14:val="none"/>
        </w:rPr>
        <w:t>:</w:t>
      </w:r>
    </w:p>
    <w:p w14:paraId="2ECD5C68" w14:textId="77777777" w:rsidR="006D07C7" w:rsidRPr="001232F5" w:rsidRDefault="00000000" w:rsidP="006D07C7">
      <w:pPr>
        <w:spacing w:after="120" w:line="360" w:lineRule="auto"/>
        <w:ind w:left="357"/>
        <w:jc w:val="both"/>
        <w:rPr>
          <w:rFonts w:ascii="Arial" w:hAnsi="Arial" w:cs="Arial"/>
        </w:rPr>
      </w:pPr>
      <m:oMathPara>
        <m:oMath>
          <m:sSub>
            <m:sSubPr>
              <m:ctrlPr>
                <w:rPr>
                  <w:rFonts w:ascii="Cambria Math" w:hAnsi="Cambria Math" w:cs="Arial"/>
                </w:rPr>
              </m:ctrlPr>
            </m:sSubPr>
            <m:e>
              <m:r>
                <w:rPr>
                  <w:rFonts w:ascii="Cambria Math" w:hAnsi="Cambria Math" w:cs="Arial"/>
                </w:rPr>
                <m:t>η</m:t>
              </m:r>
            </m:e>
            <m:sub>
              <m:r>
                <w:rPr>
                  <w:rFonts w:ascii="Cambria Math" w:hAnsi="Cambria Math" w:cs="Arial"/>
                </w:rPr>
                <m:t>it</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0</m:t>
              </m:r>
            </m:sub>
          </m:sSub>
          <m:r>
            <w:rPr>
              <w:rFonts w:ascii="Cambria Math" w:hAnsi="Cambria Math" w:cs="Arial"/>
            </w:rPr>
            <m:t>+</m:t>
          </m:r>
          <m:nary>
            <m:naryPr>
              <m:chr m:val="∑"/>
              <m:limLoc m:val="undOvr"/>
              <m:grow m:val="1"/>
              <m:ctrlPr>
                <w:rPr>
                  <w:rFonts w:ascii="Cambria Math" w:hAnsi="Cambria Math" w:cs="Arial"/>
                </w:rPr>
              </m:ctrlPr>
            </m:naryPr>
            <m:sub>
              <m:r>
                <w:rPr>
                  <w:rFonts w:ascii="Cambria Math" w:hAnsi="Cambria Math" w:cs="Arial"/>
                </w:rPr>
                <m:t>k=1</m:t>
              </m:r>
            </m:sub>
            <m:sup>
              <m:r>
                <w:rPr>
                  <w:rFonts w:ascii="Cambria Math" w:hAnsi="Cambria Math" w:cs="Arial"/>
                </w:rPr>
                <m:t>K</m:t>
              </m:r>
            </m:sup>
            <m:e>
              <m:sSub>
                <m:sSubPr>
                  <m:ctrlPr>
                    <w:rPr>
                      <w:rFonts w:ascii="Cambria Math" w:hAnsi="Cambria Math" w:cs="Arial"/>
                    </w:rPr>
                  </m:ctrlPr>
                </m:sSubPr>
                <m:e>
                  <m:r>
                    <w:rPr>
                      <w:rFonts w:ascii="Cambria Math" w:hAnsi="Cambria Math" w:cs="Arial"/>
                    </w:rPr>
                    <m:t>β</m:t>
                  </m:r>
                </m:e>
                <m:sub>
                  <m:r>
                    <w:rPr>
                      <w:rFonts w:ascii="Cambria Math" w:hAnsi="Cambria Math" w:cs="Arial"/>
                    </w:rPr>
                    <m:t>k</m:t>
                  </m:r>
                </m:sub>
              </m:sSub>
            </m:e>
          </m:nary>
          <m:r>
            <m:rPr>
              <m:nor/>
            </m:rPr>
            <w:rPr>
              <w:rFonts w:ascii="Arial" w:hAnsi="Arial" w:cs="Arial"/>
            </w:rPr>
            <m:t> </m:t>
          </m:r>
          <m:sSub>
            <m:sSubPr>
              <m:ctrlPr>
                <w:rPr>
                  <w:rFonts w:ascii="Cambria Math" w:hAnsi="Cambria Math" w:cs="Arial"/>
                </w:rPr>
              </m:ctrlPr>
            </m:sSubPr>
            <m:e>
              <m:r>
                <m:rPr>
                  <m:nor/>
                </m:rPr>
                <w:rPr>
                  <w:rFonts w:ascii="Arial" w:hAnsi="Arial" w:cs="Arial"/>
                  <w:i/>
                  <w:iCs/>
                </w:rPr>
                <m:t>pc</m:t>
              </m:r>
            </m:e>
            <m:sub>
              <m:r>
                <w:rPr>
                  <w:rFonts w:ascii="Cambria Math" w:hAnsi="Cambria Math" w:cs="Arial"/>
                </w:rPr>
                <m:t>k,it</m:t>
              </m:r>
            </m:sub>
          </m:sSub>
          <m:r>
            <w:rPr>
              <w:rFonts w:ascii="Cambria Math" w:hAnsi="Cambria Math" w:cs="Arial"/>
            </w:rPr>
            <m:t xml:space="preserve">+ </m:t>
          </m:r>
          <m:sSub>
            <m:sSubPr>
              <m:ctrlPr>
                <w:rPr>
                  <w:rFonts w:ascii="Cambria Math" w:hAnsi="Cambria Math" w:cs="Arial"/>
                </w:rPr>
              </m:ctrlPr>
            </m:sSubPr>
            <m:e>
              <m:r>
                <w:rPr>
                  <w:rFonts w:ascii="Cambria Math" w:hAnsi="Cambria Math" w:cs="Arial"/>
                </w:rPr>
                <m:t>u</m:t>
              </m:r>
            </m:e>
            <m:sub>
              <m:r>
                <w:rPr>
                  <w:rFonts w:ascii="Cambria Math" w:hAnsi="Cambria Math" w:cs="Arial"/>
                </w:rPr>
                <m:t>s(i)</m:t>
              </m:r>
            </m:sub>
          </m:sSub>
          <m:r>
            <w:rPr>
              <w:rFonts w:ascii="Cambria Math" w:hAnsi="Cambria Math" w:cs="Arial"/>
            </w:rPr>
            <m:t>+</m:t>
          </m:r>
          <m:sSub>
            <m:sSubPr>
              <m:ctrlPr>
                <w:rPr>
                  <w:rFonts w:ascii="Cambria Math" w:hAnsi="Cambria Math" w:cs="Arial"/>
                </w:rPr>
              </m:ctrlPr>
            </m:sSubPr>
            <m:e>
              <m:r>
                <w:rPr>
                  <w:rFonts w:ascii="Cambria Math" w:hAnsi="Cambria Math" w:cs="Arial"/>
                </w:rPr>
                <m:t>w</m:t>
              </m:r>
            </m:e>
            <m:sub>
              <m:r>
                <w:rPr>
                  <w:rFonts w:ascii="Cambria Math" w:hAnsi="Cambria Math" w:cs="Arial"/>
                </w:rPr>
                <m:t>p(i)</m:t>
              </m:r>
            </m:sub>
          </m:sSub>
          <m:r>
            <w:rPr>
              <w:rFonts w:ascii="Cambria Math" w:hAnsi="Cambria Math" w:cs="Arial"/>
            </w:rPr>
            <m:t xml:space="preserve">+ </m:t>
          </m:r>
          <m:sSub>
            <m:sSubPr>
              <m:ctrlPr>
                <w:rPr>
                  <w:rFonts w:ascii="Cambria Math" w:hAnsi="Cambria Math" w:cs="Arial"/>
                </w:rPr>
              </m:ctrlPr>
            </m:sSubPr>
            <m:e>
              <m:r>
                <w:rPr>
                  <w:rFonts w:ascii="Cambria Math" w:hAnsi="Cambria Math" w:cs="Arial"/>
                </w:rPr>
                <m:t>v</m:t>
              </m:r>
            </m:e>
            <m:sub>
              <m:r>
                <w:rPr>
                  <w:rFonts w:ascii="Cambria Math" w:hAnsi="Cambria Math" w:cs="Arial"/>
                </w:rPr>
                <m:t>t</m:t>
              </m:r>
            </m:sub>
          </m:sSub>
        </m:oMath>
      </m:oMathPara>
    </w:p>
    <w:p w14:paraId="4665F54E" w14:textId="77777777" w:rsidR="006D07C7" w:rsidRPr="001232F5" w:rsidRDefault="006D07C7" w:rsidP="006D07C7">
      <w:pPr>
        <w:spacing w:after="120" w:line="360" w:lineRule="auto"/>
        <w:ind w:left="357"/>
        <w:jc w:val="both"/>
        <w:rPr>
          <w:rFonts w:ascii="Arial" w:hAnsi="Arial" w:cs="Arial"/>
          <w:lang w:val="en-US"/>
        </w:rPr>
      </w:pPr>
      <w:r w:rsidRPr="001232F5">
        <w:rPr>
          <w:rFonts w:ascii="Arial" w:hAnsi="Arial" w:cs="Arial"/>
          <w:lang w:val="en-US"/>
        </w:rPr>
        <w:t>Where:</w:t>
      </w:r>
    </w:p>
    <w:p w14:paraId="508087BA" w14:textId="77777777" w:rsidR="006D07C7" w:rsidRPr="001232F5" w:rsidRDefault="00000000" w:rsidP="006D07C7">
      <w:pPr>
        <w:pStyle w:val="ListParagraph"/>
        <w:numPr>
          <w:ilvl w:val="0"/>
          <w:numId w:val="7"/>
        </w:numPr>
        <w:spacing w:after="120" w:line="360" w:lineRule="auto"/>
        <w:jc w:val="both"/>
        <w:rPr>
          <w:rFonts w:ascii="Arial" w:hAnsi="Arial" w:cs="Arial"/>
          <w:lang w:val="en-US"/>
        </w:rPr>
      </w:pPr>
      <m:oMath>
        <m:sSub>
          <m:sSubPr>
            <m:ctrlPr>
              <w:rPr>
                <w:rFonts w:ascii="Cambria Math" w:hAnsi="Cambria Math" w:cs="Arial"/>
              </w:rPr>
            </m:ctrlPr>
          </m:sSubPr>
          <m:e>
            <m:r>
              <w:rPr>
                <w:rFonts w:ascii="Cambria Math" w:hAnsi="Cambria Math" w:cs="Arial"/>
              </w:rPr>
              <m:t>β</m:t>
            </m:r>
          </m:e>
          <m:sub>
            <m:r>
              <w:rPr>
                <w:rFonts w:ascii="Cambria Math" w:hAnsi="Cambria Math" w:cs="Arial"/>
                <w:lang w:val="en-US"/>
              </w:rPr>
              <m:t>0</m:t>
            </m:r>
          </m:sub>
        </m:sSub>
      </m:oMath>
      <w:r w:rsidR="006D07C7" w:rsidRPr="001232F5">
        <w:rPr>
          <w:rFonts w:ascii="Arial" w:eastAsiaTheme="minorEastAsia" w:hAnsi="Arial" w:cs="Arial"/>
          <w:lang w:val="en-US"/>
        </w:rPr>
        <w:t xml:space="preserve"> </w:t>
      </w:r>
      <w:r w:rsidR="006D07C7" w:rsidRPr="001232F5">
        <w:rPr>
          <w:rFonts w:ascii="Arial" w:hAnsi="Arial" w:cs="Arial"/>
          <w:lang w:val="en-US"/>
        </w:rPr>
        <w:t>is the intercept</w:t>
      </w:r>
    </w:p>
    <w:p w14:paraId="6DE3D4F7" w14:textId="77777777" w:rsidR="006D07C7" w:rsidRPr="001232F5" w:rsidRDefault="006D07C7" w:rsidP="006D07C7">
      <w:pPr>
        <w:pStyle w:val="ListParagraph"/>
        <w:numPr>
          <w:ilvl w:val="0"/>
          <w:numId w:val="7"/>
        </w:numPr>
        <w:spacing w:after="120" w:line="360" w:lineRule="auto"/>
        <w:jc w:val="both"/>
        <w:rPr>
          <w:rFonts w:ascii="Arial" w:hAnsi="Arial" w:cs="Arial"/>
          <w:lang w:val="en-US"/>
        </w:rPr>
      </w:pPr>
      <w:r w:rsidRPr="001232F5">
        <w:rPr>
          <w:rFonts w:ascii="Arial" w:hAnsi="Arial" w:cs="Arial"/>
          <w:lang w:val="en-US"/>
        </w:rPr>
        <w:t xml:space="preserve"> </w:t>
      </w:r>
      <m:oMath>
        <m:sSub>
          <m:sSubPr>
            <m:ctrlPr>
              <w:rPr>
                <w:rFonts w:ascii="Cambria Math" w:hAnsi="Cambria Math" w:cs="Arial"/>
              </w:rPr>
            </m:ctrlPr>
          </m:sSubPr>
          <m:e>
            <m:r>
              <m:rPr>
                <m:nor/>
              </m:rPr>
              <w:rPr>
                <w:rFonts w:ascii="Arial" w:hAnsi="Arial" w:cs="Arial"/>
                <w:lang w:val="en-US"/>
              </w:rPr>
              <m:t>pc</m:t>
            </m:r>
          </m:e>
          <m:sub>
            <m:r>
              <w:rPr>
                <w:rFonts w:ascii="Cambria Math" w:hAnsi="Cambria Math" w:cs="Arial"/>
              </w:rPr>
              <m:t>k</m:t>
            </m:r>
            <m:r>
              <w:rPr>
                <w:rFonts w:ascii="Cambria Math" w:hAnsi="Cambria Math" w:cs="Arial"/>
                <w:lang w:val="en-US"/>
              </w:rPr>
              <m:t>,</m:t>
            </m:r>
            <m:r>
              <w:rPr>
                <w:rFonts w:ascii="Cambria Math" w:hAnsi="Cambria Math" w:cs="Arial"/>
              </w:rPr>
              <m:t>it</m:t>
            </m:r>
          </m:sub>
        </m:sSub>
      </m:oMath>
      <w:r w:rsidRPr="001232F5">
        <w:rPr>
          <w:rFonts w:ascii="Arial" w:eastAsiaTheme="minorEastAsia" w:hAnsi="Arial" w:cs="Arial"/>
          <w:lang w:val="en-US"/>
        </w:rPr>
        <w:t xml:space="preserve"> </w:t>
      </w:r>
      <w:r w:rsidRPr="001232F5">
        <w:rPr>
          <w:rFonts w:ascii="Arial" w:hAnsi="Arial" w:cs="Arial"/>
          <w:lang w:val="en-US"/>
        </w:rPr>
        <w:t xml:space="preserve">is the value of the </w:t>
      </w:r>
      <m:oMath>
        <m:r>
          <w:rPr>
            <w:rFonts w:ascii="Cambria Math" w:hAnsi="Cambria Math" w:cs="Arial"/>
          </w:rPr>
          <m:t>k</m:t>
        </m:r>
      </m:oMath>
      <w:r w:rsidRPr="001232F5">
        <w:rPr>
          <w:rFonts w:ascii="Arial" w:hAnsi="Arial" w:cs="Arial"/>
          <w:lang w:val="en-US"/>
        </w:rPr>
        <w:t xml:space="preserve">-th principal component for PSU </w:t>
      </w:r>
      <m:oMath>
        <m:r>
          <w:rPr>
            <w:rFonts w:ascii="Cambria Math" w:hAnsi="Cambria Math" w:cs="Arial"/>
          </w:rPr>
          <m:t>i</m:t>
        </m:r>
      </m:oMath>
      <w:r w:rsidRPr="001232F5">
        <w:rPr>
          <w:rFonts w:ascii="Arial" w:eastAsiaTheme="minorEastAsia" w:hAnsi="Arial" w:cs="Arial"/>
          <w:lang w:val="en-US"/>
        </w:rPr>
        <w:t xml:space="preserve"> </w:t>
      </w:r>
      <w:r w:rsidRPr="001232F5">
        <w:rPr>
          <w:rFonts w:ascii="Arial" w:hAnsi="Arial" w:cs="Arial"/>
          <w:lang w:val="en-US"/>
        </w:rPr>
        <w:t xml:space="preserve">at time </w:t>
      </w:r>
      <m:oMath>
        <m:r>
          <w:rPr>
            <w:rFonts w:ascii="Cambria Math" w:hAnsi="Cambria Math" w:cs="Arial"/>
          </w:rPr>
          <m:t>t</m:t>
        </m:r>
      </m:oMath>
      <w:r w:rsidRPr="001232F5">
        <w:rPr>
          <w:rFonts w:ascii="Arial" w:hAnsi="Arial" w:cs="Arial"/>
          <w:lang w:val="en-US"/>
        </w:rPr>
        <w:t xml:space="preserve">. </w:t>
      </w:r>
    </w:p>
    <w:p w14:paraId="586E053C" w14:textId="77777777" w:rsidR="006D07C7" w:rsidRPr="001232F5" w:rsidRDefault="00000000" w:rsidP="006D07C7">
      <w:pPr>
        <w:pStyle w:val="ListParagraph"/>
        <w:numPr>
          <w:ilvl w:val="0"/>
          <w:numId w:val="7"/>
        </w:numPr>
        <w:spacing w:after="120" w:line="360" w:lineRule="auto"/>
        <w:jc w:val="both"/>
        <w:rPr>
          <w:rFonts w:ascii="Arial" w:hAnsi="Arial" w:cs="Arial"/>
          <w:lang w:val="en-US"/>
        </w:rPr>
      </w:pPr>
      <m:oMath>
        <m:sSub>
          <m:sSubPr>
            <m:ctrlPr>
              <w:rPr>
                <w:rFonts w:ascii="Cambria Math" w:hAnsi="Cambria Math" w:cs="Arial"/>
              </w:rPr>
            </m:ctrlPr>
          </m:sSubPr>
          <m:e>
            <m:r>
              <w:rPr>
                <w:rFonts w:ascii="Cambria Math" w:hAnsi="Cambria Math" w:cs="Arial"/>
              </w:rPr>
              <m:t>u</m:t>
            </m:r>
          </m:e>
          <m:sub>
            <m:r>
              <w:rPr>
                <w:rFonts w:ascii="Cambria Math" w:hAnsi="Cambria Math" w:cs="Arial"/>
              </w:rPr>
              <m:t>s</m:t>
            </m:r>
            <m:r>
              <w:rPr>
                <w:rFonts w:ascii="Cambria Math" w:hAnsi="Cambria Math" w:cs="Arial"/>
                <w:lang w:val="en-US"/>
              </w:rPr>
              <m:t>(</m:t>
            </m:r>
            <m:r>
              <w:rPr>
                <w:rFonts w:ascii="Cambria Math" w:hAnsi="Cambria Math" w:cs="Arial"/>
              </w:rPr>
              <m:t>i</m:t>
            </m:r>
            <m:r>
              <w:rPr>
                <w:rFonts w:ascii="Cambria Math" w:hAnsi="Cambria Math" w:cs="Arial"/>
                <w:lang w:val="en-US"/>
              </w:rPr>
              <m:t>)</m:t>
            </m:r>
          </m:sub>
        </m:sSub>
      </m:oMath>
      <w:r w:rsidR="006D07C7" w:rsidRPr="001232F5">
        <w:rPr>
          <w:rFonts w:ascii="Arial" w:eastAsiaTheme="minorEastAsia" w:hAnsi="Arial" w:cs="Arial"/>
          <w:lang w:val="en-US"/>
        </w:rPr>
        <w:t xml:space="preserve"> </w:t>
      </w:r>
      <w:r w:rsidR="006D07C7" w:rsidRPr="001232F5">
        <w:rPr>
          <w:rFonts w:ascii="Arial" w:hAnsi="Arial" w:cs="Arial"/>
          <w:lang w:val="en-US"/>
        </w:rPr>
        <w:t>is a district-level spatial random effect defined over districts in the Loreto region, modeled using the BYM2 formulation, combining a structured component defined through an intrinsic conditional autoregressive (ICAR) model and an unstructured independent and identically distributed (iid) component capturing area-level heterogeneity</w:t>
      </w:r>
    </w:p>
    <w:p w14:paraId="0FCBB23B" w14:textId="77777777" w:rsidR="006D07C7" w:rsidRPr="001232F5" w:rsidRDefault="00000000" w:rsidP="006D07C7">
      <w:pPr>
        <w:pStyle w:val="ListParagraph"/>
        <w:numPr>
          <w:ilvl w:val="0"/>
          <w:numId w:val="7"/>
        </w:numPr>
        <w:spacing w:after="120" w:line="360" w:lineRule="auto"/>
        <w:jc w:val="both"/>
        <w:rPr>
          <w:rFonts w:ascii="Arial" w:eastAsiaTheme="minorEastAsia" w:hAnsi="Arial" w:cs="Arial"/>
          <w:lang w:val="en-US"/>
        </w:rPr>
      </w:pPr>
      <m:oMath>
        <m:sSub>
          <m:sSubPr>
            <m:ctrlPr>
              <w:rPr>
                <w:rFonts w:ascii="Cambria Math" w:eastAsia="Times New Roman" w:hAnsi="Cambria Math" w:cs="Arial"/>
                <w:kern w:val="0"/>
                <w:lang w:eastAsia="es-MX"/>
                <w14:ligatures w14:val="none"/>
              </w:rPr>
            </m:ctrlPr>
          </m:sSubPr>
          <m:e>
            <m:r>
              <w:rPr>
                <w:rFonts w:ascii="Cambria Math" w:eastAsia="Times New Roman" w:hAnsi="Cambria Math" w:cs="Arial"/>
                <w:kern w:val="0"/>
                <w:lang w:eastAsia="es-MX"/>
                <w14:ligatures w14:val="none"/>
              </w:rPr>
              <m:t>v</m:t>
            </m:r>
          </m:e>
          <m:sub>
            <m:r>
              <w:rPr>
                <w:rFonts w:ascii="Cambria Math" w:eastAsia="Times New Roman" w:hAnsi="Cambria Math" w:cs="Arial"/>
                <w:kern w:val="0"/>
                <w:lang w:eastAsia="es-MX"/>
                <w14:ligatures w14:val="none"/>
              </w:rPr>
              <m:t>t</m:t>
            </m:r>
          </m:sub>
        </m:sSub>
      </m:oMath>
      <w:r w:rsidR="006D07C7" w:rsidRPr="001232F5">
        <w:rPr>
          <w:rFonts w:ascii="Arial" w:eastAsiaTheme="minorEastAsia" w:hAnsi="Arial" w:cs="Arial"/>
          <w:kern w:val="0"/>
          <w:lang w:val="en-US" w:eastAsia="es-MX"/>
          <w14:ligatures w14:val="none"/>
        </w:rPr>
        <w:t xml:space="preserve"> </w:t>
      </w:r>
      <w:r w:rsidR="006D07C7" w:rsidRPr="001232F5">
        <w:rPr>
          <w:rFonts w:ascii="Arial" w:hAnsi="Arial" w:cs="Arial"/>
          <w:lang w:val="en-US"/>
        </w:rPr>
        <w:t>is a temporal random effect modeled as a second-order random walk (RW2), allowing for smooth nonlinear temporal variation over the study period</w:t>
      </w:r>
    </w:p>
    <w:p w14:paraId="39CFB8EF" w14:textId="303C7514" w:rsidR="00327E04" w:rsidRPr="001232F5" w:rsidRDefault="00000000" w:rsidP="006D07C7">
      <w:pPr>
        <w:pStyle w:val="Textoplano"/>
        <w:numPr>
          <w:ilvl w:val="0"/>
          <w:numId w:val="7"/>
        </w:numPr>
        <w:rPr>
          <w:rFonts w:eastAsiaTheme="minorEastAsia"/>
        </w:rPr>
      </w:pPr>
      <m:oMath>
        <m:sSub>
          <m:sSubPr>
            <m:ctrlPr>
              <w:rPr>
                <w:rFonts w:ascii="Cambria Math" w:eastAsia="Times New Roman" w:hAnsi="Cambria Math"/>
                <w:kern w:val="0"/>
                <w:lang w:eastAsia="es-MX"/>
                <w14:ligatures w14:val="none"/>
              </w:rPr>
            </m:ctrlPr>
          </m:sSubPr>
          <m:e>
            <m:r>
              <w:rPr>
                <w:rFonts w:ascii="Cambria Math" w:eastAsia="Times New Roman" w:hAnsi="Cambria Math"/>
                <w:kern w:val="0"/>
                <w:lang w:eastAsia="es-MX"/>
                <w14:ligatures w14:val="none"/>
              </w:rPr>
              <m:t>w</m:t>
            </m:r>
          </m:e>
          <m:sub>
            <m:r>
              <w:rPr>
                <w:rFonts w:ascii="Cambria Math" w:eastAsia="Times New Roman" w:hAnsi="Cambria Math"/>
                <w:kern w:val="0"/>
                <w:lang w:eastAsia="es-MX"/>
                <w14:ligatures w14:val="none"/>
              </w:rPr>
              <m:t>p(i)</m:t>
            </m:r>
          </m:sub>
        </m:sSub>
      </m:oMath>
      <w:r w:rsidR="006D07C7" w:rsidRPr="001232F5">
        <w:rPr>
          <w:rFonts w:eastAsiaTheme="minorEastAsia"/>
          <w:kern w:val="0"/>
          <w:lang w:eastAsia="es-MX"/>
          <w14:ligatures w14:val="none"/>
        </w:rPr>
        <w:t xml:space="preserve"> i</w:t>
      </w:r>
      <w:proofErr w:type="spellStart"/>
      <w:r w:rsidR="006D07C7" w:rsidRPr="001232F5">
        <w:t>s</w:t>
      </w:r>
      <w:proofErr w:type="spellEnd"/>
      <w:r w:rsidR="006D07C7" w:rsidRPr="001232F5">
        <w:t xml:space="preserve"> a province-level iid random effect capturing residual heterogeneity at an intermediate spatial scale (included only in selected model specifications</w:t>
      </w:r>
      <w:r w:rsidR="00327E04" w:rsidRPr="001232F5">
        <w:t>)</w:t>
      </w:r>
    </w:p>
    <w:p w14:paraId="568DE251" w14:textId="5889CECF" w:rsidR="00927D4D" w:rsidRPr="001232F5" w:rsidRDefault="00927D4D" w:rsidP="00327E04">
      <w:pPr>
        <w:pStyle w:val="Textoplano"/>
        <w:rPr>
          <w:u w:val="single"/>
        </w:rPr>
      </w:pPr>
      <w:r w:rsidRPr="001232F5">
        <w:rPr>
          <w:u w:val="single"/>
        </w:rPr>
        <w:t>Prior specifications</w:t>
      </w:r>
    </w:p>
    <w:p w14:paraId="75965B83" w14:textId="416040E8" w:rsidR="00327E04" w:rsidRPr="001232F5" w:rsidRDefault="00327E04" w:rsidP="00327E04">
      <w:pPr>
        <w:pStyle w:val="Textoplano"/>
      </w:pPr>
      <w:r w:rsidRPr="001232F5">
        <w:t>Penalized complexity (PC) priors were specified for all random effects in the poverty models. For the spatial random effect (BYM2), PC priors were placed on the mixing parameter and the marginal standard deviation: P(φ &lt; 0.5) = 2/3, reflecting prior uncertainty about the relative contribution of the spatially structured component, and P(σ &gt; 1.0) = 0.01. For the temporal random effect (RW2), a PC prior was specified as P(σ &gt; 1.0) = 0.01. For the province-level IID random effect included</w:t>
      </w:r>
      <w:r w:rsidR="00065E19" w:rsidRPr="001232F5">
        <w:t xml:space="preserve"> </w:t>
      </w:r>
      <w:r w:rsidRPr="001232F5">
        <w:t>in some candidate models, the same PC prior structure was applied: P(σ &gt; 1.0) = 0.01. To account for overdispersion in the Beta-Binomial likelihood, a Gaussian prior was placed on the logit-transformed overdispersion parameter: logit(ρ) ~ N(0, 0.4).</w:t>
      </w:r>
    </w:p>
    <w:p w14:paraId="001E1C0B" w14:textId="75FC92BD" w:rsidR="00927D4D" w:rsidRPr="001232F5" w:rsidRDefault="00927D4D" w:rsidP="00327E04">
      <w:pPr>
        <w:pStyle w:val="Textoplano"/>
        <w:rPr>
          <w:u w:val="single"/>
        </w:rPr>
      </w:pPr>
      <w:r w:rsidRPr="001232F5">
        <w:rPr>
          <w:u w:val="single"/>
        </w:rPr>
        <w:t>Spatial random effects</w:t>
      </w:r>
    </w:p>
    <w:p w14:paraId="0D45F78F" w14:textId="77777777" w:rsidR="00327E04" w:rsidRPr="001232F5" w:rsidRDefault="00327E04" w:rsidP="00327E04">
      <w:pPr>
        <w:pStyle w:val="Textoplano"/>
      </w:pPr>
      <w:r w:rsidRPr="001232F5">
        <w:t xml:space="preserve">The spatial random effect </w:t>
      </w:r>
      <m:oMath>
        <m:sSub>
          <m:sSubPr>
            <m:ctrlPr>
              <w:rPr>
                <w:rFonts w:ascii="Cambria Math" w:hAnsi="Cambria Math"/>
              </w:rPr>
            </m:ctrlPr>
          </m:sSubPr>
          <m:e>
            <m:r>
              <w:rPr>
                <w:rFonts w:ascii="Cambria Math" w:hAnsi="Cambria Math"/>
              </w:rPr>
              <m:t>u</m:t>
            </m:r>
          </m:e>
          <m:sub>
            <m:r>
              <w:rPr>
                <w:rFonts w:ascii="Cambria Math" w:hAnsi="Cambria Math"/>
              </w:rPr>
              <m:t>s</m:t>
            </m:r>
          </m:sub>
        </m:sSub>
      </m:oMath>
      <w:r w:rsidRPr="001232F5">
        <w:t>is modeled using the Besag–York–Mollié (BYM2) specification:</w:t>
      </w:r>
    </w:p>
    <w:p w14:paraId="5036E6C4" w14:textId="77777777" w:rsidR="00327E04" w:rsidRPr="001232F5" w:rsidRDefault="00000000" w:rsidP="00327E04">
      <w:pPr>
        <w:pStyle w:val="Textoplano"/>
      </w:pPr>
      <m:oMathPara>
        <m:oMath>
          <m:sSub>
            <m:sSubPr>
              <m:ctrlPr>
                <w:rPr>
                  <w:rFonts w:ascii="Cambria Math" w:hAnsi="Cambria Math"/>
                  <w:i/>
                  <w:iCs/>
                </w:rPr>
              </m:ctrlPr>
            </m:sSubPr>
            <m:e>
              <m:r>
                <w:rPr>
                  <w:rFonts w:ascii="Cambria Math" w:hAnsi="Cambria Math"/>
                </w:rPr>
                <m:t>u</m:t>
              </m:r>
            </m:e>
            <m:sub>
              <m:r>
                <w:rPr>
                  <w:rFonts w:ascii="Cambria Math" w:hAnsi="Cambria Math"/>
                </w:rPr>
                <m:t>s</m:t>
              </m:r>
            </m:sub>
          </m:sSub>
          <m:r>
            <w:rPr>
              <w:rFonts w:ascii="Cambria Math" w:hAnsi="Cambria Math"/>
            </w:rPr>
            <m:t xml:space="preserve">= </m:t>
          </m:r>
          <m:f>
            <m:fPr>
              <m:ctrlPr>
                <w:rPr>
                  <w:rFonts w:ascii="Cambria Math" w:hAnsi="Cambria Math"/>
                  <w:i/>
                </w:rPr>
              </m:ctrlPr>
            </m:fPr>
            <m:num>
              <m:r>
                <m:rPr>
                  <m:sty m:val="bi"/>
                </m:rPr>
                <w:rPr>
                  <w:rFonts w:ascii="Cambria Math" w:hAnsi="Cambria Math"/>
                </w:rPr>
                <m:t>1</m:t>
              </m:r>
            </m:num>
            <m:den>
              <m:rad>
                <m:radPr>
                  <m:degHide m:val="1"/>
                  <m:ctrlPr>
                    <w:rPr>
                      <w:rFonts w:ascii="Cambria Math" w:hAnsi="Cambria Math"/>
                      <w:i/>
                    </w:rPr>
                  </m:ctrlPr>
                </m:radPr>
                <m:deg/>
                <m:e>
                  <m:sSub>
                    <m:sSubPr>
                      <m:ctrlPr>
                        <w:rPr>
                          <w:rFonts w:ascii="Cambria Math" w:hAnsi="Cambria Math"/>
                          <w:i/>
                        </w:rPr>
                      </m:ctrlPr>
                    </m:sSubPr>
                    <m:e>
                      <m:r>
                        <m:rPr>
                          <m:sty m:val="bi"/>
                        </m:rPr>
                        <w:rPr>
                          <w:rFonts w:ascii="Cambria Math" w:hAnsi="Cambria Math"/>
                        </w:rPr>
                        <m:t>τ</m:t>
                      </m:r>
                    </m:e>
                    <m:sub>
                      <m:r>
                        <w:rPr>
                          <w:rFonts w:ascii="Cambria Math" w:hAnsi="Cambria Math"/>
                        </w:rPr>
                        <m:t>u</m:t>
                      </m:r>
                    </m:sub>
                  </m:sSub>
                </m:e>
              </m:rad>
            </m:den>
          </m:f>
          <m:d>
            <m:dPr>
              <m:ctrlPr>
                <w:rPr>
                  <w:rFonts w:ascii="Cambria Math" w:hAnsi="Cambria Math"/>
                  <w:i/>
                </w:rPr>
              </m:ctrlPr>
            </m:dPr>
            <m:e>
              <m:rad>
                <m:radPr>
                  <m:degHide m:val="1"/>
                  <m:ctrlPr>
                    <w:rPr>
                      <w:rFonts w:ascii="Cambria Math" w:hAnsi="Cambria Math"/>
                      <w:i/>
                    </w:rPr>
                  </m:ctrlPr>
                </m:radPr>
                <m:deg/>
                <m:e>
                  <m:r>
                    <m:rPr>
                      <m:sty m:val="bi"/>
                    </m:rPr>
                    <w:rPr>
                      <w:rFonts w:ascii="Cambria Math" w:hAnsi="Cambria Math"/>
                    </w:rPr>
                    <m:t>ϕ</m:t>
                  </m:r>
                </m:e>
              </m:rad>
              <m:sSub>
                <m:sSubPr>
                  <m:ctrlPr>
                    <w:rPr>
                      <w:rFonts w:ascii="Cambria Math" w:hAnsi="Cambria Math"/>
                      <w:i/>
                    </w:rPr>
                  </m:ctrlPr>
                </m:sSubPr>
                <m:e>
                  <m:acc>
                    <m:accPr>
                      <m:chr m:val="̃"/>
                      <m:ctrlPr>
                        <w:rPr>
                          <w:rFonts w:ascii="Cambria Math" w:hAnsi="Cambria Math"/>
                        </w:rPr>
                      </m:ctrlPr>
                    </m:accPr>
                    <m:e>
                      <m:r>
                        <w:rPr>
                          <w:rFonts w:ascii="Cambria Math" w:hAnsi="Cambria Math"/>
                        </w:rPr>
                        <m:t>u</m:t>
                      </m:r>
                    </m:e>
                  </m:acc>
                </m:e>
                <m:sub>
                  <m:r>
                    <m:rPr>
                      <m:sty m:val="bi"/>
                    </m:rPr>
                    <w:rPr>
                      <w:rFonts w:ascii="Cambria Math" w:hAnsi="Cambria Math"/>
                    </w:rPr>
                    <m:t>s</m:t>
                  </m:r>
                </m:sub>
              </m:sSub>
              <m:r>
                <w:rPr>
                  <w:rFonts w:ascii="Cambria Math" w:hAnsi="Cambria Math"/>
                </w:rPr>
                <m:t>+</m:t>
              </m:r>
              <m:rad>
                <m:radPr>
                  <m:degHide m:val="1"/>
                  <m:ctrlPr>
                    <w:rPr>
                      <w:rFonts w:ascii="Cambria Math" w:hAnsi="Cambria Math"/>
                      <w:i/>
                    </w:rPr>
                  </m:ctrlPr>
                </m:radPr>
                <m:deg/>
                <m:e>
                  <m:r>
                    <m:rPr>
                      <m:sty m:val="bi"/>
                    </m:rPr>
                    <w:rPr>
                      <w:rFonts w:ascii="Cambria Math" w:hAnsi="Cambria Math"/>
                    </w:rPr>
                    <m:t>1</m:t>
                  </m:r>
                  <m:r>
                    <w:rPr>
                      <w:rFonts w:ascii="Cambria Math" w:hAnsi="Cambria Math"/>
                    </w:rPr>
                    <m:t>-</m:t>
                  </m:r>
                  <m:r>
                    <m:rPr>
                      <m:sty m:val="bi"/>
                    </m:rPr>
                    <w:rPr>
                      <w:rFonts w:ascii="Cambria Math" w:hAnsi="Cambria Math"/>
                    </w:rPr>
                    <m:t>ϕ</m:t>
                  </m:r>
                </m:e>
              </m:rad>
              <m:sSub>
                <m:sSubPr>
                  <m:ctrlPr>
                    <w:rPr>
                      <w:rFonts w:ascii="Cambria Math" w:hAnsi="Cambria Math"/>
                    </w:rPr>
                  </m:ctrlPr>
                </m:sSubPr>
                <m:e>
                  <m:r>
                    <w:rPr>
                      <w:rFonts w:ascii="Cambria Math" w:hAnsi="Cambria Math"/>
                    </w:rPr>
                    <m:t>v</m:t>
                  </m:r>
                </m:e>
                <m:sub>
                  <m:r>
                    <w:rPr>
                      <w:rFonts w:ascii="Cambria Math" w:hAnsi="Cambria Math"/>
                    </w:rPr>
                    <m:t>s</m:t>
                  </m:r>
                </m:sub>
              </m:sSub>
            </m:e>
          </m:d>
          <m:r>
            <w:rPr>
              <w:rFonts w:ascii="Cambria Math" w:hAnsi="Cambria Math"/>
            </w:rPr>
            <m:t xml:space="preserve"> </m:t>
          </m:r>
        </m:oMath>
      </m:oMathPara>
    </w:p>
    <w:p w14:paraId="1E268E17" w14:textId="29C9EBB3" w:rsidR="00927D4D" w:rsidRPr="001232F5" w:rsidRDefault="00327E04" w:rsidP="00327E04">
      <w:pPr>
        <w:pStyle w:val="Textoplano"/>
      </w:pPr>
      <w:r w:rsidRPr="001232F5">
        <w:t xml:space="preserve">where </w:t>
      </w:r>
      <m:oMath>
        <m:sSub>
          <m:sSubPr>
            <m:ctrlPr>
              <w:rPr>
                <w:rFonts w:ascii="Cambria Math" w:hAnsi="Cambria Math"/>
              </w:rPr>
            </m:ctrlPr>
          </m:sSubPr>
          <m:e>
            <m:acc>
              <m:accPr>
                <m:chr m:val="̃"/>
                <m:ctrlPr>
                  <w:rPr>
                    <w:rFonts w:ascii="Cambria Math" w:hAnsi="Cambria Math"/>
                  </w:rPr>
                </m:ctrlPr>
              </m:accPr>
              <m:e>
                <m:r>
                  <w:rPr>
                    <w:rFonts w:ascii="Cambria Math" w:hAnsi="Cambria Math"/>
                  </w:rPr>
                  <m:t>u</m:t>
                </m:r>
              </m:e>
            </m:acc>
          </m:e>
          <m:sub>
            <m:r>
              <w:rPr>
                <w:rFonts w:ascii="Cambria Math" w:hAnsi="Cambria Math"/>
              </w:rPr>
              <m:t>s</m:t>
            </m:r>
          </m:sub>
        </m:sSub>
      </m:oMath>
      <w:r w:rsidRPr="001232F5">
        <w:t xml:space="preserve"> follows an intrinsic conditional autoregressive (ICAR) model capturing spatial dependence between neighboring districts, and </w:t>
      </w:r>
      <m:oMath>
        <m:sSub>
          <m:sSubPr>
            <m:ctrlPr>
              <w:rPr>
                <w:rFonts w:ascii="Cambria Math" w:hAnsi="Cambria Math"/>
              </w:rPr>
            </m:ctrlPr>
          </m:sSubPr>
          <m:e>
            <m:r>
              <w:rPr>
                <w:rFonts w:ascii="Cambria Math" w:hAnsi="Cambria Math"/>
              </w:rPr>
              <m:t>v</m:t>
            </m:r>
          </m:e>
          <m:sub>
            <m:r>
              <w:rPr>
                <w:rFonts w:ascii="Cambria Math" w:hAnsi="Cambria Math"/>
              </w:rPr>
              <m:t>s</m:t>
            </m:r>
          </m:sub>
        </m:sSub>
        <m:r>
          <m:rPr>
            <m:scr m:val="script"/>
          </m:rPr>
          <w:rPr>
            <w:rFonts w:ascii="Cambria Math" w:hAnsi="Cambria Math"/>
          </w:rPr>
          <m:t>∼N</m:t>
        </m:r>
        <m:r>
          <w:rPr>
            <w:rFonts w:ascii="Cambria Math" w:hAnsi="Cambria Math"/>
          </w:rPr>
          <m:t>(0,1)</m:t>
        </m:r>
      </m:oMath>
      <w:r w:rsidRPr="001232F5">
        <w:t xml:space="preserve"> represents unstructured spatial heterogeneity. The parameter </w:t>
      </w:r>
      <m:oMath>
        <m:sSub>
          <m:sSubPr>
            <m:ctrlPr>
              <w:rPr>
                <w:rFonts w:ascii="Cambria Math" w:hAnsi="Cambria Math"/>
              </w:rPr>
            </m:ctrlPr>
          </m:sSubPr>
          <m:e>
            <m:r>
              <w:rPr>
                <w:rFonts w:ascii="Cambria Math" w:hAnsi="Cambria Math"/>
              </w:rPr>
              <m:t>τ</m:t>
            </m:r>
          </m:e>
          <m:sub>
            <m:r>
              <w:rPr>
                <w:rFonts w:ascii="Cambria Math" w:hAnsi="Cambria Math"/>
              </w:rPr>
              <m:t>u</m:t>
            </m:r>
          </m:sub>
        </m:sSub>
      </m:oMath>
      <w:r w:rsidRPr="001232F5">
        <w:t xml:space="preserve"> controls the overall spatial precision, while </w:t>
      </w:r>
      <m:oMath>
        <m:r>
          <w:rPr>
            <w:rFonts w:ascii="Cambria Math" w:hAnsi="Cambria Math"/>
          </w:rPr>
          <m:t>ϕ∈[0,1]</m:t>
        </m:r>
      </m:oMath>
      <w:r w:rsidRPr="001232F5">
        <w:t xml:space="preserve"> determines the proportion of variance attributed to the spatially structured component.</w:t>
      </w:r>
    </w:p>
    <w:p w14:paraId="06566991" w14:textId="77777777" w:rsidR="00741599" w:rsidRPr="001232F5" w:rsidRDefault="00927D4D" w:rsidP="00327E04">
      <w:pPr>
        <w:pStyle w:val="Textoplano"/>
        <w:rPr>
          <w:u w:val="single"/>
        </w:rPr>
      </w:pPr>
      <w:r w:rsidRPr="001232F5">
        <w:rPr>
          <w:u w:val="single"/>
        </w:rPr>
        <w:t>Temporal random effects</w:t>
      </w:r>
    </w:p>
    <w:p w14:paraId="19CD0FA4" w14:textId="53DACAF7" w:rsidR="00741599" w:rsidRPr="001232F5" w:rsidRDefault="00741599" w:rsidP="00327E04">
      <w:pPr>
        <w:pStyle w:val="Textoplano"/>
      </w:pPr>
      <w:r w:rsidRPr="001232F5">
        <w:lastRenderedPageBreak/>
        <w:t>Temporal dependence is modeled through a second-order random walk process:</w:t>
      </w:r>
    </w:p>
    <w:p w14:paraId="6ADDC045" w14:textId="77777777" w:rsidR="00741599" w:rsidRPr="001232F5" w:rsidRDefault="00000000" w:rsidP="00327E04">
      <w:pPr>
        <w:pStyle w:val="Textoplano"/>
      </w:pPr>
      <m:oMathPara>
        <m:oMath>
          <m:sSub>
            <m:sSubPr>
              <m:ctrlPr>
                <w:rPr>
                  <w:rFonts w:ascii="Cambria Math" w:hAnsi="Cambria Math"/>
                </w:rPr>
              </m:ctrlPr>
            </m:sSubPr>
            <m:e>
              <m:r>
                <w:rPr>
                  <w:rFonts w:ascii="Cambria Math" w:hAnsi="Cambria Math"/>
                </w:rPr>
                <m:t>v</m:t>
              </m:r>
            </m:e>
            <m:sub>
              <m:r>
                <w:rPr>
                  <w:rFonts w:ascii="Cambria Math" w:hAnsi="Cambria Math"/>
                </w:rPr>
                <m:t>t</m:t>
              </m:r>
            </m:sub>
          </m:sSub>
          <m:r>
            <w:rPr>
              <w:rFonts w:ascii="Cambria Math" w:hAnsi="Cambria Math"/>
            </w:rPr>
            <m:t>-2</m:t>
          </m:r>
          <m:sSub>
            <m:sSubPr>
              <m:ctrlPr>
                <w:rPr>
                  <w:rFonts w:ascii="Cambria Math" w:hAnsi="Cambria Math"/>
                </w:rPr>
              </m:ctrlPr>
            </m:sSubPr>
            <m:e>
              <m:r>
                <w:rPr>
                  <w:rFonts w:ascii="Cambria Math" w:hAnsi="Cambria Math"/>
                </w:rPr>
                <m:t>v</m:t>
              </m:r>
            </m:e>
            <m:sub>
              <m:r>
                <w:rPr>
                  <w:rFonts w:ascii="Cambria Math" w:hAnsi="Cambria Math"/>
                </w:rPr>
                <m:t>t-1</m:t>
              </m:r>
            </m:sub>
          </m:sSub>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t-2</m:t>
              </m:r>
            </m:sub>
          </m:sSub>
          <m:r>
            <m:rPr>
              <m:scr m:val="script"/>
            </m:rPr>
            <w:rPr>
              <w:rFonts w:ascii="Cambria Math" w:hAnsi="Cambria Math"/>
            </w:rPr>
            <m:t>∼N</m:t>
          </m:r>
          <m:r>
            <w:rPr>
              <w:rFonts w:ascii="Cambria Math" w:hAnsi="Cambria Math"/>
            </w:rPr>
            <m:t>(0,</m:t>
          </m:r>
          <m:sSubSup>
            <m:sSubSupPr>
              <m:ctrlPr>
                <w:rPr>
                  <w:rFonts w:ascii="Cambria Math" w:hAnsi="Cambria Math"/>
                </w:rPr>
              </m:ctrlPr>
            </m:sSubSupPr>
            <m:e>
              <m:r>
                <w:rPr>
                  <w:rFonts w:ascii="Cambria Math" w:hAnsi="Cambria Math"/>
                </w:rPr>
                <m:t>τ</m:t>
              </m:r>
            </m:e>
            <m:sub>
              <m:r>
                <w:rPr>
                  <w:rFonts w:ascii="Cambria Math" w:hAnsi="Cambria Math"/>
                </w:rPr>
                <m:t>v</m:t>
              </m:r>
            </m:sub>
            <m:sup>
              <m:r>
                <w:rPr>
                  <w:rFonts w:ascii="Cambria Math" w:hAnsi="Cambria Math"/>
                </w:rPr>
                <m:t>-1</m:t>
              </m:r>
            </m:sup>
          </m:sSubSup>
          <m:r>
            <w:rPr>
              <w:rFonts w:ascii="Cambria Math" w:hAnsi="Cambria Math"/>
            </w:rPr>
            <m:t>)</m:t>
          </m:r>
        </m:oMath>
      </m:oMathPara>
    </w:p>
    <w:p w14:paraId="58261206" w14:textId="77777777" w:rsidR="00741599" w:rsidRPr="001232F5" w:rsidRDefault="00741599" w:rsidP="00327E04">
      <w:pPr>
        <w:pStyle w:val="Textoplano"/>
        <w:rPr>
          <w:lang w:eastAsia="es-MX"/>
        </w:rPr>
      </w:pPr>
      <w:r w:rsidRPr="001232F5">
        <w:t xml:space="preserve">where </w:t>
      </w:r>
      <m:oMath>
        <m:sSub>
          <m:sSubPr>
            <m:ctrlPr>
              <w:rPr>
                <w:rFonts w:ascii="Cambria Math" w:hAnsi="Cambria Math"/>
              </w:rPr>
            </m:ctrlPr>
          </m:sSubPr>
          <m:e>
            <m:r>
              <w:rPr>
                <w:rFonts w:ascii="Cambria Math" w:hAnsi="Cambria Math"/>
              </w:rPr>
              <m:t>v</m:t>
            </m:r>
          </m:e>
          <m:sub>
            <m:r>
              <w:rPr>
                <w:rFonts w:ascii="Cambria Math" w:hAnsi="Cambria Math"/>
              </w:rPr>
              <m:t>t</m:t>
            </m:r>
          </m:sub>
        </m:sSub>
      </m:oMath>
      <w:r w:rsidRPr="001232F5">
        <w:t xml:space="preserve">denotes the temporal random effect at time </w:t>
      </w:r>
      <m:oMath>
        <m:r>
          <w:rPr>
            <w:rFonts w:ascii="Cambria Math" w:hAnsi="Cambria Math"/>
          </w:rPr>
          <m:t>t</m:t>
        </m:r>
      </m:oMath>
      <w:r w:rsidRPr="001232F5">
        <w:t xml:space="preserve">, and </w:t>
      </w:r>
      <m:oMath>
        <m:sSub>
          <m:sSubPr>
            <m:ctrlPr>
              <w:rPr>
                <w:rFonts w:ascii="Cambria Math" w:hAnsi="Cambria Math"/>
              </w:rPr>
            </m:ctrlPr>
          </m:sSubPr>
          <m:e>
            <m:r>
              <w:rPr>
                <w:rFonts w:ascii="Cambria Math" w:hAnsi="Cambria Math"/>
              </w:rPr>
              <m:t>τ</m:t>
            </m:r>
          </m:e>
          <m:sub>
            <m:r>
              <w:rPr>
                <w:rFonts w:ascii="Cambria Math" w:hAnsi="Cambria Math"/>
              </w:rPr>
              <m:t>v</m:t>
            </m:r>
          </m:sub>
        </m:sSub>
      </m:oMath>
      <w:r w:rsidRPr="001232F5">
        <w:t>is the precision parameter controlling the degree of smoothness, with larger values implying smoother temporal trajectories. This specification penalizes abrupt changes in the slope of the temporal trend, allowing for flexible but smooth nonlinear temporal evolution.</w:t>
      </w:r>
    </w:p>
    <w:p w14:paraId="5CD95CE1" w14:textId="77777777" w:rsidR="00741599" w:rsidRPr="001232F5" w:rsidRDefault="00741599" w:rsidP="00327E04">
      <w:pPr>
        <w:pStyle w:val="Textoplano"/>
      </w:pPr>
    </w:p>
    <w:p w14:paraId="1867BBA5" w14:textId="15C8B138" w:rsidR="0001450D" w:rsidRPr="00741599" w:rsidRDefault="0001450D" w:rsidP="00741599">
      <w:pPr>
        <w:rPr>
          <w:rFonts w:ascii="Arial" w:hAnsi="Arial" w:cs="Arial"/>
          <w:lang w:val="en-US" w:eastAsia="en-US"/>
        </w:rPr>
        <w:sectPr w:rsidR="0001450D" w:rsidRPr="00741599">
          <w:pgSz w:w="12240" w:h="15840"/>
          <w:pgMar w:top="1417" w:right="1701" w:bottom="1417" w:left="1701" w:header="708" w:footer="708" w:gutter="0"/>
          <w:cols w:space="708"/>
          <w:docGrid w:linePitch="360"/>
        </w:sectPr>
      </w:pPr>
    </w:p>
    <w:p w14:paraId="5E966F5F" w14:textId="77777777" w:rsidR="00522C73" w:rsidRPr="00ED7A89" w:rsidRDefault="00522C73" w:rsidP="00522C73">
      <w:pPr>
        <w:spacing w:line="360" w:lineRule="auto"/>
        <w:rPr>
          <w:rFonts w:ascii="Arial" w:eastAsiaTheme="minorEastAsia" w:hAnsi="Arial" w:cs="Arial"/>
          <w:b/>
          <w:bCs/>
          <w:lang w:val="en-US"/>
        </w:rPr>
      </w:pPr>
      <w:r w:rsidRPr="003822BC">
        <w:rPr>
          <w:rFonts w:ascii="Arial" w:eastAsiaTheme="minorEastAsia" w:hAnsi="Arial" w:cs="Arial"/>
          <w:b/>
          <w:bCs/>
          <w:lang w:val="en-US"/>
        </w:rPr>
        <w:lastRenderedPageBreak/>
        <w:t xml:space="preserve">Supplementary table 2. </w:t>
      </w:r>
      <w:r w:rsidRPr="003822BC">
        <w:rPr>
          <w:rFonts w:ascii="Arial" w:eastAsiaTheme="minorEastAsia" w:hAnsi="Arial" w:cs="Arial"/>
          <w:lang w:val="en-US"/>
        </w:rPr>
        <w:t>Model specification</w:t>
      </w:r>
    </w:p>
    <w:tbl>
      <w:tblPr>
        <w:tblStyle w:val="PlainTable2"/>
        <w:tblpPr w:leftFromText="141" w:rightFromText="141" w:vertAnchor="page" w:horzAnchor="margin" w:tblpY="1710"/>
        <w:tblW w:w="12705" w:type="dxa"/>
        <w:tblLook w:val="04A0" w:firstRow="1" w:lastRow="0" w:firstColumn="1" w:lastColumn="0" w:noHBand="0" w:noVBand="1"/>
      </w:tblPr>
      <w:tblGrid>
        <w:gridCol w:w="1639"/>
        <w:gridCol w:w="5024"/>
        <w:gridCol w:w="3118"/>
        <w:gridCol w:w="2924"/>
      </w:tblGrid>
      <w:tr w:rsidR="00392781" w14:paraId="63383764" w14:textId="77777777" w:rsidTr="00392781">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0" w:type="auto"/>
            <w:hideMark/>
          </w:tcPr>
          <w:p w14:paraId="4C3B85D3" w14:textId="77777777" w:rsidR="00392781" w:rsidRPr="00392781" w:rsidRDefault="00392781" w:rsidP="00392781">
            <w:pPr>
              <w:jc w:val="center"/>
              <w:rPr>
                <w:rFonts w:ascii="Arial" w:hAnsi="Arial" w:cs="Arial"/>
              </w:rPr>
            </w:pPr>
            <w:r w:rsidRPr="00392781">
              <w:rPr>
                <w:rFonts w:ascii="Arial" w:hAnsi="Arial" w:cs="Arial"/>
              </w:rPr>
              <w:t>Model</w:t>
            </w:r>
          </w:p>
        </w:tc>
        <w:tc>
          <w:tcPr>
            <w:tcW w:w="5024" w:type="dxa"/>
            <w:hideMark/>
          </w:tcPr>
          <w:p w14:paraId="2289C23A" w14:textId="77777777" w:rsidR="00392781" w:rsidRPr="00392781" w:rsidRDefault="00392781" w:rsidP="00392781">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392781">
              <w:rPr>
                <w:rFonts w:ascii="Arial" w:hAnsi="Arial" w:cs="Arial"/>
              </w:rPr>
              <w:t>Fixed effects</w:t>
            </w:r>
          </w:p>
        </w:tc>
        <w:tc>
          <w:tcPr>
            <w:tcW w:w="3118" w:type="dxa"/>
            <w:hideMark/>
          </w:tcPr>
          <w:p w14:paraId="19ECE4FE" w14:textId="77777777" w:rsidR="00392781" w:rsidRPr="00392781" w:rsidRDefault="00392781" w:rsidP="00392781">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392781">
              <w:rPr>
                <w:rFonts w:ascii="Arial" w:hAnsi="Arial" w:cs="Arial"/>
              </w:rPr>
              <w:t>Spatial (</w:t>
            </w:r>
            <m:oMath>
              <m:sSub>
                <m:sSubPr>
                  <m:ctrlPr>
                    <w:rPr>
                      <w:rFonts w:ascii="Cambria Math" w:hAnsi="Cambria Math" w:cs="Arial"/>
                      <w:i/>
                      <w:iCs/>
                    </w:rPr>
                  </m:ctrlPr>
                </m:sSubPr>
                <m:e>
                  <m:r>
                    <m:rPr>
                      <m:sty m:val="bi"/>
                    </m:rPr>
                    <w:rPr>
                      <w:rFonts w:ascii="Cambria Math" w:hAnsi="Cambria Math" w:cs="Arial"/>
                    </w:rPr>
                    <m:t>u</m:t>
                  </m:r>
                </m:e>
                <m:sub>
                  <m:r>
                    <m:rPr>
                      <m:sty m:val="bi"/>
                    </m:rPr>
                    <w:rPr>
                      <w:rFonts w:ascii="Cambria Math" w:hAnsi="Cambria Math" w:cs="Arial"/>
                    </w:rPr>
                    <m:t>s</m:t>
                  </m:r>
                </m:sub>
              </m:sSub>
            </m:oMath>
            <w:r w:rsidRPr="00392781">
              <w:rPr>
                <w:rFonts w:ascii="Arial" w:hAnsi="Arial" w:cs="Arial"/>
              </w:rPr>
              <w:t>)</w:t>
            </w:r>
          </w:p>
        </w:tc>
        <w:tc>
          <w:tcPr>
            <w:tcW w:w="2924" w:type="dxa"/>
            <w:hideMark/>
          </w:tcPr>
          <w:p w14:paraId="3019A769" w14:textId="77777777" w:rsidR="00392781" w:rsidRPr="00392781" w:rsidRDefault="00392781" w:rsidP="00392781">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392781">
              <w:rPr>
                <w:rFonts w:ascii="Arial" w:hAnsi="Arial" w:cs="Arial"/>
              </w:rPr>
              <w:t>Temporal (</w:t>
            </w:r>
            <m:oMath>
              <m:sSub>
                <m:sSubPr>
                  <m:ctrlPr>
                    <w:rPr>
                      <w:rFonts w:ascii="Cambria Math" w:hAnsi="Cambria Math"/>
                    </w:rPr>
                  </m:ctrlPr>
                </m:sSubPr>
                <m:e>
                  <m:r>
                    <m:rPr>
                      <m:sty m:val="bi"/>
                    </m:rPr>
                    <w:rPr>
                      <w:rFonts w:ascii="Cambria Math" w:hAnsi="Cambria Math"/>
                    </w:rPr>
                    <m:t>v</m:t>
                  </m:r>
                </m:e>
                <m:sub>
                  <m:r>
                    <m:rPr>
                      <m:sty m:val="bi"/>
                    </m:rPr>
                    <w:rPr>
                      <w:rFonts w:ascii="Cambria Math" w:hAnsi="Cambria Math"/>
                    </w:rPr>
                    <m:t>t</m:t>
                  </m:r>
                </m:sub>
              </m:sSub>
            </m:oMath>
            <w:r w:rsidRPr="00392781">
              <w:rPr>
                <w:rFonts w:ascii="Arial" w:hAnsi="Arial" w:cs="Arial"/>
              </w:rPr>
              <w:t>)</w:t>
            </w:r>
          </w:p>
        </w:tc>
      </w:tr>
      <w:tr w:rsidR="00392781" w14:paraId="09C8ACBB" w14:textId="77777777" w:rsidTr="003927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4"/>
          </w:tcPr>
          <w:p w14:paraId="7EB1E5C5" w14:textId="77777777" w:rsidR="00392781" w:rsidRPr="00392781" w:rsidRDefault="00392781" w:rsidP="00392781">
            <w:pPr>
              <w:rPr>
                <w:rFonts w:ascii="Arial" w:hAnsi="Arial" w:cs="Arial"/>
              </w:rPr>
            </w:pPr>
            <w:r w:rsidRPr="00392781">
              <w:rPr>
                <w:rFonts w:ascii="Arial" w:hAnsi="Arial" w:cs="Arial"/>
              </w:rPr>
              <w:t>Elementary education</w:t>
            </w:r>
          </w:p>
        </w:tc>
      </w:tr>
      <w:tr w:rsidR="00392781" w14:paraId="3265A74A" w14:textId="77777777" w:rsidTr="00392781">
        <w:trPr>
          <w:trHeight w:val="707"/>
        </w:trPr>
        <w:tc>
          <w:tcPr>
            <w:cnfStyle w:val="001000000000" w:firstRow="0" w:lastRow="0" w:firstColumn="1" w:lastColumn="0" w:oddVBand="0" w:evenVBand="0" w:oddHBand="0" w:evenHBand="0" w:firstRowFirstColumn="0" w:firstRowLastColumn="0" w:lastRowFirstColumn="0" w:lastRowLastColumn="0"/>
            <w:tcW w:w="0" w:type="auto"/>
            <w:hideMark/>
          </w:tcPr>
          <w:p w14:paraId="729746A4" w14:textId="77777777" w:rsidR="00392781" w:rsidRPr="00392781" w:rsidRDefault="00392781" w:rsidP="00392781">
            <w:pPr>
              <w:rPr>
                <w:rFonts w:ascii="Arial" w:hAnsi="Arial" w:cs="Arial"/>
              </w:rPr>
            </w:pPr>
            <w:r w:rsidRPr="00392781">
              <w:rPr>
                <w:rFonts w:ascii="Arial" w:hAnsi="Arial" w:cs="Arial"/>
              </w:rPr>
              <w:t>Me-1</w:t>
            </w:r>
          </w:p>
        </w:tc>
        <w:tc>
          <w:tcPr>
            <w:tcW w:w="5024" w:type="dxa"/>
            <w:hideMark/>
          </w:tcPr>
          <w:p w14:paraId="307DF113" w14:textId="77777777" w:rsidR="00392781" w:rsidRPr="00392781" w:rsidRDefault="00392781" w:rsidP="0039278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92781">
              <w:rPr>
                <w:rFonts w:ascii="Arial" w:hAnsi="Arial" w:cs="Arial"/>
              </w:rPr>
              <w:t>-</w:t>
            </w:r>
          </w:p>
        </w:tc>
        <w:tc>
          <w:tcPr>
            <w:tcW w:w="3118" w:type="dxa"/>
            <w:hideMark/>
          </w:tcPr>
          <w:p w14:paraId="6A96242A" w14:textId="77777777" w:rsidR="00392781" w:rsidRPr="00392781" w:rsidRDefault="00392781" w:rsidP="0039278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92781">
              <w:rPr>
                <w:rFonts w:ascii="Arial" w:hAnsi="Arial" w:cs="Arial"/>
              </w:rPr>
              <w:t>SPDE</w:t>
            </w:r>
          </w:p>
        </w:tc>
        <w:tc>
          <w:tcPr>
            <w:tcW w:w="2924" w:type="dxa"/>
            <w:hideMark/>
          </w:tcPr>
          <w:p w14:paraId="1CF65D4A" w14:textId="77777777" w:rsidR="00392781" w:rsidRPr="00392781" w:rsidRDefault="00392781" w:rsidP="0039278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92781">
              <w:rPr>
                <w:rFonts w:ascii="Arial" w:hAnsi="Arial" w:cs="Arial"/>
              </w:rPr>
              <w:t>RW2</w:t>
            </w:r>
          </w:p>
        </w:tc>
      </w:tr>
      <w:tr w:rsidR="00392781" w14:paraId="5E1E4280" w14:textId="77777777" w:rsidTr="00392781">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0" w:type="auto"/>
            <w:hideMark/>
          </w:tcPr>
          <w:p w14:paraId="00CF9FB2" w14:textId="77777777" w:rsidR="00392781" w:rsidRPr="00392781" w:rsidRDefault="00392781" w:rsidP="00392781">
            <w:pPr>
              <w:rPr>
                <w:rFonts w:ascii="Arial" w:hAnsi="Arial" w:cs="Arial"/>
              </w:rPr>
            </w:pPr>
            <w:r w:rsidRPr="00392781">
              <w:rPr>
                <w:rFonts w:ascii="Arial" w:hAnsi="Arial" w:cs="Arial"/>
              </w:rPr>
              <w:t>Me-2</w:t>
            </w:r>
          </w:p>
        </w:tc>
        <w:tc>
          <w:tcPr>
            <w:tcW w:w="5024" w:type="dxa"/>
            <w:hideMark/>
          </w:tcPr>
          <w:p w14:paraId="382E3307" w14:textId="77777777" w:rsidR="00392781" w:rsidRPr="00392781" w:rsidRDefault="00392781" w:rsidP="0039278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92781">
              <w:rPr>
                <w:rFonts w:ascii="Arial" w:hAnsi="Arial" w:cs="Arial"/>
              </w:rPr>
              <w:t>-</w:t>
            </w:r>
          </w:p>
        </w:tc>
        <w:tc>
          <w:tcPr>
            <w:tcW w:w="3118" w:type="dxa"/>
            <w:hideMark/>
          </w:tcPr>
          <w:p w14:paraId="5F685255" w14:textId="77777777" w:rsidR="00392781" w:rsidRPr="00392781" w:rsidRDefault="00392781" w:rsidP="0039278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92781">
              <w:rPr>
                <w:rFonts w:ascii="Arial" w:hAnsi="Arial" w:cs="Arial"/>
              </w:rPr>
              <w:t>SPDE + IID(province)</w:t>
            </w:r>
          </w:p>
        </w:tc>
        <w:tc>
          <w:tcPr>
            <w:tcW w:w="2924" w:type="dxa"/>
            <w:hideMark/>
          </w:tcPr>
          <w:p w14:paraId="402B746D" w14:textId="77777777" w:rsidR="00392781" w:rsidRPr="00392781" w:rsidRDefault="00392781" w:rsidP="0039278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92781">
              <w:rPr>
                <w:rFonts w:ascii="Arial" w:hAnsi="Arial" w:cs="Arial"/>
              </w:rPr>
              <w:t>RW2</w:t>
            </w:r>
          </w:p>
        </w:tc>
      </w:tr>
      <w:tr w:rsidR="00392781" w14:paraId="008E62EA" w14:textId="77777777" w:rsidTr="00392781">
        <w:trPr>
          <w:trHeight w:val="729"/>
        </w:trPr>
        <w:tc>
          <w:tcPr>
            <w:cnfStyle w:val="001000000000" w:firstRow="0" w:lastRow="0" w:firstColumn="1" w:lastColumn="0" w:oddVBand="0" w:evenVBand="0" w:oddHBand="0" w:evenHBand="0" w:firstRowFirstColumn="0" w:firstRowLastColumn="0" w:lastRowFirstColumn="0" w:lastRowLastColumn="0"/>
            <w:tcW w:w="0" w:type="auto"/>
            <w:hideMark/>
          </w:tcPr>
          <w:p w14:paraId="49EA1E96" w14:textId="77777777" w:rsidR="00392781" w:rsidRPr="00392781" w:rsidRDefault="00392781" w:rsidP="00392781">
            <w:pPr>
              <w:rPr>
                <w:rFonts w:ascii="Arial" w:hAnsi="Arial" w:cs="Arial"/>
                <w:b w:val="0"/>
                <w:bCs w:val="0"/>
              </w:rPr>
            </w:pPr>
            <w:r w:rsidRPr="00392781">
              <w:rPr>
                <w:rStyle w:val="Strong"/>
                <w:rFonts w:ascii="Arial" w:hAnsi="Arial" w:cs="Arial"/>
                <w:b/>
                <w:bCs/>
              </w:rPr>
              <w:t>Me-3</w:t>
            </w:r>
          </w:p>
        </w:tc>
        <w:tc>
          <w:tcPr>
            <w:tcW w:w="5024" w:type="dxa"/>
            <w:hideMark/>
          </w:tcPr>
          <w:p w14:paraId="35A44486" w14:textId="77777777" w:rsidR="00392781" w:rsidRPr="00392781" w:rsidRDefault="00000000" w:rsidP="00392781">
            <w:pPr>
              <w:cnfStyle w:val="000000000000" w:firstRow="0" w:lastRow="0" w:firstColumn="0" w:lastColumn="0" w:oddVBand="0" w:evenVBand="0" w:oddHBand="0" w:evenHBand="0" w:firstRowFirstColumn="0" w:firstRowLastColumn="0" w:lastRowFirstColumn="0" w:lastRowLastColumn="0"/>
              <w:rPr>
                <w:rFonts w:ascii="Arial" w:hAnsi="Arial" w:cs="Arial"/>
              </w:rPr>
            </w:pPr>
            <m:oMathPara>
              <m:oMath>
                <m:sSub>
                  <m:sSubPr>
                    <m:ctrlPr>
                      <w:rPr>
                        <w:rStyle w:val="mord"/>
                        <w:rFonts w:ascii="Cambria Math" w:eastAsiaTheme="majorEastAsia" w:hAnsi="Cambria Math" w:cs="Arial"/>
                      </w:rPr>
                    </m:ctrlPr>
                  </m:sSubPr>
                  <m:e>
                    <m:r>
                      <m:rPr>
                        <m:sty m:val="p"/>
                      </m:rPr>
                      <w:rPr>
                        <w:rStyle w:val="mord"/>
                        <w:rFonts w:ascii="Cambria Math" w:eastAsiaTheme="majorEastAsia" w:hAnsi="Cambria Math" w:cs="Arial"/>
                      </w:rPr>
                      <m:t>β</m:t>
                    </m:r>
                  </m:e>
                  <m:sub>
                    <m:r>
                      <w:rPr>
                        <w:rStyle w:val="mord"/>
                        <w:rFonts w:ascii="Cambria Math" w:eastAsiaTheme="majorEastAsia" w:hAnsi="Cambria Math" w:cs="Arial"/>
                      </w:rPr>
                      <m:t>0</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m:t>
                    </m:r>
                  </m:sub>
                </m:sSub>
                <m:r>
                  <w:rPr>
                    <w:rFonts w:ascii="Cambria Math" w:hAnsi="Cambria Math" w:cs="Arial"/>
                  </w:rPr>
                  <m:t>pc1</m:t>
                </m:r>
              </m:oMath>
            </m:oMathPara>
          </w:p>
        </w:tc>
        <w:tc>
          <w:tcPr>
            <w:tcW w:w="3118" w:type="dxa"/>
            <w:hideMark/>
          </w:tcPr>
          <w:p w14:paraId="79E58EF6" w14:textId="77777777" w:rsidR="00392781" w:rsidRPr="00392781" w:rsidRDefault="00392781" w:rsidP="0039278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92781">
              <w:rPr>
                <w:rFonts w:ascii="Arial" w:hAnsi="Arial" w:cs="Arial"/>
              </w:rPr>
              <w:t>SPDE</w:t>
            </w:r>
          </w:p>
        </w:tc>
        <w:tc>
          <w:tcPr>
            <w:tcW w:w="2924" w:type="dxa"/>
            <w:hideMark/>
          </w:tcPr>
          <w:p w14:paraId="76AA5BBD" w14:textId="77777777" w:rsidR="00392781" w:rsidRPr="00392781" w:rsidRDefault="00392781" w:rsidP="0039278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92781">
              <w:rPr>
                <w:rFonts w:ascii="Arial" w:hAnsi="Arial" w:cs="Arial"/>
              </w:rPr>
              <w:t>RW2</w:t>
            </w:r>
          </w:p>
        </w:tc>
      </w:tr>
      <w:tr w:rsidR="00392781" w14:paraId="64D50DD2" w14:textId="77777777" w:rsidTr="00392781">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0" w:type="auto"/>
            <w:hideMark/>
          </w:tcPr>
          <w:p w14:paraId="71756B38" w14:textId="77777777" w:rsidR="00392781" w:rsidRPr="00392781" w:rsidRDefault="00392781" w:rsidP="00392781">
            <w:pPr>
              <w:rPr>
                <w:rFonts w:ascii="Arial" w:hAnsi="Arial" w:cs="Arial"/>
                <w:b w:val="0"/>
                <w:bCs w:val="0"/>
              </w:rPr>
            </w:pPr>
            <w:r w:rsidRPr="00392781">
              <w:rPr>
                <w:rStyle w:val="Strong"/>
                <w:rFonts w:ascii="Arial" w:hAnsi="Arial" w:cs="Arial"/>
                <w:b/>
                <w:bCs/>
              </w:rPr>
              <w:t>Me-4</w:t>
            </w:r>
          </w:p>
        </w:tc>
        <w:tc>
          <w:tcPr>
            <w:tcW w:w="5024" w:type="dxa"/>
            <w:hideMark/>
          </w:tcPr>
          <w:p w14:paraId="409F36BC" w14:textId="77777777" w:rsidR="00392781" w:rsidRPr="00392781" w:rsidRDefault="00000000" w:rsidP="00392781">
            <w:pPr>
              <w:cnfStyle w:val="000000100000" w:firstRow="0" w:lastRow="0" w:firstColumn="0" w:lastColumn="0" w:oddVBand="0" w:evenVBand="0" w:oddHBand="1" w:evenHBand="0" w:firstRowFirstColumn="0" w:firstRowLastColumn="0" w:lastRowFirstColumn="0" w:lastRowLastColumn="0"/>
              <w:rPr>
                <w:rFonts w:ascii="Arial" w:hAnsi="Arial" w:cs="Arial"/>
              </w:rPr>
            </w:pPr>
            <m:oMathPara>
              <m:oMath>
                <m:sSub>
                  <m:sSubPr>
                    <m:ctrlPr>
                      <w:rPr>
                        <w:rStyle w:val="mord"/>
                        <w:rFonts w:ascii="Cambria Math" w:eastAsiaTheme="majorEastAsia" w:hAnsi="Cambria Math" w:cs="Arial"/>
                      </w:rPr>
                    </m:ctrlPr>
                  </m:sSubPr>
                  <m:e>
                    <m:r>
                      <m:rPr>
                        <m:sty m:val="p"/>
                      </m:rPr>
                      <w:rPr>
                        <w:rStyle w:val="mord"/>
                        <w:rFonts w:ascii="Cambria Math" w:eastAsiaTheme="majorEastAsia" w:hAnsi="Cambria Math" w:cs="Arial"/>
                      </w:rPr>
                      <m:t>β</m:t>
                    </m:r>
                  </m:e>
                  <m:sub>
                    <m:r>
                      <w:rPr>
                        <w:rStyle w:val="mord"/>
                        <w:rFonts w:ascii="Cambria Math" w:eastAsiaTheme="majorEastAsia" w:hAnsi="Cambria Math" w:cs="Arial"/>
                      </w:rPr>
                      <m:t>0</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m:t>
                    </m:r>
                  </m:sub>
                </m:sSub>
                <m:r>
                  <w:rPr>
                    <w:rFonts w:ascii="Cambria Math" w:hAnsi="Cambria Math" w:cs="Arial"/>
                  </w:rPr>
                  <m:t>pc1+</m:t>
                </m:r>
                <m:sSub>
                  <m:sSubPr>
                    <m:ctrlPr>
                      <w:rPr>
                        <w:rFonts w:ascii="Cambria Math" w:hAnsi="Cambria Math" w:cs="Arial"/>
                      </w:rPr>
                    </m:ctrlPr>
                  </m:sSubPr>
                  <m:e>
                    <m:r>
                      <w:rPr>
                        <w:rFonts w:ascii="Cambria Math" w:hAnsi="Cambria Math" w:cs="Arial"/>
                      </w:rPr>
                      <m:t>β</m:t>
                    </m:r>
                  </m:e>
                  <m:sub>
                    <m:r>
                      <w:rPr>
                        <w:rFonts w:ascii="Cambria Math" w:hAnsi="Cambria Math" w:cs="Arial"/>
                      </w:rPr>
                      <m:t>2</m:t>
                    </m:r>
                  </m:sub>
                </m:sSub>
                <m:r>
                  <w:rPr>
                    <w:rFonts w:ascii="Cambria Math" w:hAnsi="Cambria Math" w:cs="Arial"/>
                  </w:rPr>
                  <m:t xml:space="preserve">pc2 </m:t>
                </m:r>
              </m:oMath>
            </m:oMathPara>
          </w:p>
        </w:tc>
        <w:tc>
          <w:tcPr>
            <w:tcW w:w="3118" w:type="dxa"/>
            <w:hideMark/>
          </w:tcPr>
          <w:p w14:paraId="3703A530" w14:textId="77777777" w:rsidR="00392781" w:rsidRPr="00392781" w:rsidRDefault="00392781" w:rsidP="0039278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92781">
              <w:rPr>
                <w:rFonts w:ascii="Arial" w:hAnsi="Arial" w:cs="Arial"/>
              </w:rPr>
              <w:t>SPDE</w:t>
            </w:r>
          </w:p>
        </w:tc>
        <w:tc>
          <w:tcPr>
            <w:tcW w:w="2924" w:type="dxa"/>
            <w:hideMark/>
          </w:tcPr>
          <w:p w14:paraId="21E4E294" w14:textId="77777777" w:rsidR="00392781" w:rsidRPr="00392781" w:rsidRDefault="00392781" w:rsidP="0039278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92781">
              <w:rPr>
                <w:rFonts w:ascii="Arial" w:hAnsi="Arial" w:cs="Arial"/>
              </w:rPr>
              <w:t>RW2</w:t>
            </w:r>
          </w:p>
        </w:tc>
      </w:tr>
      <w:tr w:rsidR="00392781" w14:paraId="3C032B70" w14:textId="77777777" w:rsidTr="00392781">
        <w:tc>
          <w:tcPr>
            <w:cnfStyle w:val="001000000000" w:firstRow="0" w:lastRow="0" w:firstColumn="1" w:lastColumn="0" w:oddVBand="0" w:evenVBand="0" w:oddHBand="0" w:evenHBand="0" w:firstRowFirstColumn="0" w:firstRowLastColumn="0" w:lastRowFirstColumn="0" w:lastRowLastColumn="0"/>
            <w:tcW w:w="0" w:type="auto"/>
            <w:gridSpan w:val="4"/>
          </w:tcPr>
          <w:p w14:paraId="5C802B1F" w14:textId="77777777" w:rsidR="00392781" w:rsidRPr="00392781" w:rsidRDefault="00392781" w:rsidP="00392781">
            <w:pPr>
              <w:rPr>
                <w:rFonts w:ascii="Arial" w:hAnsi="Arial" w:cs="Arial"/>
              </w:rPr>
            </w:pPr>
            <w:r w:rsidRPr="00392781">
              <w:rPr>
                <w:rFonts w:ascii="Arial" w:hAnsi="Arial" w:cs="Arial"/>
              </w:rPr>
              <w:t>Poverty status</w:t>
            </w:r>
          </w:p>
        </w:tc>
      </w:tr>
      <w:tr w:rsidR="00392781" w14:paraId="1D20706D" w14:textId="77777777" w:rsidTr="00392781">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0" w:type="auto"/>
            <w:hideMark/>
          </w:tcPr>
          <w:p w14:paraId="60A64618" w14:textId="77777777" w:rsidR="00392781" w:rsidRPr="00392781" w:rsidRDefault="00392781" w:rsidP="00392781">
            <w:pPr>
              <w:rPr>
                <w:rFonts w:ascii="Arial" w:hAnsi="Arial" w:cs="Arial"/>
              </w:rPr>
            </w:pPr>
            <w:r w:rsidRPr="00392781">
              <w:rPr>
                <w:rFonts w:ascii="Arial" w:hAnsi="Arial" w:cs="Arial"/>
              </w:rPr>
              <w:t>Mp-1</w:t>
            </w:r>
          </w:p>
        </w:tc>
        <w:tc>
          <w:tcPr>
            <w:tcW w:w="5024" w:type="dxa"/>
            <w:hideMark/>
          </w:tcPr>
          <w:p w14:paraId="65DC01D3" w14:textId="77777777" w:rsidR="00392781" w:rsidRPr="00392781" w:rsidRDefault="00392781" w:rsidP="0039278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92781">
              <w:rPr>
                <w:rFonts w:ascii="Arial" w:hAnsi="Arial" w:cs="Arial"/>
              </w:rPr>
              <w:t>-</w:t>
            </w:r>
          </w:p>
        </w:tc>
        <w:tc>
          <w:tcPr>
            <w:tcW w:w="3118" w:type="dxa"/>
            <w:hideMark/>
          </w:tcPr>
          <w:p w14:paraId="443EE633" w14:textId="77777777" w:rsidR="00392781" w:rsidRPr="00392781" w:rsidRDefault="00392781" w:rsidP="0039278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92781">
              <w:rPr>
                <w:rFonts w:ascii="Arial" w:hAnsi="Arial" w:cs="Arial"/>
              </w:rPr>
              <w:t>BYM2</w:t>
            </w:r>
          </w:p>
        </w:tc>
        <w:tc>
          <w:tcPr>
            <w:tcW w:w="2924" w:type="dxa"/>
            <w:hideMark/>
          </w:tcPr>
          <w:p w14:paraId="3C12179B" w14:textId="77777777" w:rsidR="00392781" w:rsidRPr="00392781" w:rsidRDefault="00392781" w:rsidP="0039278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92781">
              <w:rPr>
                <w:rFonts w:ascii="Arial" w:hAnsi="Arial" w:cs="Arial"/>
              </w:rPr>
              <w:t>RW2</w:t>
            </w:r>
          </w:p>
        </w:tc>
      </w:tr>
      <w:tr w:rsidR="00392781" w14:paraId="285A70C8" w14:textId="77777777" w:rsidTr="00392781">
        <w:trPr>
          <w:trHeight w:val="729"/>
        </w:trPr>
        <w:tc>
          <w:tcPr>
            <w:cnfStyle w:val="001000000000" w:firstRow="0" w:lastRow="0" w:firstColumn="1" w:lastColumn="0" w:oddVBand="0" w:evenVBand="0" w:oddHBand="0" w:evenHBand="0" w:firstRowFirstColumn="0" w:firstRowLastColumn="0" w:lastRowFirstColumn="0" w:lastRowLastColumn="0"/>
            <w:tcW w:w="0" w:type="auto"/>
            <w:hideMark/>
          </w:tcPr>
          <w:p w14:paraId="0085B448" w14:textId="77777777" w:rsidR="00392781" w:rsidRPr="00392781" w:rsidRDefault="00392781" w:rsidP="00392781">
            <w:pPr>
              <w:rPr>
                <w:rFonts w:ascii="Arial" w:hAnsi="Arial" w:cs="Arial"/>
              </w:rPr>
            </w:pPr>
            <w:r w:rsidRPr="00392781">
              <w:rPr>
                <w:rFonts w:ascii="Arial" w:hAnsi="Arial" w:cs="Arial"/>
              </w:rPr>
              <w:t>Mp-2</w:t>
            </w:r>
          </w:p>
        </w:tc>
        <w:tc>
          <w:tcPr>
            <w:tcW w:w="5024" w:type="dxa"/>
            <w:hideMark/>
          </w:tcPr>
          <w:p w14:paraId="2461E7DA" w14:textId="77777777" w:rsidR="00392781" w:rsidRPr="00392781" w:rsidRDefault="00392781" w:rsidP="0039278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92781">
              <w:rPr>
                <w:rFonts w:ascii="Arial" w:hAnsi="Arial" w:cs="Arial"/>
              </w:rPr>
              <w:t>-</w:t>
            </w:r>
          </w:p>
        </w:tc>
        <w:tc>
          <w:tcPr>
            <w:tcW w:w="3118" w:type="dxa"/>
            <w:hideMark/>
          </w:tcPr>
          <w:p w14:paraId="5B086ACA" w14:textId="77777777" w:rsidR="00392781" w:rsidRPr="00392781" w:rsidRDefault="00392781" w:rsidP="0039278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92781">
              <w:rPr>
                <w:rFonts w:ascii="Arial" w:hAnsi="Arial" w:cs="Arial"/>
              </w:rPr>
              <w:t>BYM2 + IID(province)</w:t>
            </w:r>
          </w:p>
        </w:tc>
        <w:tc>
          <w:tcPr>
            <w:tcW w:w="2924" w:type="dxa"/>
            <w:hideMark/>
          </w:tcPr>
          <w:p w14:paraId="6CF5AF7E" w14:textId="77777777" w:rsidR="00392781" w:rsidRPr="00392781" w:rsidRDefault="00392781" w:rsidP="0039278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92781">
              <w:rPr>
                <w:rFonts w:ascii="Arial" w:hAnsi="Arial" w:cs="Arial"/>
              </w:rPr>
              <w:t>RW2</w:t>
            </w:r>
          </w:p>
        </w:tc>
      </w:tr>
      <w:tr w:rsidR="00392781" w14:paraId="53300D0F" w14:textId="77777777" w:rsidTr="00392781">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0" w:type="auto"/>
            <w:hideMark/>
          </w:tcPr>
          <w:p w14:paraId="30A573D0" w14:textId="77777777" w:rsidR="00392781" w:rsidRPr="00392781" w:rsidRDefault="00392781" w:rsidP="00392781">
            <w:pPr>
              <w:rPr>
                <w:rFonts w:ascii="Arial" w:hAnsi="Arial" w:cs="Arial"/>
              </w:rPr>
            </w:pPr>
            <w:r w:rsidRPr="00392781">
              <w:rPr>
                <w:rFonts w:ascii="Arial" w:hAnsi="Arial" w:cs="Arial"/>
              </w:rPr>
              <w:t>Mp-3</w:t>
            </w:r>
          </w:p>
        </w:tc>
        <w:tc>
          <w:tcPr>
            <w:tcW w:w="5024" w:type="dxa"/>
            <w:hideMark/>
          </w:tcPr>
          <w:p w14:paraId="5658AD28" w14:textId="77777777" w:rsidR="00392781" w:rsidRPr="00392781" w:rsidRDefault="00000000" w:rsidP="00392781">
            <w:pPr>
              <w:cnfStyle w:val="000000100000" w:firstRow="0" w:lastRow="0" w:firstColumn="0" w:lastColumn="0" w:oddVBand="0" w:evenVBand="0" w:oddHBand="1" w:evenHBand="0" w:firstRowFirstColumn="0" w:firstRowLastColumn="0" w:lastRowFirstColumn="0" w:lastRowLastColumn="0"/>
              <w:rPr>
                <w:rFonts w:ascii="Arial" w:hAnsi="Arial" w:cs="Arial"/>
              </w:rPr>
            </w:pPr>
            <m:oMathPara>
              <m:oMath>
                <m:sSub>
                  <m:sSubPr>
                    <m:ctrlPr>
                      <w:rPr>
                        <w:rStyle w:val="mord"/>
                        <w:rFonts w:ascii="Cambria Math" w:eastAsiaTheme="majorEastAsia" w:hAnsi="Cambria Math" w:cs="Arial"/>
                      </w:rPr>
                    </m:ctrlPr>
                  </m:sSubPr>
                  <m:e>
                    <m:r>
                      <m:rPr>
                        <m:sty m:val="p"/>
                      </m:rPr>
                      <w:rPr>
                        <w:rStyle w:val="mord"/>
                        <w:rFonts w:ascii="Cambria Math" w:eastAsiaTheme="majorEastAsia" w:hAnsi="Cambria Math" w:cs="Arial"/>
                      </w:rPr>
                      <m:t>β</m:t>
                    </m:r>
                  </m:e>
                  <m:sub>
                    <m:r>
                      <w:rPr>
                        <w:rStyle w:val="mord"/>
                        <w:rFonts w:ascii="Cambria Math" w:eastAsiaTheme="majorEastAsia" w:hAnsi="Cambria Math" w:cs="Arial"/>
                      </w:rPr>
                      <m:t>0</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m:t>
                    </m:r>
                  </m:sub>
                </m:sSub>
                <m:r>
                  <w:rPr>
                    <w:rFonts w:ascii="Cambria Math" w:hAnsi="Cambria Math" w:cs="Arial"/>
                  </w:rPr>
                  <m:t>pc1</m:t>
                </m:r>
              </m:oMath>
            </m:oMathPara>
          </w:p>
        </w:tc>
        <w:tc>
          <w:tcPr>
            <w:tcW w:w="3118" w:type="dxa"/>
            <w:hideMark/>
          </w:tcPr>
          <w:p w14:paraId="22F7B305" w14:textId="77777777" w:rsidR="00392781" w:rsidRPr="00392781" w:rsidRDefault="00392781" w:rsidP="0039278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92781">
              <w:rPr>
                <w:rFonts w:ascii="Arial" w:hAnsi="Arial" w:cs="Arial"/>
              </w:rPr>
              <w:t>BYM2</w:t>
            </w:r>
          </w:p>
        </w:tc>
        <w:tc>
          <w:tcPr>
            <w:tcW w:w="2924" w:type="dxa"/>
            <w:hideMark/>
          </w:tcPr>
          <w:p w14:paraId="139B9857" w14:textId="77777777" w:rsidR="00392781" w:rsidRPr="00392781" w:rsidRDefault="00392781" w:rsidP="0039278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92781">
              <w:rPr>
                <w:rFonts w:ascii="Arial" w:hAnsi="Arial" w:cs="Arial"/>
              </w:rPr>
              <w:t>RW2</w:t>
            </w:r>
          </w:p>
        </w:tc>
      </w:tr>
      <w:tr w:rsidR="00392781" w14:paraId="701D5165" w14:textId="77777777" w:rsidTr="00392781">
        <w:trPr>
          <w:trHeight w:val="707"/>
        </w:trPr>
        <w:tc>
          <w:tcPr>
            <w:cnfStyle w:val="001000000000" w:firstRow="0" w:lastRow="0" w:firstColumn="1" w:lastColumn="0" w:oddVBand="0" w:evenVBand="0" w:oddHBand="0" w:evenHBand="0" w:firstRowFirstColumn="0" w:firstRowLastColumn="0" w:lastRowFirstColumn="0" w:lastRowLastColumn="0"/>
            <w:tcW w:w="0" w:type="auto"/>
            <w:hideMark/>
          </w:tcPr>
          <w:p w14:paraId="7571CEEA" w14:textId="77777777" w:rsidR="00392781" w:rsidRPr="00392781" w:rsidRDefault="00392781" w:rsidP="00392781">
            <w:pPr>
              <w:rPr>
                <w:rFonts w:ascii="Arial" w:hAnsi="Arial" w:cs="Arial"/>
              </w:rPr>
            </w:pPr>
            <w:r w:rsidRPr="00392781">
              <w:rPr>
                <w:rFonts w:ascii="Arial" w:hAnsi="Arial" w:cs="Arial"/>
              </w:rPr>
              <w:t>Mp-4</w:t>
            </w:r>
          </w:p>
        </w:tc>
        <w:tc>
          <w:tcPr>
            <w:tcW w:w="5024" w:type="dxa"/>
            <w:hideMark/>
          </w:tcPr>
          <w:p w14:paraId="2A1BD860" w14:textId="77777777" w:rsidR="00392781" w:rsidRPr="00392781" w:rsidRDefault="00000000" w:rsidP="00392781">
            <w:pPr>
              <w:cnfStyle w:val="000000000000" w:firstRow="0" w:lastRow="0" w:firstColumn="0" w:lastColumn="0" w:oddVBand="0" w:evenVBand="0" w:oddHBand="0" w:evenHBand="0" w:firstRowFirstColumn="0" w:firstRowLastColumn="0" w:lastRowFirstColumn="0" w:lastRowLastColumn="0"/>
              <w:rPr>
                <w:rFonts w:ascii="Arial" w:hAnsi="Arial" w:cs="Arial"/>
              </w:rPr>
            </w:pPr>
            <m:oMathPara>
              <m:oMath>
                <m:sSub>
                  <m:sSubPr>
                    <m:ctrlPr>
                      <w:rPr>
                        <w:rStyle w:val="mord"/>
                        <w:rFonts w:ascii="Cambria Math" w:eastAsiaTheme="majorEastAsia" w:hAnsi="Cambria Math" w:cs="Arial"/>
                      </w:rPr>
                    </m:ctrlPr>
                  </m:sSubPr>
                  <m:e>
                    <m:r>
                      <m:rPr>
                        <m:sty m:val="p"/>
                      </m:rPr>
                      <w:rPr>
                        <w:rStyle w:val="mord"/>
                        <w:rFonts w:ascii="Cambria Math" w:eastAsiaTheme="majorEastAsia" w:hAnsi="Cambria Math" w:cs="Arial"/>
                      </w:rPr>
                      <m:t>β</m:t>
                    </m:r>
                  </m:e>
                  <m:sub>
                    <m:r>
                      <w:rPr>
                        <w:rStyle w:val="mord"/>
                        <w:rFonts w:ascii="Cambria Math" w:eastAsiaTheme="majorEastAsia" w:hAnsi="Cambria Math" w:cs="Arial"/>
                      </w:rPr>
                      <m:t>0</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m:t>
                    </m:r>
                  </m:sub>
                </m:sSub>
                <m:r>
                  <w:rPr>
                    <w:rFonts w:ascii="Cambria Math" w:hAnsi="Cambria Math" w:cs="Arial"/>
                  </w:rPr>
                  <m:t>pc1+</m:t>
                </m:r>
                <m:sSub>
                  <m:sSubPr>
                    <m:ctrlPr>
                      <w:rPr>
                        <w:rFonts w:ascii="Cambria Math" w:hAnsi="Cambria Math" w:cs="Arial"/>
                      </w:rPr>
                    </m:ctrlPr>
                  </m:sSubPr>
                  <m:e>
                    <m:r>
                      <w:rPr>
                        <w:rFonts w:ascii="Cambria Math" w:hAnsi="Cambria Math" w:cs="Arial"/>
                      </w:rPr>
                      <m:t>β</m:t>
                    </m:r>
                  </m:e>
                  <m:sub>
                    <m:r>
                      <w:rPr>
                        <w:rFonts w:ascii="Cambria Math" w:hAnsi="Cambria Math" w:cs="Arial"/>
                      </w:rPr>
                      <m:t>2</m:t>
                    </m:r>
                  </m:sub>
                </m:sSub>
                <m:r>
                  <w:rPr>
                    <w:rFonts w:ascii="Cambria Math" w:hAnsi="Cambria Math" w:cs="Arial"/>
                  </w:rPr>
                  <m:t>pc2</m:t>
                </m:r>
              </m:oMath>
            </m:oMathPara>
          </w:p>
        </w:tc>
        <w:tc>
          <w:tcPr>
            <w:tcW w:w="3118" w:type="dxa"/>
            <w:hideMark/>
          </w:tcPr>
          <w:p w14:paraId="0948ADF9" w14:textId="77777777" w:rsidR="00392781" w:rsidRPr="00392781" w:rsidRDefault="00392781" w:rsidP="0039278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92781">
              <w:rPr>
                <w:rFonts w:ascii="Arial" w:hAnsi="Arial" w:cs="Arial"/>
              </w:rPr>
              <w:t>BYM2</w:t>
            </w:r>
          </w:p>
        </w:tc>
        <w:tc>
          <w:tcPr>
            <w:tcW w:w="2924" w:type="dxa"/>
            <w:hideMark/>
          </w:tcPr>
          <w:p w14:paraId="4446EDCB" w14:textId="77777777" w:rsidR="00392781" w:rsidRPr="00392781" w:rsidRDefault="00392781" w:rsidP="0039278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92781">
              <w:rPr>
                <w:rFonts w:ascii="Arial" w:hAnsi="Arial" w:cs="Arial"/>
              </w:rPr>
              <w:t>RW2</w:t>
            </w:r>
          </w:p>
        </w:tc>
      </w:tr>
    </w:tbl>
    <w:p w14:paraId="2FC888ED" w14:textId="77777777" w:rsidR="00FB4D68" w:rsidRDefault="00392781">
      <w:pPr>
        <w:spacing w:after="160" w:line="278" w:lineRule="auto"/>
        <w:rPr>
          <w:rFonts w:ascii="Arial" w:eastAsiaTheme="majorEastAsia" w:hAnsi="Arial" w:cs="Arial"/>
          <w:b/>
          <w:bCs/>
          <w:color w:val="000000" w:themeColor="text1"/>
          <w:kern w:val="2"/>
          <w:lang w:val="en-US" w:eastAsia="en-US"/>
          <w14:ligatures w14:val="standardContextual"/>
        </w:rPr>
      </w:pPr>
      <w:r>
        <w:rPr>
          <w:b/>
          <w:bCs/>
        </w:rPr>
        <w:t xml:space="preserve"> </w:t>
      </w:r>
      <w:r w:rsidR="00FB4D68">
        <w:rPr>
          <w:b/>
          <w:bCs/>
        </w:rPr>
        <w:br w:type="page"/>
      </w:r>
    </w:p>
    <w:p w14:paraId="3B39C1E4" w14:textId="77777777" w:rsidR="00EA67F2" w:rsidRDefault="00EA67F2" w:rsidP="00381AC7">
      <w:pPr>
        <w:pStyle w:val="Heading1"/>
        <w:jc w:val="both"/>
        <w:rPr>
          <w:b/>
          <w:bCs/>
        </w:rPr>
      </w:pPr>
      <w:bookmarkStart w:id="7" w:name="_Toc233211400"/>
      <w:r w:rsidRPr="000D1554">
        <w:rPr>
          <w:b/>
          <w:bCs/>
        </w:rPr>
        <w:lastRenderedPageBreak/>
        <w:t>Section 3. Supplementary Results</w:t>
      </w:r>
      <w:bookmarkEnd w:id="7"/>
    </w:p>
    <w:tbl>
      <w:tblPr>
        <w:tblpPr w:leftFromText="180" w:rightFromText="180" w:vertAnchor="page" w:horzAnchor="margin" w:tblpXSpec="center" w:tblpY="1885"/>
        <w:tblW w:w="13700" w:type="dxa"/>
        <w:tblLook w:val="04A0" w:firstRow="1" w:lastRow="0" w:firstColumn="1" w:lastColumn="0" w:noHBand="0" w:noVBand="1"/>
      </w:tblPr>
      <w:tblGrid>
        <w:gridCol w:w="2757"/>
        <w:gridCol w:w="1231"/>
        <w:gridCol w:w="1413"/>
        <w:gridCol w:w="1296"/>
        <w:gridCol w:w="1525"/>
        <w:gridCol w:w="1608"/>
        <w:gridCol w:w="1287"/>
        <w:gridCol w:w="1289"/>
        <w:gridCol w:w="1294"/>
      </w:tblGrid>
      <w:tr w:rsidR="00750592" w:rsidRPr="00677583" w14:paraId="1888D038" w14:textId="77777777" w:rsidTr="00750592">
        <w:trPr>
          <w:trHeight w:val="380"/>
        </w:trPr>
        <w:tc>
          <w:tcPr>
            <w:tcW w:w="13700" w:type="dxa"/>
            <w:gridSpan w:val="9"/>
            <w:tcBorders>
              <w:top w:val="nil"/>
              <w:left w:val="nil"/>
              <w:bottom w:val="single" w:sz="4" w:space="0" w:color="auto"/>
              <w:right w:val="nil"/>
            </w:tcBorders>
            <w:vAlign w:val="center"/>
            <w:hideMark/>
          </w:tcPr>
          <w:p w14:paraId="31D020D8" w14:textId="77777777" w:rsidR="00750592" w:rsidRPr="00750592" w:rsidRDefault="00750592" w:rsidP="00750592">
            <w:pPr>
              <w:rPr>
                <w:rFonts w:ascii="Arial" w:hAnsi="Arial" w:cs="Arial"/>
                <w:b/>
                <w:bCs/>
                <w:color w:val="000000"/>
                <w:lang w:val="en-US" w:eastAsia="en-US"/>
              </w:rPr>
            </w:pPr>
            <w:r w:rsidRPr="00750592">
              <w:rPr>
                <w:rFonts w:ascii="Arial" w:hAnsi="Arial" w:cs="Arial"/>
                <w:b/>
                <w:bCs/>
                <w:color w:val="000000"/>
                <w:lang w:val="en-US"/>
              </w:rPr>
              <w:t>Supplementary results 3.1. Summary of goodness-of-fit metrics and accuracy of the models</w:t>
            </w:r>
          </w:p>
        </w:tc>
      </w:tr>
      <w:tr w:rsidR="00750592" w:rsidRPr="00750592" w14:paraId="30557394" w14:textId="77777777" w:rsidTr="00750592">
        <w:trPr>
          <w:trHeight w:val="600"/>
        </w:trPr>
        <w:tc>
          <w:tcPr>
            <w:tcW w:w="2757" w:type="dxa"/>
            <w:tcBorders>
              <w:top w:val="nil"/>
              <w:left w:val="nil"/>
              <w:bottom w:val="single" w:sz="4" w:space="0" w:color="auto"/>
              <w:right w:val="nil"/>
            </w:tcBorders>
            <w:vAlign w:val="center"/>
            <w:hideMark/>
          </w:tcPr>
          <w:p w14:paraId="53A8AE56" w14:textId="77777777" w:rsidR="00750592" w:rsidRPr="00750592" w:rsidRDefault="00750592" w:rsidP="00750592">
            <w:pPr>
              <w:jc w:val="center"/>
              <w:rPr>
                <w:rFonts w:ascii="Arial" w:hAnsi="Arial" w:cs="Arial"/>
                <w:b/>
                <w:bCs/>
                <w:color w:val="000000"/>
              </w:rPr>
            </w:pPr>
            <w:r w:rsidRPr="00750592">
              <w:rPr>
                <w:rFonts w:ascii="Arial" w:hAnsi="Arial" w:cs="Arial"/>
                <w:b/>
                <w:bCs/>
                <w:color w:val="000000"/>
              </w:rPr>
              <w:t>Socioeconomic indicator</w:t>
            </w:r>
          </w:p>
        </w:tc>
        <w:tc>
          <w:tcPr>
            <w:tcW w:w="1231" w:type="dxa"/>
            <w:tcBorders>
              <w:top w:val="nil"/>
              <w:left w:val="nil"/>
              <w:bottom w:val="single" w:sz="4" w:space="0" w:color="auto"/>
              <w:right w:val="nil"/>
            </w:tcBorders>
            <w:vAlign w:val="center"/>
            <w:hideMark/>
          </w:tcPr>
          <w:p w14:paraId="093509B7" w14:textId="77777777" w:rsidR="00750592" w:rsidRPr="00750592" w:rsidRDefault="00750592" w:rsidP="00750592">
            <w:pPr>
              <w:jc w:val="center"/>
              <w:rPr>
                <w:rFonts w:ascii="Arial" w:hAnsi="Arial" w:cs="Arial"/>
                <w:b/>
                <w:bCs/>
                <w:color w:val="000000"/>
              </w:rPr>
            </w:pPr>
            <w:r w:rsidRPr="00750592">
              <w:rPr>
                <w:rFonts w:ascii="Arial" w:hAnsi="Arial" w:cs="Arial"/>
                <w:b/>
                <w:bCs/>
                <w:color w:val="000000"/>
              </w:rPr>
              <w:t>Model</w:t>
            </w:r>
          </w:p>
        </w:tc>
        <w:tc>
          <w:tcPr>
            <w:tcW w:w="1413" w:type="dxa"/>
            <w:tcBorders>
              <w:top w:val="nil"/>
              <w:left w:val="nil"/>
              <w:bottom w:val="single" w:sz="4" w:space="0" w:color="auto"/>
              <w:right w:val="nil"/>
            </w:tcBorders>
            <w:vAlign w:val="center"/>
            <w:hideMark/>
          </w:tcPr>
          <w:p w14:paraId="52C2573E" w14:textId="77777777" w:rsidR="00750592" w:rsidRPr="00750592" w:rsidRDefault="00750592" w:rsidP="00750592">
            <w:pPr>
              <w:jc w:val="center"/>
              <w:rPr>
                <w:rFonts w:ascii="Arial" w:hAnsi="Arial" w:cs="Arial"/>
                <w:b/>
                <w:bCs/>
                <w:color w:val="000000"/>
              </w:rPr>
            </w:pPr>
            <w:r w:rsidRPr="00750592">
              <w:rPr>
                <w:rFonts w:ascii="Arial" w:hAnsi="Arial" w:cs="Arial"/>
                <w:b/>
                <w:bCs/>
                <w:color w:val="000000"/>
              </w:rPr>
              <w:t>DIC</w:t>
            </w:r>
          </w:p>
        </w:tc>
        <w:tc>
          <w:tcPr>
            <w:tcW w:w="1296" w:type="dxa"/>
            <w:tcBorders>
              <w:top w:val="nil"/>
              <w:left w:val="nil"/>
              <w:bottom w:val="single" w:sz="4" w:space="0" w:color="auto"/>
              <w:right w:val="nil"/>
            </w:tcBorders>
            <w:vAlign w:val="center"/>
            <w:hideMark/>
          </w:tcPr>
          <w:p w14:paraId="0499D459" w14:textId="77777777" w:rsidR="00750592" w:rsidRPr="00750592" w:rsidRDefault="00750592" w:rsidP="00750592">
            <w:pPr>
              <w:jc w:val="center"/>
              <w:rPr>
                <w:rFonts w:ascii="Arial" w:hAnsi="Arial" w:cs="Arial"/>
                <w:b/>
                <w:bCs/>
                <w:color w:val="000000"/>
              </w:rPr>
            </w:pPr>
            <w:r w:rsidRPr="00750592">
              <w:rPr>
                <w:rFonts w:ascii="Arial" w:hAnsi="Arial" w:cs="Arial"/>
                <w:b/>
                <w:bCs/>
                <w:color w:val="000000"/>
              </w:rPr>
              <w:t>WAIC</w:t>
            </w:r>
          </w:p>
        </w:tc>
        <w:tc>
          <w:tcPr>
            <w:tcW w:w="1525" w:type="dxa"/>
            <w:tcBorders>
              <w:top w:val="nil"/>
              <w:left w:val="nil"/>
              <w:bottom w:val="single" w:sz="4" w:space="0" w:color="auto"/>
              <w:right w:val="nil"/>
            </w:tcBorders>
            <w:vAlign w:val="center"/>
            <w:hideMark/>
          </w:tcPr>
          <w:p w14:paraId="1C740040" w14:textId="77777777" w:rsidR="00750592" w:rsidRPr="00750592" w:rsidRDefault="00750592" w:rsidP="00750592">
            <w:pPr>
              <w:jc w:val="center"/>
              <w:rPr>
                <w:rFonts w:ascii="Arial" w:hAnsi="Arial" w:cs="Arial"/>
                <w:b/>
                <w:bCs/>
                <w:color w:val="000000"/>
              </w:rPr>
            </w:pPr>
            <w:r w:rsidRPr="00750592">
              <w:rPr>
                <w:rFonts w:ascii="Arial" w:hAnsi="Arial" w:cs="Arial"/>
                <w:b/>
                <w:bCs/>
                <w:color w:val="000000"/>
              </w:rPr>
              <w:t>- LogML</w:t>
            </w:r>
          </w:p>
        </w:tc>
        <w:tc>
          <w:tcPr>
            <w:tcW w:w="1608" w:type="dxa"/>
            <w:tcBorders>
              <w:top w:val="nil"/>
              <w:left w:val="nil"/>
              <w:bottom w:val="single" w:sz="4" w:space="0" w:color="auto"/>
              <w:right w:val="nil"/>
            </w:tcBorders>
            <w:vAlign w:val="center"/>
            <w:hideMark/>
          </w:tcPr>
          <w:p w14:paraId="293A4748" w14:textId="77777777" w:rsidR="00750592" w:rsidRPr="00750592" w:rsidRDefault="00750592" w:rsidP="00750592">
            <w:pPr>
              <w:jc w:val="center"/>
              <w:rPr>
                <w:rFonts w:ascii="Arial" w:hAnsi="Arial" w:cs="Arial"/>
                <w:b/>
                <w:bCs/>
                <w:color w:val="000000"/>
              </w:rPr>
            </w:pPr>
            <w:r w:rsidRPr="00750592">
              <w:rPr>
                <w:rFonts w:ascii="Arial" w:hAnsi="Arial" w:cs="Arial"/>
                <w:b/>
                <w:bCs/>
                <w:color w:val="000000"/>
              </w:rPr>
              <w:t>-2log(CPO)</w:t>
            </w:r>
          </w:p>
        </w:tc>
        <w:tc>
          <w:tcPr>
            <w:tcW w:w="1287" w:type="dxa"/>
            <w:tcBorders>
              <w:top w:val="nil"/>
              <w:left w:val="nil"/>
              <w:bottom w:val="single" w:sz="4" w:space="0" w:color="auto"/>
              <w:right w:val="nil"/>
            </w:tcBorders>
            <w:vAlign w:val="center"/>
            <w:hideMark/>
          </w:tcPr>
          <w:p w14:paraId="3BCD5931" w14:textId="77777777" w:rsidR="00750592" w:rsidRPr="00750592" w:rsidRDefault="00750592" w:rsidP="00750592">
            <w:pPr>
              <w:jc w:val="center"/>
              <w:rPr>
                <w:rFonts w:ascii="Arial" w:hAnsi="Arial" w:cs="Arial"/>
                <w:b/>
                <w:bCs/>
                <w:color w:val="000000"/>
              </w:rPr>
            </w:pPr>
            <w:r w:rsidRPr="00750592">
              <w:rPr>
                <w:rFonts w:ascii="Arial" w:hAnsi="Arial" w:cs="Arial"/>
                <w:b/>
                <w:bCs/>
                <w:color w:val="000000"/>
              </w:rPr>
              <w:t>MAE</w:t>
            </w:r>
          </w:p>
        </w:tc>
        <w:tc>
          <w:tcPr>
            <w:tcW w:w="1289" w:type="dxa"/>
            <w:tcBorders>
              <w:top w:val="nil"/>
              <w:left w:val="nil"/>
              <w:bottom w:val="single" w:sz="4" w:space="0" w:color="auto"/>
              <w:right w:val="nil"/>
            </w:tcBorders>
            <w:vAlign w:val="center"/>
            <w:hideMark/>
          </w:tcPr>
          <w:p w14:paraId="4FE383F1" w14:textId="77777777" w:rsidR="00750592" w:rsidRPr="00750592" w:rsidRDefault="00750592" w:rsidP="00750592">
            <w:pPr>
              <w:jc w:val="center"/>
              <w:rPr>
                <w:rFonts w:ascii="Arial" w:hAnsi="Arial" w:cs="Arial"/>
                <w:b/>
                <w:bCs/>
                <w:color w:val="000000"/>
              </w:rPr>
            </w:pPr>
            <w:r w:rsidRPr="00750592">
              <w:rPr>
                <w:rFonts w:ascii="Arial" w:hAnsi="Arial" w:cs="Arial"/>
                <w:b/>
                <w:bCs/>
                <w:color w:val="000000"/>
              </w:rPr>
              <w:t>RMSE</w:t>
            </w:r>
          </w:p>
        </w:tc>
        <w:tc>
          <w:tcPr>
            <w:tcW w:w="1294" w:type="dxa"/>
            <w:tcBorders>
              <w:top w:val="nil"/>
              <w:left w:val="nil"/>
              <w:bottom w:val="single" w:sz="4" w:space="0" w:color="auto"/>
              <w:right w:val="nil"/>
            </w:tcBorders>
            <w:vAlign w:val="center"/>
            <w:hideMark/>
          </w:tcPr>
          <w:p w14:paraId="664997E7" w14:textId="77777777" w:rsidR="00750592" w:rsidRPr="00750592" w:rsidRDefault="00750592" w:rsidP="00750592">
            <w:pPr>
              <w:jc w:val="center"/>
              <w:rPr>
                <w:rFonts w:ascii="Arial" w:hAnsi="Arial" w:cs="Arial"/>
                <w:b/>
                <w:bCs/>
                <w:color w:val="000000"/>
              </w:rPr>
            </w:pPr>
            <w:r w:rsidRPr="00750592">
              <w:rPr>
                <w:rFonts w:ascii="Arial" w:hAnsi="Arial" w:cs="Arial"/>
                <w:b/>
                <w:bCs/>
                <w:color w:val="000000"/>
              </w:rPr>
              <w:t>SMAPE</w:t>
            </w:r>
          </w:p>
        </w:tc>
      </w:tr>
      <w:tr w:rsidR="00750592" w:rsidRPr="00750592" w14:paraId="103AAB1A" w14:textId="77777777" w:rsidTr="00750592">
        <w:trPr>
          <w:trHeight w:val="280"/>
        </w:trPr>
        <w:tc>
          <w:tcPr>
            <w:tcW w:w="2757" w:type="dxa"/>
            <w:tcBorders>
              <w:top w:val="nil"/>
              <w:left w:val="nil"/>
              <w:bottom w:val="nil"/>
              <w:right w:val="nil"/>
            </w:tcBorders>
            <w:vAlign w:val="center"/>
            <w:hideMark/>
          </w:tcPr>
          <w:p w14:paraId="593FB581" w14:textId="77777777" w:rsidR="00750592" w:rsidRPr="00750592" w:rsidRDefault="00750592" w:rsidP="00750592">
            <w:pPr>
              <w:jc w:val="center"/>
              <w:rPr>
                <w:rFonts w:ascii="Arial" w:hAnsi="Arial" w:cs="Arial"/>
                <w:b/>
                <w:bCs/>
                <w:color w:val="000000"/>
              </w:rPr>
            </w:pPr>
          </w:p>
        </w:tc>
        <w:tc>
          <w:tcPr>
            <w:tcW w:w="1231" w:type="dxa"/>
            <w:tcBorders>
              <w:top w:val="nil"/>
              <w:left w:val="nil"/>
              <w:bottom w:val="nil"/>
              <w:right w:val="nil"/>
            </w:tcBorders>
            <w:vAlign w:val="center"/>
            <w:hideMark/>
          </w:tcPr>
          <w:p w14:paraId="7C22ED4D" w14:textId="77777777" w:rsidR="00750592" w:rsidRPr="00750592" w:rsidRDefault="00750592" w:rsidP="00750592">
            <w:pPr>
              <w:jc w:val="center"/>
            </w:pPr>
          </w:p>
        </w:tc>
        <w:tc>
          <w:tcPr>
            <w:tcW w:w="1413" w:type="dxa"/>
            <w:tcBorders>
              <w:top w:val="nil"/>
              <w:left w:val="nil"/>
              <w:bottom w:val="nil"/>
              <w:right w:val="nil"/>
            </w:tcBorders>
            <w:vAlign w:val="center"/>
            <w:hideMark/>
          </w:tcPr>
          <w:p w14:paraId="62F6A233" w14:textId="77777777" w:rsidR="00750592" w:rsidRPr="00750592" w:rsidRDefault="00750592" w:rsidP="00750592">
            <w:pPr>
              <w:jc w:val="center"/>
            </w:pPr>
          </w:p>
        </w:tc>
        <w:tc>
          <w:tcPr>
            <w:tcW w:w="1296" w:type="dxa"/>
            <w:tcBorders>
              <w:top w:val="nil"/>
              <w:left w:val="nil"/>
              <w:bottom w:val="nil"/>
              <w:right w:val="nil"/>
            </w:tcBorders>
            <w:vAlign w:val="center"/>
            <w:hideMark/>
          </w:tcPr>
          <w:p w14:paraId="2AB968B4" w14:textId="77777777" w:rsidR="00750592" w:rsidRPr="00750592" w:rsidRDefault="00750592" w:rsidP="00750592">
            <w:pPr>
              <w:jc w:val="center"/>
            </w:pPr>
          </w:p>
        </w:tc>
        <w:tc>
          <w:tcPr>
            <w:tcW w:w="1525" w:type="dxa"/>
            <w:tcBorders>
              <w:top w:val="nil"/>
              <w:left w:val="nil"/>
              <w:bottom w:val="nil"/>
              <w:right w:val="nil"/>
            </w:tcBorders>
            <w:vAlign w:val="center"/>
            <w:hideMark/>
          </w:tcPr>
          <w:p w14:paraId="25F283A1" w14:textId="77777777" w:rsidR="00750592" w:rsidRPr="00750592" w:rsidRDefault="00750592" w:rsidP="00750592">
            <w:pPr>
              <w:jc w:val="center"/>
            </w:pPr>
          </w:p>
        </w:tc>
        <w:tc>
          <w:tcPr>
            <w:tcW w:w="1608" w:type="dxa"/>
            <w:tcBorders>
              <w:top w:val="nil"/>
              <w:left w:val="nil"/>
              <w:bottom w:val="nil"/>
              <w:right w:val="nil"/>
            </w:tcBorders>
            <w:vAlign w:val="center"/>
            <w:hideMark/>
          </w:tcPr>
          <w:p w14:paraId="63B080D7" w14:textId="77777777" w:rsidR="00750592" w:rsidRPr="00750592" w:rsidRDefault="00750592" w:rsidP="00750592">
            <w:pPr>
              <w:jc w:val="center"/>
            </w:pPr>
          </w:p>
        </w:tc>
        <w:tc>
          <w:tcPr>
            <w:tcW w:w="1287" w:type="dxa"/>
            <w:tcBorders>
              <w:top w:val="nil"/>
              <w:left w:val="nil"/>
              <w:bottom w:val="nil"/>
              <w:right w:val="nil"/>
            </w:tcBorders>
            <w:vAlign w:val="center"/>
            <w:hideMark/>
          </w:tcPr>
          <w:p w14:paraId="054BB1A5" w14:textId="77777777" w:rsidR="00750592" w:rsidRPr="00750592" w:rsidRDefault="00750592" w:rsidP="00750592">
            <w:pPr>
              <w:jc w:val="center"/>
            </w:pPr>
          </w:p>
        </w:tc>
        <w:tc>
          <w:tcPr>
            <w:tcW w:w="1289" w:type="dxa"/>
            <w:tcBorders>
              <w:top w:val="nil"/>
              <w:left w:val="nil"/>
              <w:bottom w:val="nil"/>
              <w:right w:val="nil"/>
            </w:tcBorders>
            <w:vAlign w:val="center"/>
            <w:hideMark/>
          </w:tcPr>
          <w:p w14:paraId="43EAABE2" w14:textId="77777777" w:rsidR="00750592" w:rsidRPr="00750592" w:rsidRDefault="00750592" w:rsidP="00750592">
            <w:pPr>
              <w:jc w:val="center"/>
            </w:pPr>
          </w:p>
        </w:tc>
        <w:tc>
          <w:tcPr>
            <w:tcW w:w="1294" w:type="dxa"/>
            <w:tcBorders>
              <w:top w:val="nil"/>
              <w:left w:val="nil"/>
              <w:bottom w:val="nil"/>
              <w:right w:val="nil"/>
            </w:tcBorders>
            <w:vAlign w:val="center"/>
            <w:hideMark/>
          </w:tcPr>
          <w:p w14:paraId="1CD0C5A2" w14:textId="77777777" w:rsidR="00750592" w:rsidRPr="00750592" w:rsidRDefault="00750592" w:rsidP="00750592">
            <w:pPr>
              <w:jc w:val="center"/>
            </w:pPr>
          </w:p>
        </w:tc>
      </w:tr>
      <w:tr w:rsidR="00750592" w:rsidRPr="00750592" w14:paraId="49D296E5" w14:textId="77777777" w:rsidTr="00750592">
        <w:trPr>
          <w:trHeight w:val="300"/>
        </w:trPr>
        <w:tc>
          <w:tcPr>
            <w:tcW w:w="2757" w:type="dxa"/>
            <w:vMerge w:val="restart"/>
            <w:tcBorders>
              <w:top w:val="nil"/>
              <w:left w:val="nil"/>
              <w:bottom w:val="nil"/>
              <w:right w:val="nil"/>
            </w:tcBorders>
            <w:vAlign w:val="center"/>
            <w:hideMark/>
          </w:tcPr>
          <w:p w14:paraId="35C2B05B" w14:textId="2AD65FBC" w:rsidR="00750592" w:rsidRPr="00750592" w:rsidRDefault="000C4A78" w:rsidP="00750592">
            <w:pPr>
              <w:jc w:val="center"/>
              <w:rPr>
                <w:rFonts w:ascii="Arial" w:hAnsi="Arial" w:cs="Arial"/>
                <w:b/>
                <w:bCs/>
                <w:color w:val="000000"/>
              </w:rPr>
            </w:pPr>
            <w:r>
              <w:rPr>
                <w:rFonts w:ascii="Arial" w:hAnsi="Arial" w:cs="Arial"/>
                <w:b/>
                <w:bCs/>
                <w:color w:val="000000"/>
              </w:rPr>
              <w:t>Elementary education</w:t>
            </w:r>
          </w:p>
        </w:tc>
        <w:tc>
          <w:tcPr>
            <w:tcW w:w="1231" w:type="dxa"/>
            <w:tcBorders>
              <w:top w:val="nil"/>
              <w:left w:val="nil"/>
              <w:bottom w:val="nil"/>
              <w:right w:val="nil"/>
            </w:tcBorders>
            <w:vAlign w:val="center"/>
            <w:hideMark/>
          </w:tcPr>
          <w:p w14:paraId="08F45779" w14:textId="77777777" w:rsidR="00750592" w:rsidRPr="00750592" w:rsidRDefault="00750592" w:rsidP="00750592">
            <w:pPr>
              <w:jc w:val="center"/>
              <w:rPr>
                <w:rFonts w:ascii="Arial" w:hAnsi="Arial" w:cs="Arial"/>
                <w:b/>
                <w:bCs/>
                <w:color w:val="000000"/>
              </w:rPr>
            </w:pPr>
            <w:r w:rsidRPr="00750592">
              <w:rPr>
                <w:rFonts w:ascii="Arial" w:hAnsi="Arial" w:cs="Arial"/>
                <w:b/>
                <w:bCs/>
                <w:color w:val="000000"/>
              </w:rPr>
              <w:t>Me-1</w:t>
            </w:r>
          </w:p>
        </w:tc>
        <w:tc>
          <w:tcPr>
            <w:tcW w:w="1413" w:type="dxa"/>
            <w:tcBorders>
              <w:top w:val="nil"/>
              <w:left w:val="nil"/>
              <w:bottom w:val="nil"/>
              <w:right w:val="nil"/>
            </w:tcBorders>
            <w:vAlign w:val="center"/>
            <w:hideMark/>
          </w:tcPr>
          <w:p w14:paraId="20CC6A37" w14:textId="77777777" w:rsidR="00750592" w:rsidRPr="00750592" w:rsidRDefault="00750592" w:rsidP="00750592">
            <w:pPr>
              <w:jc w:val="center"/>
              <w:rPr>
                <w:rFonts w:ascii="Arial" w:hAnsi="Arial" w:cs="Arial"/>
                <w:color w:val="000000"/>
              </w:rPr>
            </w:pPr>
            <w:r w:rsidRPr="00750592">
              <w:rPr>
                <w:rFonts w:ascii="Arial" w:hAnsi="Arial" w:cs="Arial"/>
                <w:color w:val="000000"/>
              </w:rPr>
              <w:t>5,814.10</w:t>
            </w:r>
          </w:p>
        </w:tc>
        <w:tc>
          <w:tcPr>
            <w:tcW w:w="1296" w:type="dxa"/>
            <w:tcBorders>
              <w:top w:val="nil"/>
              <w:left w:val="nil"/>
              <w:bottom w:val="nil"/>
              <w:right w:val="nil"/>
            </w:tcBorders>
            <w:vAlign w:val="center"/>
            <w:hideMark/>
          </w:tcPr>
          <w:p w14:paraId="5D138EBB" w14:textId="77777777" w:rsidR="00750592" w:rsidRPr="00750592" w:rsidRDefault="00750592" w:rsidP="00750592">
            <w:pPr>
              <w:jc w:val="center"/>
              <w:rPr>
                <w:rFonts w:ascii="Arial" w:hAnsi="Arial" w:cs="Arial"/>
                <w:color w:val="000000"/>
              </w:rPr>
            </w:pPr>
            <w:r w:rsidRPr="00750592">
              <w:rPr>
                <w:rFonts w:ascii="Arial" w:hAnsi="Arial" w:cs="Arial"/>
                <w:color w:val="000000"/>
              </w:rPr>
              <w:t>5,822.25</w:t>
            </w:r>
          </w:p>
        </w:tc>
        <w:tc>
          <w:tcPr>
            <w:tcW w:w="1525" w:type="dxa"/>
            <w:tcBorders>
              <w:top w:val="nil"/>
              <w:left w:val="nil"/>
              <w:bottom w:val="nil"/>
              <w:right w:val="nil"/>
            </w:tcBorders>
            <w:vAlign w:val="center"/>
            <w:hideMark/>
          </w:tcPr>
          <w:p w14:paraId="5257721A" w14:textId="77777777" w:rsidR="00750592" w:rsidRPr="00750592" w:rsidRDefault="00750592" w:rsidP="00750592">
            <w:pPr>
              <w:jc w:val="center"/>
              <w:rPr>
                <w:rFonts w:ascii="Arial" w:hAnsi="Arial" w:cs="Arial"/>
                <w:color w:val="000000"/>
              </w:rPr>
            </w:pPr>
            <w:r w:rsidRPr="00750592">
              <w:rPr>
                <w:rFonts w:ascii="Arial" w:hAnsi="Arial" w:cs="Arial"/>
                <w:color w:val="000000"/>
              </w:rPr>
              <w:t>-2,973.15</w:t>
            </w:r>
          </w:p>
        </w:tc>
        <w:tc>
          <w:tcPr>
            <w:tcW w:w="1608" w:type="dxa"/>
            <w:tcBorders>
              <w:top w:val="nil"/>
              <w:left w:val="nil"/>
              <w:bottom w:val="nil"/>
              <w:right w:val="nil"/>
            </w:tcBorders>
            <w:vAlign w:val="center"/>
            <w:hideMark/>
          </w:tcPr>
          <w:p w14:paraId="7FC124EF" w14:textId="77777777" w:rsidR="00750592" w:rsidRPr="00750592" w:rsidRDefault="00750592" w:rsidP="00750592">
            <w:pPr>
              <w:jc w:val="center"/>
              <w:rPr>
                <w:rFonts w:ascii="Arial" w:hAnsi="Arial" w:cs="Arial"/>
                <w:color w:val="000000"/>
              </w:rPr>
            </w:pPr>
            <w:r w:rsidRPr="00750592">
              <w:rPr>
                <w:rFonts w:ascii="Arial" w:hAnsi="Arial" w:cs="Arial"/>
                <w:color w:val="000000"/>
              </w:rPr>
              <w:t>5832.63</w:t>
            </w:r>
          </w:p>
        </w:tc>
        <w:tc>
          <w:tcPr>
            <w:tcW w:w="1287" w:type="dxa"/>
            <w:tcBorders>
              <w:top w:val="nil"/>
              <w:left w:val="nil"/>
              <w:bottom w:val="nil"/>
              <w:right w:val="nil"/>
            </w:tcBorders>
            <w:vAlign w:val="center"/>
            <w:hideMark/>
          </w:tcPr>
          <w:p w14:paraId="2FB2EEB2" w14:textId="77777777" w:rsidR="00750592" w:rsidRPr="00750592" w:rsidRDefault="00750592" w:rsidP="00750592">
            <w:pPr>
              <w:jc w:val="center"/>
              <w:rPr>
                <w:rFonts w:ascii="Arial" w:hAnsi="Arial" w:cs="Arial"/>
                <w:color w:val="000000"/>
              </w:rPr>
            </w:pPr>
            <w:r w:rsidRPr="00750592">
              <w:rPr>
                <w:rFonts w:ascii="Arial" w:hAnsi="Arial" w:cs="Arial"/>
                <w:color w:val="000000"/>
              </w:rPr>
              <w:t>0.062</w:t>
            </w:r>
          </w:p>
        </w:tc>
        <w:tc>
          <w:tcPr>
            <w:tcW w:w="1289" w:type="dxa"/>
            <w:tcBorders>
              <w:top w:val="nil"/>
              <w:left w:val="nil"/>
              <w:bottom w:val="nil"/>
              <w:right w:val="nil"/>
            </w:tcBorders>
            <w:vAlign w:val="center"/>
            <w:hideMark/>
          </w:tcPr>
          <w:p w14:paraId="7E7BDE87" w14:textId="77777777" w:rsidR="00750592" w:rsidRPr="00750592" w:rsidRDefault="00750592" w:rsidP="00750592">
            <w:pPr>
              <w:jc w:val="center"/>
              <w:rPr>
                <w:rFonts w:ascii="Arial" w:hAnsi="Arial" w:cs="Arial"/>
                <w:color w:val="000000"/>
              </w:rPr>
            </w:pPr>
            <w:r w:rsidRPr="00750592">
              <w:rPr>
                <w:rFonts w:ascii="Arial" w:hAnsi="Arial" w:cs="Arial"/>
                <w:color w:val="000000"/>
              </w:rPr>
              <w:t>0.074</w:t>
            </w:r>
          </w:p>
        </w:tc>
        <w:tc>
          <w:tcPr>
            <w:tcW w:w="1294" w:type="dxa"/>
            <w:tcBorders>
              <w:top w:val="nil"/>
              <w:left w:val="nil"/>
              <w:bottom w:val="nil"/>
              <w:right w:val="nil"/>
            </w:tcBorders>
            <w:vAlign w:val="center"/>
            <w:hideMark/>
          </w:tcPr>
          <w:p w14:paraId="7114E643" w14:textId="77777777" w:rsidR="00750592" w:rsidRPr="00750592" w:rsidRDefault="00750592" w:rsidP="00750592">
            <w:pPr>
              <w:jc w:val="center"/>
              <w:rPr>
                <w:rFonts w:ascii="Arial" w:hAnsi="Arial" w:cs="Arial"/>
                <w:color w:val="000000"/>
              </w:rPr>
            </w:pPr>
            <w:r w:rsidRPr="00750592">
              <w:rPr>
                <w:rFonts w:ascii="Arial" w:hAnsi="Arial" w:cs="Arial"/>
                <w:color w:val="000000"/>
              </w:rPr>
              <w:t>8.337</w:t>
            </w:r>
          </w:p>
        </w:tc>
      </w:tr>
      <w:tr w:rsidR="00750592" w:rsidRPr="00750592" w14:paraId="466DAA6E" w14:textId="77777777" w:rsidTr="00750592">
        <w:trPr>
          <w:trHeight w:val="300"/>
        </w:trPr>
        <w:tc>
          <w:tcPr>
            <w:tcW w:w="2757" w:type="dxa"/>
            <w:vMerge/>
            <w:tcBorders>
              <w:top w:val="nil"/>
              <w:left w:val="nil"/>
              <w:bottom w:val="nil"/>
              <w:right w:val="nil"/>
            </w:tcBorders>
            <w:vAlign w:val="center"/>
            <w:hideMark/>
          </w:tcPr>
          <w:p w14:paraId="2EF3A117" w14:textId="77777777" w:rsidR="00750592" w:rsidRPr="00750592" w:rsidRDefault="00750592" w:rsidP="00750592">
            <w:pPr>
              <w:rPr>
                <w:rFonts w:ascii="Arial" w:hAnsi="Arial" w:cs="Arial"/>
                <w:b/>
                <w:bCs/>
                <w:color w:val="000000"/>
              </w:rPr>
            </w:pPr>
          </w:p>
        </w:tc>
        <w:tc>
          <w:tcPr>
            <w:tcW w:w="1231" w:type="dxa"/>
            <w:tcBorders>
              <w:top w:val="nil"/>
              <w:left w:val="nil"/>
              <w:bottom w:val="nil"/>
              <w:right w:val="nil"/>
            </w:tcBorders>
            <w:vAlign w:val="center"/>
            <w:hideMark/>
          </w:tcPr>
          <w:p w14:paraId="5377B749" w14:textId="77777777" w:rsidR="00750592" w:rsidRPr="00750592" w:rsidRDefault="00750592" w:rsidP="00750592">
            <w:pPr>
              <w:jc w:val="center"/>
              <w:rPr>
                <w:rFonts w:ascii="Arial" w:hAnsi="Arial" w:cs="Arial"/>
                <w:b/>
                <w:bCs/>
                <w:color w:val="000000"/>
              </w:rPr>
            </w:pPr>
            <w:r w:rsidRPr="00750592">
              <w:rPr>
                <w:rFonts w:ascii="Arial" w:hAnsi="Arial" w:cs="Arial"/>
                <w:b/>
                <w:bCs/>
                <w:color w:val="000000"/>
              </w:rPr>
              <w:t>Me-2</w:t>
            </w:r>
          </w:p>
        </w:tc>
        <w:tc>
          <w:tcPr>
            <w:tcW w:w="1413" w:type="dxa"/>
            <w:tcBorders>
              <w:top w:val="nil"/>
              <w:left w:val="nil"/>
              <w:bottom w:val="nil"/>
              <w:right w:val="nil"/>
            </w:tcBorders>
            <w:vAlign w:val="center"/>
            <w:hideMark/>
          </w:tcPr>
          <w:p w14:paraId="32BF53BF" w14:textId="77777777" w:rsidR="00750592" w:rsidRPr="00750592" w:rsidRDefault="00750592" w:rsidP="00750592">
            <w:pPr>
              <w:jc w:val="center"/>
              <w:rPr>
                <w:rFonts w:ascii="Arial" w:hAnsi="Arial" w:cs="Arial"/>
                <w:color w:val="000000"/>
              </w:rPr>
            </w:pPr>
            <w:r w:rsidRPr="00750592">
              <w:rPr>
                <w:rFonts w:ascii="Arial" w:hAnsi="Arial" w:cs="Arial"/>
                <w:color w:val="000000"/>
              </w:rPr>
              <w:t>5,813.02</w:t>
            </w:r>
          </w:p>
        </w:tc>
        <w:tc>
          <w:tcPr>
            <w:tcW w:w="1296" w:type="dxa"/>
            <w:tcBorders>
              <w:top w:val="nil"/>
              <w:left w:val="nil"/>
              <w:bottom w:val="nil"/>
              <w:right w:val="nil"/>
            </w:tcBorders>
            <w:vAlign w:val="center"/>
            <w:hideMark/>
          </w:tcPr>
          <w:p w14:paraId="70FC9343" w14:textId="77777777" w:rsidR="00750592" w:rsidRPr="00750592" w:rsidRDefault="00750592" w:rsidP="00750592">
            <w:pPr>
              <w:jc w:val="center"/>
              <w:rPr>
                <w:rFonts w:ascii="Arial" w:hAnsi="Arial" w:cs="Arial"/>
                <w:color w:val="000000"/>
              </w:rPr>
            </w:pPr>
            <w:r w:rsidRPr="00750592">
              <w:rPr>
                <w:rFonts w:ascii="Arial" w:hAnsi="Arial" w:cs="Arial"/>
                <w:color w:val="000000"/>
              </w:rPr>
              <w:t>5,820.24</w:t>
            </w:r>
          </w:p>
        </w:tc>
        <w:tc>
          <w:tcPr>
            <w:tcW w:w="1525" w:type="dxa"/>
            <w:tcBorders>
              <w:top w:val="nil"/>
              <w:left w:val="nil"/>
              <w:bottom w:val="nil"/>
              <w:right w:val="nil"/>
            </w:tcBorders>
            <w:vAlign w:val="center"/>
            <w:hideMark/>
          </w:tcPr>
          <w:p w14:paraId="24AA591E" w14:textId="77777777" w:rsidR="00750592" w:rsidRPr="00750592" w:rsidRDefault="00750592" w:rsidP="00750592">
            <w:pPr>
              <w:jc w:val="center"/>
              <w:rPr>
                <w:rFonts w:ascii="Arial" w:hAnsi="Arial" w:cs="Arial"/>
                <w:color w:val="000000"/>
              </w:rPr>
            </w:pPr>
            <w:r w:rsidRPr="00750592">
              <w:rPr>
                <w:rFonts w:ascii="Arial" w:hAnsi="Arial" w:cs="Arial"/>
                <w:color w:val="000000"/>
              </w:rPr>
              <w:t>-2,974.88</w:t>
            </w:r>
          </w:p>
        </w:tc>
        <w:tc>
          <w:tcPr>
            <w:tcW w:w="1608" w:type="dxa"/>
            <w:tcBorders>
              <w:top w:val="nil"/>
              <w:left w:val="nil"/>
              <w:bottom w:val="nil"/>
              <w:right w:val="nil"/>
            </w:tcBorders>
            <w:vAlign w:val="center"/>
            <w:hideMark/>
          </w:tcPr>
          <w:p w14:paraId="36299D67" w14:textId="77777777" w:rsidR="00750592" w:rsidRPr="00750592" w:rsidRDefault="00750592" w:rsidP="00750592">
            <w:pPr>
              <w:jc w:val="center"/>
              <w:rPr>
                <w:rFonts w:ascii="Arial" w:hAnsi="Arial" w:cs="Arial"/>
                <w:color w:val="000000"/>
              </w:rPr>
            </w:pPr>
            <w:r w:rsidRPr="00750592">
              <w:rPr>
                <w:rFonts w:ascii="Arial" w:hAnsi="Arial" w:cs="Arial"/>
                <w:color w:val="000000"/>
              </w:rPr>
              <w:t>5831.19</w:t>
            </w:r>
          </w:p>
        </w:tc>
        <w:tc>
          <w:tcPr>
            <w:tcW w:w="1287" w:type="dxa"/>
            <w:tcBorders>
              <w:top w:val="nil"/>
              <w:left w:val="nil"/>
              <w:bottom w:val="nil"/>
              <w:right w:val="nil"/>
            </w:tcBorders>
            <w:vAlign w:val="center"/>
            <w:hideMark/>
          </w:tcPr>
          <w:p w14:paraId="75885986" w14:textId="77777777" w:rsidR="00750592" w:rsidRPr="00750592" w:rsidRDefault="00750592" w:rsidP="00750592">
            <w:pPr>
              <w:jc w:val="center"/>
              <w:rPr>
                <w:rFonts w:ascii="Arial" w:hAnsi="Arial" w:cs="Arial"/>
                <w:color w:val="000000"/>
              </w:rPr>
            </w:pPr>
            <w:r w:rsidRPr="00750592">
              <w:rPr>
                <w:rFonts w:ascii="Arial" w:hAnsi="Arial" w:cs="Arial"/>
                <w:color w:val="000000"/>
              </w:rPr>
              <w:t>0.061</w:t>
            </w:r>
          </w:p>
        </w:tc>
        <w:tc>
          <w:tcPr>
            <w:tcW w:w="1289" w:type="dxa"/>
            <w:tcBorders>
              <w:top w:val="nil"/>
              <w:left w:val="nil"/>
              <w:bottom w:val="nil"/>
              <w:right w:val="nil"/>
            </w:tcBorders>
            <w:vAlign w:val="center"/>
            <w:hideMark/>
          </w:tcPr>
          <w:p w14:paraId="0ADF531B" w14:textId="77777777" w:rsidR="00750592" w:rsidRPr="00750592" w:rsidRDefault="00750592" w:rsidP="00750592">
            <w:pPr>
              <w:jc w:val="center"/>
              <w:rPr>
                <w:rFonts w:ascii="Arial" w:hAnsi="Arial" w:cs="Arial"/>
                <w:color w:val="000000"/>
              </w:rPr>
            </w:pPr>
            <w:r w:rsidRPr="00750592">
              <w:rPr>
                <w:rFonts w:ascii="Arial" w:hAnsi="Arial" w:cs="Arial"/>
                <w:color w:val="000000"/>
              </w:rPr>
              <w:t>0.073</w:t>
            </w:r>
          </w:p>
        </w:tc>
        <w:tc>
          <w:tcPr>
            <w:tcW w:w="1294" w:type="dxa"/>
            <w:tcBorders>
              <w:top w:val="nil"/>
              <w:left w:val="nil"/>
              <w:bottom w:val="nil"/>
              <w:right w:val="nil"/>
            </w:tcBorders>
            <w:vAlign w:val="center"/>
            <w:hideMark/>
          </w:tcPr>
          <w:p w14:paraId="3483FC2A" w14:textId="77777777" w:rsidR="00750592" w:rsidRPr="00750592" w:rsidRDefault="00750592" w:rsidP="00750592">
            <w:pPr>
              <w:jc w:val="center"/>
              <w:rPr>
                <w:rFonts w:ascii="Arial" w:hAnsi="Arial" w:cs="Arial"/>
                <w:color w:val="000000"/>
              </w:rPr>
            </w:pPr>
            <w:r w:rsidRPr="00750592">
              <w:rPr>
                <w:rFonts w:ascii="Arial" w:hAnsi="Arial" w:cs="Arial"/>
                <w:color w:val="000000"/>
              </w:rPr>
              <w:t>8.237</w:t>
            </w:r>
          </w:p>
        </w:tc>
      </w:tr>
      <w:tr w:rsidR="00750592" w:rsidRPr="00750592" w14:paraId="4A5D6EC8" w14:textId="77777777" w:rsidTr="00750592">
        <w:trPr>
          <w:trHeight w:val="300"/>
        </w:trPr>
        <w:tc>
          <w:tcPr>
            <w:tcW w:w="2757" w:type="dxa"/>
            <w:vMerge/>
            <w:tcBorders>
              <w:top w:val="nil"/>
              <w:left w:val="nil"/>
              <w:bottom w:val="nil"/>
              <w:right w:val="nil"/>
            </w:tcBorders>
            <w:vAlign w:val="center"/>
            <w:hideMark/>
          </w:tcPr>
          <w:p w14:paraId="78300943" w14:textId="77777777" w:rsidR="00750592" w:rsidRPr="00750592" w:rsidRDefault="00750592" w:rsidP="00750592">
            <w:pPr>
              <w:rPr>
                <w:rFonts w:ascii="Arial" w:hAnsi="Arial" w:cs="Arial"/>
                <w:b/>
                <w:bCs/>
                <w:color w:val="000000"/>
              </w:rPr>
            </w:pPr>
          </w:p>
        </w:tc>
        <w:tc>
          <w:tcPr>
            <w:tcW w:w="1231" w:type="dxa"/>
            <w:tcBorders>
              <w:top w:val="nil"/>
              <w:left w:val="nil"/>
              <w:bottom w:val="nil"/>
              <w:right w:val="nil"/>
            </w:tcBorders>
            <w:vAlign w:val="center"/>
            <w:hideMark/>
          </w:tcPr>
          <w:p w14:paraId="65E03E3B" w14:textId="77777777" w:rsidR="00750592" w:rsidRPr="00750592" w:rsidRDefault="00750592" w:rsidP="00750592">
            <w:pPr>
              <w:jc w:val="center"/>
              <w:rPr>
                <w:rFonts w:ascii="Arial" w:hAnsi="Arial" w:cs="Arial"/>
                <w:b/>
                <w:bCs/>
                <w:color w:val="000000"/>
              </w:rPr>
            </w:pPr>
            <w:r w:rsidRPr="00750592">
              <w:rPr>
                <w:rFonts w:ascii="Arial" w:hAnsi="Arial" w:cs="Arial"/>
                <w:b/>
                <w:bCs/>
                <w:color w:val="000000"/>
              </w:rPr>
              <w:t>Me-3</w:t>
            </w:r>
          </w:p>
        </w:tc>
        <w:tc>
          <w:tcPr>
            <w:tcW w:w="1413" w:type="dxa"/>
            <w:tcBorders>
              <w:top w:val="nil"/>
              <w:left w:val="nil"/>
              <w:bottom w:val="nil"/>
              <w:right w:val="nil"/>
            </w:tcBorders>
            <w:vAlign w:val="center"/>
            <w:hideMark/>
          </w:tcPr>
          <w:p w14:paraId="66C0570A" w14:textId="77777777" w:rsidR="00750592" w:rsidRPr="00750592" w:rsidRDefault="00750592" w:rsidP="00750592">
            <w:pPr>
              <w:jc w:val="center"/>
              <w:rPr>
                <w:rFonts w:ascii="Arial" w:hAnsi="Arial" w:cs="Arial"/>
                <w:color w:val="000000"/>
              </w:rPr>
            </w:pPr>
            <w:r w:rsidRPr="00750592">
              <w:rPr>
                <w:rFonts w:ascii="Arial" w:hAnsi="Arial" w:cs="Arial"/>
                <w:color w:val="000000"/>
              </w:rPr>
              <w:t>5,803.61</w:t>
            </w:r>
          </w:p>
        </w:tc>
        <w:tc>
          <w:tcPr>
            <w:tcW w:w="1296" w:type="dxa"/>
            <w:tcBorders>
              <w:top w:val="nil"/>
              <w:left w:val="nil"/>
              <w:bottom w:val="nil"/>
              <w:right w:val="nil"/>
            </w:tcBorders>
            <w:vAlign w:val="center"/>
            <w:hideMark/>
          </w:tcPr>
          <w:p w14:paraId="7BD81344" w14:textId="77777777" w:rsidR="00750592" w:rsidRPr="00750592" w:rsidRDefault="00750592" w:rsidP="00750592">
            <w:pPr>
              <w:jc w:val="center"/>
              <w:rPr>
                <w:rFonts w:ascii="Arial" w:hAnsi="Arial" w:cs="Arial"/>
                <w:color w:val="000000"/>
              </w:rPr>
            </w:pPr>
            <w:r w:rsidRPr="00750592">
              <w:rPr>
                <w:rFonts w:ascii="Arial" w:hAnsi="Arial" w:cs="Arial"/>
                <w:color w:val="000000"/>
              </w:rPr>
              <w:t>5,815.07</w:t>
            </w:r>
          </w:p>
        </w:tc>
        <w:tc>
          <w:tcPr>
            <w:tcW w:w="1525" w:type="dxa"/>
            <w:tcBorders>
              <w:top w:val="nil"/>
              <w:left w:val="nil"/>
              <w:bottom w:val="nil"/>
              <w:right w:val="nil"/>
            </w:tcBorders>
            <w:vAlign w:val="center"/>
            <w:hideMark/>
          </w:tcPr>
          <w:p w14:paraId="2B68027A" w14:textId="77777777" w:rsidR="00750592" w:rsidRPr="00750592" w:rsidRDefault="00750592" w:rsidP="00750592">
            <w:pPr>
              <w:jc w:val="center"/>
              <w:rPr>
                <w:rFonts w:ascii="Arial" w:hAnsi="Arial" w:cs="Arial"/>
                <w:color w:val="000000"/>
              </w:rPr>
            </w:pPr>
            <w:r w:rsidRPr="00750592">
              <w:rPr>
                <w:rFonts w:ascii="Arial" w:hAnsi="Arial" w:cs="Arial"/>
                <w:color w:val="000000"/>
              </w:rPr>
              <w:t>-2,962.34</w:t>
            </w:r>
          </w:p>
        </w:tc>
        <w:tc>
          <w:tcPr>
            <w:tcW w:w="1608" w:type="dxa"/>
            <w:tcBorders>
              <w:top w:val="nil"/>
              <w:left w:val="nil"/>
              <w:bottom w:val="nil"/>
              <w:right w:val="nil"/>
            </w:tcBorders>
            <w:vAlign w:val="center"/>
            <w:hideMark/>
          </w:tcPr>
          <w:p w14:paraId="5033D604" w14:textId="77777777" w:rsidR="00750592" w:rsidRPr="00750592" w:rsidRDefault="00750592" w:rsidP="00750592">
            <w:pPr>
              <w:jc w:val="center"/>
              <w:rPr>
                <w:rFonts w:ascii="Arial" w:hAnsi="Arial" w:cs="Arial"/>
                <w:color w:val="000000"/>
              </w:rPr>
            </w:pPr>
            <w:r w:rsidRPr="00750592">
              <w:rPr>
                <w:rFonts w:ascii="Arial" w:hAnsi="Arial" w:cs="Arial"/>
                <w:color w:val="000000"/>
              </w:rPr>
              <w:t>5820.08</w:t>
            </w:r>
          </w:p>
        </w:tc>
        <w:tc>
          <w:tcPr>
            <w:tcW w:w="1287" w:type="dxa"/>
            <w:tcBorders>
              <w:top w:val="nil"/>
              <w:left w:val="nil"/>
              <w:bottom w:val="nil"/>
              <w:right w:val="nil"/>
            </w:tcBorders>
            <w:vAlign w:val="center"/>
            <w:hideMark/>
          </w:tcPr>
          <w:p w14:paraId="6FA62D2B" w14:textId="77777777" w:rsidR="00750592" w:rsidRPr="00750592" w:rsidRDefault="00750592" w:rsidP="00750592">
            <w:pPr>
              <w:jc w:val="center"/>
              <w:rPr>
                <w:rFonts w:ascii="Arial" w:hAnsi="Arial" w:cs="Arial"/>
                <w:color w:val="000000"/>
              </w:rPr>
            </w:pPr>
            <w:r w:rsidRPr="00750592">
              <w:rPr>
                <w:rFonts w:ascii="Arial" w:hAnsi="Arial" w:cs="Arial"/>
                <w:color w:val="000000"/>
              </w:rPr>
              <w:t>0.053</w:t>
            </w:r>
          </w:p>
        </w:tc>
        <w:tc>
          <w:tcPr>
            <w:tcW w:w="1289" w:type="dxa"/>
            <w:tcBorders>
              <w:top w:val="nil"/>
              <w:left w:val="nil"/>
              <w:bottom w:val="nil"/>
              <w:right w:val="nil"/>
            </w:tcBorders>
            <w:vAlign w:val="center"/>
            <w:hideMark/>
          </w:tcPr>
          <w:p w14:paraId="551FC308" w14:textId="77777777" w:rsidR="00750592" w:rsidRPr="00750592" w:rsidRDefault="00750592" w:rsidP="00750592">
            <w:pPr>
              <w:jc w:val="center"/>
              <w:rPr>
                <w:rFonts w:ascii="Arial" w:hAnsi="Arial" w:cs="Arial"/>
                <w:color w:val="000000"/>
              </w:rPr>
            </w:pPr>
            <w:r w:rsidRPr="00750592">
              <w:rPr>
                <w:rFonts w:ascii="Arial" w:hAnsi="Arial" w:cs="Arial"/>
                <w:color w:val="000000"/>
              </w:rPr>
              <w:t>0.064</w:t>
            </w:r>
          </w:p>
        </w:tc>
        <w:tc>
          <w:tcPr>
            <w:tcW w:w="1294" w:type="dxa"/>
            <w:tcBorders>
              <w:top w:val="nil"/>
              <w:left w:val="nil"/>
              <w:bottom w:val="nil"/>
              <w:right w:val="nil"/>
            </w:tcBorders>
            <w:vAlign w:val="center"/>
            <w:hideMark/>
          </w:tcPr>
          <w:p w14:paraId="3E89DFD9" w14:textId="77777777" w:rsidR="00750592" w:rsidRPr="00750592" w:rsidRDefault="00750592" w:rsidP="00750592">
            <w:pPr>
              <w:jc w:val="center"/>
              <w:rPr>
                <w:rFonts w:ascii="Arial" w:hAnsi="Arial" w:cs="Arial"/>
                <w:color w:val="000000"/>
              </w:rPr>
            </w:pPr>
            <w:r w:rsidRPr="00750592">
              <w:rPr>
                <w:rFonts w:ascii="Arial" w:hAnsi="Arial" w:cs="Arial"/>
                <w:color w:val="000000"/>
              </w:rPr>
              <w:t>7.185</w:t>
            </w:r>
          </w:p>
        </w:tc>
      </w:tr>
      <w:tr w:rsidR="00750592" w:rsidRPr="00750592" w14:paraId="3EE07689" w14:textId="77777777" w:rsidTr="00750592">
        <w:trPr>
          <w:trHeight w:val="300"/>
        </w:trPr>
        <w:tc>
          <w:tcPr>
            <w:tcW w:w="2757" w:type="dxa"/>
            <w:vMerge/>
            <w:tcBorders>
              <w:top w:val="nil"/>
              <w:left w:val="nil"/>
              <w:bottom w:val="nil"/>
              <w:right w:val="nil"/>
            </w:tcBorders>
            <w:vAlign w:val="center"/>
            <w:hideMark/>
          </w:tcPr>
          <w:p w14:paraId="7D6FDE85" w14:textId="77777777" w:rsidR="00750592" w:rsidRPr="00750592" w:rsidRDefault="00750592" w:rsidP="00750592">
            <w:pPr>
              <w:rPr>
                <w:rFonts w:ascii="Arial" w:hAnsi="Arial" w:cs="Arial"/>
                <w:b/>
                <w:bCs/>
                <w:color w:val="000000"/>
              </w:rPr>
            </w:pPr>
          </w:p>
        </w:tc>
        <w:tc>
          <w:tcPr>
            <w:tcW w:w="1231" w:type="dxa"/>
            <w:tcBorders>
              <w:top w:val="nil"/>
              <w:left w:val="nil"/>
              <w:bottom w:val="nil"/>
              <w:right w:val="nil"/>
            </w:tcBorders>
            <w:vAlign w:val="center"/>
            <w:hideMark/>
          </w:tcPr>
          <w:p w14:paraId="47B89BC9" w14:textId="77777777" w:rsidR="00750592" w:rsidRPr="00750592" w:rsidRDefault="00750592" w:rsidP="00750592">
            <w:pPr>
              <w:jc w:val="center"/>
              <w:rPr>
                <w:rFonts w:ascii="Arial" w:hAnsi="Arial" w:cs="Arial"/>
                <w:b/>
                <w:bCs/>
                <w:color w:val="000000"/>
              </w:rPr>
            </w:pPr>
            <w:r w:rsidRPr="00750592">
              <w:rPr>
                <w:rFonts w:ascii="Arial" w:hAnsi="Arial" w:cs="Arial"/>
                <w:b/>
                <w:bCs/>
                <w:color w:val="000000"/>
              </w:rPr>
              <w:t>Me-4</w:t>
            </w:r>
          </w:p>
        </w:tc>
        <w:tc>
          <w:tcPr>
            <w:tcW w:w="1413" w:type="dxa"/>
            <w:tcBorders>
              <w:top w:val="nil"/>
              <w:left w:val="nil"/>
              <w:bottom w:val="nil"/>
              <w:right w:val="nil"/>
            </w:tcBorders>
            <w:vAlign w:val="center"/>
            <w:hideMark/>
          </w:tcPr>
          <w:p w14:paraId="103D5772" w14:textId="77777777" w:rsidR="00750592" w:rsidRPr="00750592" w:rsidRDefault="00750592" w:rsidP="00750592">
            <w:pPr>
              <w:jc w:val="center"/>
              <w:rPr>
                <w:rFonts w:ascii="Arial" w:hAnsi="Arial" w:cs="Arial"/>
                <w:color w:val="000000"/>
              </w:rPr>
            </w:pPr>
            <w:r w:rsidRPr="00750592">
              <w:rPr>
                <w:rFonts w:ascii="Arial" w:hAnsi="Arial" w:cs="Arial"/>
                <w:color w:val="000000"/>
              </w:rPr>
              <w:t>5,804.20</w:t>
            </w:r>
          </w:p>
        </w:tc>
        <w:tc>
          <w:tcPr>
            <w:tcW w:w="1296" w:type="dxa"/>
            <w:tcBorders>
              <w:top w:val="nil"/>
              <w:left w:val="nil"/>
              <w:bottom w:val="nil"/>
              <w:right w:val="nil"/>
            </w:tcBorders>
            <w:vAlign w:val="center"/>
            <w:hideMark/>
          </w:tcPr>
          <w:p w14:paraId="1C5079B2" w14:textId="77777777" w:rsidR="00750592" w:rsidRPr="00750592" w:rsidRDefault="00750592" w:rsidP="00750592">
            <w:pPr>
              <w:jc w:val="center"/>
              <w:rPr>
                <w:rFonts w:ascii="Arial" w:hAnsi="Arial" w:cs="Arial"/>
                <w:color w:val="000000"/>
              </w:rPr>
            </w:pPr>
            <w:r w:rsidRPr="00750592">
              <w:rPr>
                <w:rFonts w:ascii="Arial" w:hAnsi="Arial" w:cs="Arial"/>
                <w:color w:val="000000"/>
              </w:rPr>
              <w:t>5,815.00</w:t>
            </w:r>
          </w:p>
        </w:tc>
        <w:tc>
          <w:tcPr>
            <w:tcW w:w="1525" w:type="dxa"/>
            <w:tcBorders>
              <w:top w:val="nil"/>
              <w:left w:val="nil"/>
              <w:bottom w:val="nil"/>
              <w:right w:val="nil"/>
            </w:tcBorders>
            <w:vAlign w:val="center"/>
            <w:hideMark/>
          </w:tcPr>
          <w:p w14:paraId="56596DDD" w14:textId="77777777" w:rsidR="00750592" w:rsidRPr="00750592" w:rsidRDefault="00750592" w:rsidP="00750592">
            <w:pPr>
              <w:jc w:val="center"/>
              <w:rPr>
                <w:rFonts w:ascii="Arial" w:hAnsi="Arial" w:cs="Arial"/>
                <w:color w:val="000000"/>
              </w:rPr>
            </w:pPr>
            <w:r w:rsidRPr="00750592">
              <w:rPr>
                <w:rFonts w:ascii="Arial" w:hAnsi="Arial" w:cs="Arial"/>
                <w:color w:val="000000"/>
              </w:rPr>
              <w:t>-2,968.26</w:t>
            </w:r>
          </w:p>
        </w:tc>
        <w:tc>
          <w:tcPr>
            <w:tcW w:w="1608" w:type="dxa"/>
            <w:tcBorders>
              <w:top w:val="nil"/>
              <w:left w:val="nil"/>
              <w:bottom w:val="nil"/>
              <w:right w:val="nil"/>
            </w:tcBorders>
            <w:vAlign w:val="center"/>
            <w:hideMark/>
          </w:tcPr>
          <w:p w14:paraId="3FD8AD13" w14:textId="77777777" w:rsidR="00750592" w:rsidRPr="00750592" w:rsidRDefault="00750592" w:rsidP="00750592">
            <w:pPr>
              <w:jc w:val="center"/>
              <w:rPr>
                <w:rFonts w:ascii="Arial" w:hAnsi="Arial" w:cs="Arial"/>
                <w:color w:val="000000"/>
              </w:rPr>
            </w:pPr>
            <w:r w:rsidRPr="00750592">
              <w:rPr>
                <w:rFonts w:ascii="Arial" w:hAnsi="Arial" w:cs="Arial"/>
                <w:color w:val="000000"/>
              </w:rPr>
              <w:t>5819.82</w:t>
            </w:r>
          </w:p>
        </w:tc>
        <w:tc>
          <w:tcPr>
            <w:tcW w:w="1287" w:type="dxa"/>
            <w:tcBorders>
              <w:top w:val="nil"/>
              <w:left w:val="nil"/>
              <w:bottom w:val="nil"/>
              <w:right w:val="nil"/>
            </w:tcBorders>
            <w:vAlign w:val="center"/>
            <w:hideMark/>
          </w:tcPr>
          <w:p w14:paraId="76747A0E" w14:textId="77777777" w:rsidR="00750592" w:rsidRPr="00750592" w:rsidRDefault="00750592" w:rsidP="00750592">
            <w:pPr>
              <w:jc w:val="center"/>
              <w:rPr>
                <w:rFonts w:ascii="Arial" w:hAnsi="Arial" w:cs="Arial"/>
                <w:color w:val="000000"/>
              </w:rPr>
            </w:pPr>
            <w:r w:rsidRPr="00750592">
              <w:rPr>
                <w:rFonts w:ascii="Arial" w:hAnsi="Arial" w:cs="Arial"/>
                <w:color w:val="000000"/>
              </w:rPr>
              <w:t>0.052</w:t>
            </w:r>
          </w:p>
        </w:tc>
        <w:tc>
          <w:tcPr>
            <w:tcW w:w="1289" w:type="dxa"/>
            <w:tcBorders>
              <w:top w:val="nil"/>
              <w:left w:val="nil"/>
              <w:bottom w:val="nil"/>
              <w:right w:val="nil"/>
            </w:tcBorders>
            <w:vAlign w:val="center"/>
            <w:hideMark/>
          </w:tcPr>
          <w:p w14:paraId="6D7B6837" w14:textId="77777777" w:rsidR="00750592" w:rsidRPr="00750592" w:rsidRDefault="00750592" w:rsidP="00750592">
            <w:pPr>
              <w:jc w:val="center"/>
              <w:rPr>
                <w:rFonts w:ascii="Arial" w:hAnsi="Arial" w:cs="Arial"/>
                <w:color w:val="000000"/>
              </w:rPr>
            </w:pPr>
            <w:r w:rsidRPr="00750592">
              <w:rPr>
                <w:rFonts w:ascii="Arial" w:hAnsi="Arial" w:cs="Arial"/>
                <w:color w:val="000000"/>
              </w:rPr>
              <w:t>0.063</w:t>
            </w:r>
          </w:p>
        </w:tc>
        <w:tc>
          <w:tcPr>
            <w:tcW w:w="1294" w:type="dxa"/>
            <w:tcBorders>
              <w:top w:val="nil"/>
              <w:left w:val="nil"/>
              <w:bottom w:val="nil"/>
              <w:right w:val="nil"/>
            </w:tcBorders>
            <w:vAlign w:val="center"/>
            <w:hideMark/>
          </w:tcPr>
          <w:p w14:paraId="3259ECDC" w14:textId="77777777" w:rsidR="00750592" w:rsidRPr="00750592" w:rsidRDefault="00750592" w:rsidP="00750592">
            <w:pPr>
              <w:jc w:val="center"/>
              <w:rPr>
                <w:rFonts w:ascii="Arial" w:hAnsi="Arial" w:cs="Arial"/>
                <w:color w:val="000000"/>
              </w:rPr>
            </w:pPr>
            <w:r w:rsidRPr="00750592">
              <w:rPr>
                <w:rFonts w:ascii="Arial" w:hAnsi="Arial" w:cs="Arial"/>
                <w:color w:val="000000"/>
              </w:rPr>
              <w:t>7.022</w:t>
            </w:r>
          </w:p>
        </w:tc>
      </w:tr>
      <w:tr w:rsidR="00750592" w:rsidRPr="00750592" w14:paraId="2E4E03D2" w14:textId="77777777" w:rsidTr="00750592">
        <w:trPr>
          <w:trHeight w:val="280"/>
        </w:trPr>
        <w:tc>
          <w:tcPr>
            <w:tcW w:w="2757" w:type="dxa"/>
            <w:tcBorders>
              <w:top w:val="nil"/>
              <w:left w:val="nil"/>
              <w:bottom w:val="nil"/>
              <w:right w:val="nil"/>
            </w:tcBorders>
            <w:vAlign w:val="center"/>
            <w:hideMark/>
          </w:tcPr>
          <w:p w14:paraId="44302B9A" w14:textId="77777777" w:rsidR="00750592" w:rsidRPr="00750592" w:rsidRDefault="00750592" w:rsidP="00750592">
            <w:pPr>
              <w:jc w:val="center"/>
              <w:rPr>
                <w:rFonts w:ascii="Arial" w:hAnsi="Arial" w:cs="Arial"/>
                <w:color w:val="000000"/>
              </w:rPr>
            </w:pPr>
          </w:p>
        </w:tc>
        <w:tc>
          <w:tcPr>
            <w:tcW w:w="1231" w:type="dxa"/>
            <w:tcBorders>
              <w:top w:val="nil"/>
              <w:left w:val="nil"/>
              <w:bottom w:val="nil"/>
              <w:right w:val="nil"/>
            </w:tcBorders>
            <w:vAlign w:val="center"/>
            <w:hideMark/>
          </w:tcPr>
          <w:p w14:paraId="070597E1" w14:textId="77777777" w:rsidR="00750592" w:rsidRPr="00750592" w:rsidRDefault="00750592" w:rsidP="00750592">
            <w:pPr>
              <w:jc w:val="center"/>
            </w:pPr>
          </w:p>
        </w:tc>
        <w:tc>
          <w:tcPr>
            <w:tcW w:w="1413" w:type="dxa"/>
            <w:tcBorders>
              <w:top w:val="nil"/>
              <w:left w:val="nil"/>
              <w:bottom w:val="nil"/>
              <w:right w:val="nil"/>
            </w:tcBorders>
            <w:vAlign w:val="center"/>
            <w:hideMark/>
          </w:tcPr>
          <w:p w14:paraId="7CA0398C" w14:textId="77777777" w:rsidR="00750592" w:rsidRPr="00750592" w:rsidRDefault="00750592" w:rsidP="00750592">
            <w:pPr>
              <w:jc w:val="center"/>
            </w:pPr>
          </w:p>
        </w:tc>
        <w:tc>
          <w:tcPr>
            <w:tcW w:w="1296" w:type="dxa"/>
            <w:tcBorders>
              <w:top w:val="nil"/>
              <w:left w:val="nil"/>
              <w:bottom w:val="nil"/>
              <w:right w:val="nil"/>
            </w:tcBorders>
            <w:vAlign w:val="center"/>
            <w:hideMark/>
          </w:tcPr>
          <w:p w14:paraId="29CCB383" w14:textId="77777777" w:rsidR="00750592" w:rsidRPr="00750592" w:rsidRDefault="00750592" w:rsidP="00750592">
            <w:pPr>
              <w:jc w:val="center"/>
            </w:pPr>
          </w:p>
        </w:tc>
        <w:tc>
          <w:tcPr>
            <w:tcW w:w="1525" w:type="dxa"/>
            <w:tcBorders>
              <w:top w:val="nil"/>
              <w:left w:val="nil"/>
              <w:bottom w:val="nil"/>
              <w:right w:val="nil"/>
            </w:tcBorders>
            <w:vAlign w:val="center"/>
            <w:hideMark/>
          </w:tcPr>
          <w:p w14:paraId="2D0F619D" w14:textId="77777777" w:rsidR="00750592" w:rsidRPr="00750592" w:rsidRDefault="00750592" w:rsidP="00750592">
            <w:pPr>
              <w:jc w:val="center"/>
            </w:pPr>
          </w:p>
        </w:tc>
        <w:tc>
          <w:tcPr>
            <w:tcW w:w="1608" w:type="dxa"/>
            <w:tcBorders>
              <w:top w:val="nil"/>
              <w:left w:val="nil"/>
              <w:bottom w:val="nil"/>
              <w:right w:val="nil"/>
            </w:tcBorders>
            <w:vAlign w:val="center"/>
            <w:hideMark/>
          </w:tcPr>
          <w:p w14:paraId="42208047" w14:textId="77777777" w:rsidR="00750592" w:rsidRPr="00750592" w:rsidRDefault="00750592" w:rsidP="00750592">
            <w:pPr>
              <w:jc w:val="center"/>
            </w:pPr>
          </w:p>
        </w:tc>
        <w:tc>
          <w:tcPr>
            <w:tcW w:w="1287" w:type="dxa"/>
            <w:tcBorders>
              <w:top w:val="nil"/>
              <w:left w:val="nil"/>
              <w:bottom w:val="nil"/>
              <w:right w:val="nil"/>
            </w:tcBorders>
            <w:vAlign w:val="center"/>
            <w:hideMark/>
          </w:tcPr>
          <w:p w14:paraId="73E5FF21" w14:textId="77777777" w:rsidR="00750592" w:rsidRPr="00750592" w:rsidRDefault="00750592" w:rsidP="00750592">
            <w:pPr>
              <w:jc w:val="center"/>
            </w:pPr>
          </w:p>
        </w:tc>
        <w:tc>
          <w:tcPr>
            <w:tcW w:w="1289" w:type="dxa"/>
            <w:tcBorders>
              <w:top w:val="nil"/>
              <w:left w:val="nil"/>
              <w:bottom w:val="nil"/>
              <w:right w:val="nil"/>
            </w:tcBorders>
            <w:vAlign w:val="center"/>
            <w:hideMark/>
          </w:tcPr>
          <w:p w14:paraId="59797EF0" w14:textId="77777777" w:rsidR="00750592" w:rsidRPr="00750592" w:rsidRDefault="00750592" w:rsidP="00750592">
            <w:pPr>
              <w:jc w:val="center"/>
            </w:pPr>
          </w:p>
        </w:tc>
        <w:tc>
          <w:tcPr>
            <w:tcW w:w="1294" w:type="dxa"/>
            <w:tcBorders>
              <w:top w:val="nil"/>
              <w:left w:val="nil"/>
              <w:bottom w:val="nil"/>
              <w:right w:val="nil"/>
            </w:tcBorders>
            <w:vAlign w:val="center"/>
            <w:hideMark/>
          </w:tcPr>
          <w:p w14:paraId="250790E2" w14:textId="77777777" w:rsidR="00750592" w:rsidRPr="00750592" w:rsidRDefault="00750592" w:rsidP="00750592">
            <w:pPr>
              <w:jc w:val="center"/>
            </w:pPr>
          </w:p>
        </w:tc>
      </w:tr>
      <w:tr w:rsidR="00750592" w:rsidRPr="00750592" w14:paraId="18209FC4" w14:textId="77777777" w:rsidTr="00750592">
        <w:trPr>
          <w:trHeight w:val="300"/>
        </w:trPr>
        <w:tc>
          <w:tcPr>
            <w:tcW w:w="2757" w:type="dxa"/>
            <w:vMerge w:val="restart"/>
            <w:tcBorders>
              <w:top w:val="nil"/>
              <w:left w:val="nil"/>
              <w:bottom w:val="nil"/>
              <w:right w:val="nil"/>
            </w:tcBorders>
            <w:vAlign w:val="center"/>
            <w:hideMark/>
          </w:tcPr>
          <w:p w14:paraId="01F56157" w14:textId="7327047A" w:rsidR="00750592" w:rsidRPr="00750592" w:rsidRDefault="000C4A78" w:rsidP="00750592">
            <w:pPr>
              <w:jc w:val="center"/>
              <w:rPr>
                <w:rFonts w:ascii="Arial" w:hAnsi="Arial" w:cs="Arial"/>
                <w:b/>
                <w:bCs/>
                <w:color w:val="000000"/>
              </w:rPr>
            </w:pPr>
            <w:r>
              <w:rPr>
                <w:rFonts w:ascii="Arial" w:hAnsi="Arial" w:cs="Arial"/>
                <w:b/>
                <w:bCs/>
                <w:color w:val="000000"/>
              </w:rPr>
              <w:t>Pover</w:t>
            </w:r>
            <w:r w:rsidR="00C02CFF">
              <w:rPr>
                <w:rFonts w:ascii="Arial" w:hAnsi="Arial" w:cs="Arial"/>
                <w:b/>
                <w:bCs/>
                <w:color w:val="000000"/>
              </w:rPr>
              <w:t>t</w:t>
            </w:r>
            <w:r>
              <w:rPr>
                <w:rFonts w:ascii="Arial" w:hAnsi="Arial" w:cs="Arial"/>
                <w:b/>
                <w:bCs/>
                <w:color w:val="000000"/>
              </w:rPr>
              <w:t>y status</w:t>
            </w:r>
          </w:p>
        </w:tc>
        <w:tc>
          <w:tcPr>
            <w:tcW w:w="1231" w:type="dxa"/>
            <w:tcBorders>
              <w:top w:val="nil"/>
              <w:left w:val="nil"/>
              <w:bottom w:val="nil"/>
              <w:right w:val="nil"/>
            </w:tcBorders>
            <w:vAlign w:val="center"/>
            <w:hideMark/>
          </w:tcPr>
          <w:p w14:paraId="3DA3F61C" w14:textId="77777777" w:rsidR="00750592" w:rsidRPr="00750592" w:rsidRDefault="00750592" w:rsidP="00750592">
            <w:pPr>
              <w:jc w:val="center"/>
              <w:rPr>
                <w:rFonts w:ascii="Arial" w:hAnsi="Arial" w:cs="Arial"/>
                <w:b/>
                <w:bCs/>
                <w:color w:val="000000"/>
              </w:rPr>
            </w:pPr>
            <w:r w:rsidRPr="00750592">
              <w:rPr>
                <w:rFonts w:ascii="Arial" w:hAnsi="Arial" w:cs="Arial"/>
                <w:b/>
                <w:bCs/>
                <w:color w:val="000000"/>
              </w:rPr>
              <w:t>Mp-1</w:t>
            </w:r>
          </w:p>
        </w:tc>
        <w:tc>
          <w:tcPr>
            <w:tcW w:w="1413" w:type="dxa"/>
            <w:tcBorders>
              <w:top w:val="nil"/>
              <w:left w:val="nil"/>
              <w:bottom w:val="nil"/>
              <w:right w:val="nil"/>
            </w:tcBorders>
            <w:vAlign w:val="center"/>
            <w:hideMark/>
          </w:tcPr>
          <w:p w14:paraId="56257028" w14:textId="77777777" w:rsidR="00750592" w:rsidRPr="00750592" w:rsidRDefault="00750592" w:rsidP="00750592">
            <w:pPr>
              <w:jc w:val="center"/>
              <w:rPr>
                <w:rFonts w:ascii="Arial" w:hAnsi="Arial" w:cs="Arial"/>
                <w:color w:val="000000"/>
              </w:rPr>
            </w:pPr>
            <w:r w:rsidRPr="00750592">
              <w:rPr>
                <w:rFonts w:ascii="Arial" w:hAnsi="Arial" w:cs="Arial"/>
                <w:color w:val="000000"/>
              </w:rPr>
              <w:t>4,894.35</w:t>
            </w:r>
          </w:p>
        </w:tc>
        <w:tc>
          <w:tcPr>
            <w:tcW w:w="1296" w:type="dxa"/>
            <w:tcBorders>
              <w:top w:val="nil"/>
              <w:left w:val="nil"/>
              <w:bottom w:val="nil"/>
              <w:right w:val="nil"/>
            </w:tcBorders>
            <w:vAlign w:val="center"/>
            <w:hideMark/>
          </w:tcPr>
          <w:p w14:paraId="754C9328" w14:textId="77777777" w:rsidR="00750592" w:rsidRPr="00750592" w:rsidRDefault="00750592" w:rsidP="00750592">
            <w:pPr>
              <w:jc w:val="center"/>
              <w:rPr>
                <w:rFonts w:ascii="Arial" w:hAnsi="Arial" w:cs="Arial"/>
                <w:color w:val="000000"/>
              </w:rPr>
            </w:pPr>
            <w:r w:rsidRPr="00750592">
              <w:rPr>
                <w:rFonts w:ascii="Arial" w:hAnsi="Arial" w:cs="Arial"/>
                <w:color w:val="000000"/>
              </w:rPr>
              <w:t>4,969.69</w:t>
            </w:r>
          </w:p>
        </w:tc>
        <w:tc>
          <w:tcPr>
            <w:tcW w:w="1525" w:type="dxa"/>
            <w:tcBorders>
              <w:top w:val="nil"/>
              <w:left w:val="nil"/>
              <w:bottom w:val="nil"/>
              <w:right w:val="nil"/>
            </w:tcBorders>
            <w:vAlign w:val="center"/>
            <w:hideMark/>
          </w:tcPr>
          <w:p w14:paraId="15B66390" w14:textId="77777777" w:rsidR="00750592" w:rsidRPr="00750592" w:rsidRDefault="00750592" w:rsidP="00750592">
            <w:pPr>
              <w:jc w:val="center"/>
              <w:rPr>
                <w:rFonts w:ascii="Arial" w:hAnsi="Arial" w:cs="Arial"/>
                <w:color w:val="000000"/>
              </w:rPr>
            </w:pPr>
            <w:r w:rsidRPr="00750592">
              <w:rPr>
                <w:rFonts w:ascii="Arial" w:hAnsi="Arial" w:cs="Arial"/>
                <w:color w:val="000000"/>
              </w:rPr>
              <w:t>-2,527.03</w:t>
            </w:r>
          </w:p>
        </w:tc>
        <w:tc>
          <w:tcPr>
            <w:tcW w:w="1608" w:type="dxa"/>
            <w:tcBorders>
              <w:top w:val="nil"/>
              <w:left w:val="nil"/>
              <w:bottom w:val="nil"/>
              <w:right w:val="nil"/>
            </w:tcBorders>
            <w:vAlign w:val="center"/>
            <w:hideMark/>
          </w:tcPr>
          <w:p w14:paraId="111652B9" w14:textId="4227E917" w:rsidR="00750592" w:rsidRPr="00750592" w:rsidRDefault="00750592" w:rsidP="00750592">
            <w:pPr>
              <w:jc w:val="center"/>
              <w:rPr>
                <w:rFonts w:ascii="Arial" w:hAnsi="Arial" w:cs="Arial"/>
                <w:color w:val="000000"/>
              </w:rPr>
            </w:pPr>
            <w:r w:rsidRPr="00750592">
              <w:rPr>
                <w:rFonts w:ascii="Arial" w:hAnsi="Arial" w:cs="Arial"/>
                <w:color w:val="000000"/>
              </w:rPr>
              <w:t>4999.</w:t>
            </w:r>
            <w:r w:rsidR="0058019D">
              <w:rPr>
                <w:rFonts w:ascii="Arial" w:hAnsi="Arial" w:cs="Arial"/>
                <w:color w:val="000000"/>
              </w:rPr>
              <w:t>72</w:t>
            </w:r>
          </w:p>
        </w:tc>
        <w:tc>
          <w:tcPr>
            <w:tcW w:w="1287" w:type="dxa"/>
            <w:tcBorders>
              <w:top w:val="nil"/>
              <w:left w:val="nil"/>
              <w:bottom w:val="nil"/>
              <w:right w:val="nil"/>
            </w:tcBorders>
            <w:vAlign w:val="center"/>
            <w:hideMark/>
          </w:tcPr>
          <w:p w14:paraId="20703AA8" w14:textId="77777777" w:rsidR="00750592" w:rsidRPr="00750592" w:rsidRDefault="00750592" w:rsidP="00750592">
            <w:pPr>
              <w:jc w:val="center"/>
              <w:rPr>
                <w:rFonts w:ascii="Arial" w:hAnsi="Arial" w:cs="Arial"/>
                <w:color w:val="000000"/>
              </w:rPr>
            </w:pPr>
            <w:r w:rsidRPr="00750592">
              <w:rPr>
                <w:rFonts w:ascii="Arial" w:hAnsi="Arial" w:cs="Arial"/>
                <w:color w:val="000000"/>
              </w:rPr>
              <w:t>0.046</w:t>
            </w:r>
          </w:p>
        </w:tc>
        <w:tc>
          <w:tcPr>
            <w:tcW w:w="1289" w:type="dxa"/>
            <w:tcBorders>
              <w:top w:val="nil"/>
              <w:left w:val="nil"/>
              <w:bottom w:val="nil"/>
              <w:right w:val="nil"/>
            </w:tcBorders>
            <w:vAlign w:val="center"/>
            <w:hideMark/>
          </w:tcPr>
          <w:p w14:paraId="0C870265" w14:textId="739E70DA" w:rsidR="00750592" w:rsidRPr="00750592" w:rsidRDefault="00750592" w:rsidP="00750592">
            <w:pPr>
              <w:jc w:val="center"/>
              <w:rPr>
                <w:rFonts w:ascii="Arial" w:hAnsi="Arial" w:cs="Arial"/>
                <w:color w:val="000000"/>
              </w:rPr>
            </w:pPr>
            <w:r w:rsidRPr="00750592">
              <w:rPr>
                <w:rFonts w:ascii="Arial" w:hAnsi="Arial" w:cs="Arial"/>
                <w:color w:val="000000"/>
              </w:rPr>
              <w:t>0.07</w:t>
            </w:r>
            <w:r w:rsidR="006A0BD8">
              <w:rPr>
                <w:rFonts w:ascii="Arial" w:hAnsi="Arial" w:cs="Arial"/>
                <w:color w:val="000000"/>
              </w:rPr>
              <w:t>1</w:t>
            </w:r>
          </w:p>
        </w:tc>
        <w:tc>
          <w:tcPr>
            <w:tcW w:w="1294" w:type="dxa"/>
            <w:tcBorders>
              <w:top w:val="nil"/>
              <w:left w:val="nil"/>
              <w:bottom w:val="nil"/>
              <w:right w:val="nil"/>
            </w:tcBorders>
            <w:vAlign w:val="center"/>
            <w:hideMark/>
          </w:tcPr>
          <w:p w14:paraId="32739B7C" w14:textId="6A6F038D" w:rsidR="00750592" w:rsidRPr="00750592" w:rsidRDefault="006A0BD8" w:rsidP="00750592">
            <w:pPr>
              <w:jc w:val="center"/>
              <w:rPr>
                <w:rFonts w:ascii="Arial" w:hAnsi="Arial" w:cs="Arial"/>
                <w:color w:val="000000"/>
              </w:rPr>
            </w:pPr>
            <w:r>
              <w:rPr>
                <w:rFonts w:ascii="Arial" w:hAnsi="Arial" w:cs="Arial"/>
                <w:color w:val="000000"/>
              </w:rPr>
              <w:t>5.910</w:t>
            </w:r>
          </w:p>
        </w:tc>
      </w:tr>
      <w:tr w:rsidR="00750592" w:rsidRPr="00750592" w14:paraId="4B75E179" w14:textId="77777777" w:rsidTr="00750592">
        <w:trPr>
          <w:trHeight w:val="300"/>
        </w:trPr>
        <w:tc>
          <w:tcPr>
            <w:tcW w:w="2757" w:type="dxa"/>
            <w:vMerge/>
            <w:tcBorders>
              <w:top w:val="nil"/>
              <w:left w:val="nil"/>
              <w:bottom w:val="nil"/>
              <w:right w:val="nil"/>
            </w:tcBorders>
            <w:vAlign w:val="center"/>
            <w:hideMark/>
          </w:tcPr>
          <w:p w14:paraId="369DF320" w14:textId="77777777" w:rsidR="00750592" w:rsidRPr="00750592" w:rsidRDefault="00750592" w:rsidP="00750592">
            <w:pPr>
              <w:rPr>
                <w:rFonts w:ascii="Arial" w:hAnsi="Arial" w:cs="Arial"/>
                <w:b/>
                <w:bCs/>
                <w:color w:val="000000"/>
              </w:rPr>
            </w:pPr>
          </w:p>
        </w:tc>
        <w:tc>
          <w:tcPr>
            <w:tcW w:w="1231" w:type="dxa"/>
            <w:tcBorders>
              <w:top w:val="nil"/>
              <w:left w:val="nil"/>
              <w:bottom w:val="nil"/>
              <w:right w:val="nil"/>
            </w:tcBorders>
            <w:vAlign w:val="center"/>
            <w:hideMark/>
          </w:tcPr>
          <w:p w14:paraId="6484F30E" w14:textId="77777777" w:rsidR="00750592" w:rsidRPr="00750592" w:rsidRDefault="00750592" w:rsidP="00750592">
            <w:pPr>
              <w:jc w:val="center"/>
              <w:rPr>
                <w:rFonts w:ascii="Arial" w:hAnsi="Arial" w:cs="Arial"/>
                <w:b/>
                <w:bCs/>
                <w:color w:val="000000"/>
              </w:rPr>
            </w:pPr>
            <w:r w:rsidRPr="00750592">
              <w:rPr>
                <w:rFonts w:ascii="Arial" w:hAnsi="Arial" w:cs="Arial"/>
                <w:b/>
                <w:bCs/>
                <w:color w:val="000000"/>
              </w:rPr>
              <w:t>Mp-2</w:t>
            </w:r>
          </w:p>
        </w:tc>
        <w:tc>
          <w:tcPr>
            <w:tcW w:w="1413" w:type="dxa"/>
            <w:tcBorders>
              <w:top w:val="nil"/>
              <w:left w:val="nil"/>
              <w:bottom w:val="nil"/>
              <w:right w:val="nil"/>
            </w:tcBorders>
            <w:vAlign w:val="center"/>
            <w:hideMark/>
          </w:tcPr>
          <w:p w14:paraId="5B6D5785" w14:textId="77777777" w:rsidR="00750592" w:rsidRPr="00750592" w:rsidRDefault="00750592" w:rsidP="00750592">
            <w:pPr>
              <w:jc w:val="center"/>
              <w:rPr>
                <w:rFonts w:ascii="Arial" w:hAnsi="Arial" w:cs="Arial"/>
                <w:color w:val="000000"/>
              </w:rPr>
            </w:pPr>
            <w:r w:rsidRPr="00750592">
              <w:rPr>
                <w:rFonts w:ascii="Arial" w:hAnsi="Arial" w:cs="Arial"/>
                <w:color w:val="000000"/>
              </w:rPr>
              <w:t>4,893.67</w:t>
            </w:r>
          </w:p>
        </w:tc>
        <w:tc>
          <w:tcPr>
            <w:tcW w:w="1296" w:type="dxa"/>
            <w:tcBorders>
              <w:top w:val="nil"/>
              <w:left w:val="nil"/>
              <w:bottom w:val="nil"/>
              <w:right w:val="nil"/>
            </w:tcBorders>
            <w:vAlign w:val="center"/>
            <w:hideMark/>
          </w:tcPr>
          <w:p w14:paraId="0CC377B0" w14:textId="77777777" w:rsidR="00750592" w:rsidRPr="00750592" w:rsidRDefault="00750592" w:rsidP="00750592">
            <w:pPr>
              <w:jc w:val="center"/>
              <w:rPr>
                <w:rFonts w:ascii="Arial" w:hAnsi="Arial" w:cs="Arial"/>
                <w:color w:val="000000"/>
              </w:rPr>
            </w:pPr>
            <w:r w:rsidRPr="00750592">
              <w:rPr>
                <w:rFonts w:ascii="Arial" w:hAnsi="Arial" w:cs="Arial"/>
                <w:color w:val="000000"/>
              </w:rPr>
              <w:t>4,969.42</w:t>
            </w:r>
          </w:p>
        </w:tc>
        <w:tc>
          <w:tcPr>
            <w:tcW w:w="1525" w:type="dxa"/>
            <w:tcBorders>
              <w:top w:val="nil"/>
              <w:left w:val="nil"/>
              <w:bottom w:val="nil"/>
              <w:right w:val="nil"/>
            </w:tcBorders>
            <w:vAlign w:val="center"/>
            <w:hideMark/>
          </w:tcPr>
          <w:p w14:paraId="41D363C5" w14:textId="77777777" w:rsidR="00750592" w:rsidRPr="00750592" w:rsidRDefault="00750592" w:rsidP="00750592">
            <w:pPr>
              <w:jc w:val="center"/>
              <w:rPr>
                <w:rFonts w:ascii="Arial" w:hAnsi="Arial" w:cs="Arial"/>
                <w:color w:val="000000"/>
              </w:rPr>
            </w:pPr>
            <w:r w:rsidRPr="00750592">
              <w:rPr>
                <w:rFonts w:ascii="Arial" w:hAnsi="Arial" w:cs="Arial"/>
                <w:color w:val="000000"/>
              </w:rPr>
              <w:t>-2,528.24</w:t>
            </w:r>
          </w:p>
        </w:tc>
        <w:tc>
          <w:tcPr>
            <w:tcW w:w="1608" w:type="dxa"/>
            <w:tcBorders>
              <w:top w:val="nil"/>
              <w:left w:val="nil"/>
              <w:bottom w:val="nil"/>
              <w:right w:val="nil"/>
            </w:tcBorders>
            <w:vAlign w:val="center"/>
            <w:hideMark/>
          </w:tcPr>
          <w:p w14:paraId="65A74552" w14:textId="77777777" w:rsidR="00750592" w:rsidRPr="00750592" w:rsidRDefault="00750592" w:rsidP="00750592">
            <w:pPr>
              <w:jc w:val="center"/>
              <w:rPr>
                <w:rFonts w:ascii="Arial" w:hAnsi="Arial" w:cs="Arial"/>
                <w:color w:val="000000"/>
              </w:rPr>
            </w:pPr>
            <w:r w:rsidRPr="00750592">
              <w:rPr>
                <w:rFonts w:ascii="Arial" w:hAnsi="Arial" w:cs="Arial"/>
                <w:color w:val="000000"/>
              </w:rPr>
              <w:t>5008.95</w:t>
            </w:r>
          </w:p>
        </w:tc>
        <w:tc>
          <w:tcPr>
            <w:tcW w:w="1287" w:type="dxa"/>
            <w:tcBorders>
              <w:top w:val="nil"/>
              <w:left w:val="nil"/>
              <w:bottom w:val="nil"/>
              <w:right w:val="nil"/>
            </w:tcBorders>
            <w:vAlign w:val="center"/>
            <w:hideMark/>
          </w:tcPr>
          <w:p w14:paraId="5D1B42F0" w14:textId="77777777" w:rsidR="00750592" w:rsidRPr="00750592" w:rsidRDefault="00750592" w:rsidP="00750592">
            <w:pPr>
              <w:jc w:val="center"/>
              <w:rPr>
                <w:rFonts w:ascii="Arial" w:hAnsi="Arial" w:cs="Arial"/>
                <w:color w:val="000000"/>
              </w:rPr>
            </w:pPr>
            <w:r w:rsidRPr="00750592">
              <w:rPr>
                <w:rFonts w:ascii="Arial" w:hAnsi="Arial" w:cs="Arial"/>
                <w:color w:val="000000"/>
              </w:rPr>
              <w:t>0.051</w:t>
            </w:r>
          </w:p>
        </w:tc>
        <w:tc>
          <w:tcPr>
            <w:tcW w:w="1289" w:type="dxa"/>
            <w:tcBorders>
              <w:top w:val="nil"/>
              <w:left w:val="nil"/>
              <w:bottom w:val="nil"/>
              <w:right w:val="nil"/>
            </w:tcBorders>
            <w:vAlign w:val="center"/>
            <w:hideMark/>
          </w:tcPr>
          <w:p w14:paraId="79E3DD75" w14:textId="100EC21E" w:rsidR="00750592" w:rsidRPr="00750592" w:rsidRDefault="00750592" w:rsidP="00750592">
            <w:pPr>
              <w:jc w:val="center"/>
              <w:rPr>
                <w:rFonts w:ascii="Arial" w:hAnsi="Arial" w:cs="Arial"/>
                <w:color w:val="000000"/>
              </w:rPr>
            </w:pPr>
            <w:r w:rsidRPr="00750592">
              <w:rPr>
                <w:rFonts w:ascii="Arial" w:hAnsi="Arial" w:cs="Arial"/>
                <w:color w:val="000000"/>
              </w:rPr>
              <w:t>0.07</w:t>
            </w:r>
            <w:r w:rsidR="006A0BD8">
              <w:rPr>
                <w:rFonts w:ascii="Arial" w:hAnsi="Arial" w:cs="Arial"/>
                <w:color w:val="000000"/>
              </w:rPr>
              <w:t>9</w:t>
            </w:r>
          </w:p>
        </w:tc>
        <w:tc>
          <w:tcPr>
            <w:tcW w:w="1294" w:type="dxa"/>
            <w:tcBorders>
              <w:top w:val="nil"/>
              <w:left w:val="nil"/>
              <w:bottom w:val="nil"/>
              <w:right w:val="nil"/>
            </w:tcBorders>
            <w:vAlign w:val="center"/>
            <w:hideMark/>
          </w:tcPr>
          <w:p w14:paraId="35B3BD67" w14:textId="0030F8D6" w:rsidR="00750592" w:rsidRPr="00750592" w:rsidRDefault="006A0BD8" w:rsidP="00750592">
            <w:pPr>
              <w:jc w:val="center"/>
              <w:rPr>
                <w:rFonts w:ascii="Arial" w:hAnsi="Arial" w:cs="Arial"/>
                <w:color w:val="000000"/>
              </w:rPr>
            </w:pPr>
            <w:r>
              <w:rPr>
                <w:rFonts w:ascii="Arial" w:hAnsi="Arial" w:cs="Arial"/>
                <w:color w:val="000000"/>
              </w:rPr>
              <w:t>6.408</w:t>
            </w:r>
          </w:p>
        </w:tc>
      </w:tr>
      <w:tr w:rsidR="00750592" w:rsidRPr="00750592" w14:paraId="7D3D4C66" w14:textId="77777777" w:rsidTr="00750592">
        <w:trPr>
          <w:trHeight w:val="300"/>
        </w:trPr>
        <w:tc>
          <w:tcPr>
            <w:tcW w:w="2757" w:type="dxa"/>
            <w:vMerge/>
            <w:tcBorders>
              <w:top w:val="nil"/>
              <w:left w:val="nil"/>
              <w:bottom w:val="nil"/>
              <w:right w:val="nil"/>
            </w:tcBorders>
            <w:vAlign w:val="center"/>
            <w:hideMark/>
          </w:tcPr>
          <w:p w14:paraId="0457BC9F" w14:textId="77777777" w:rsidR="00750592" w:rsidRPr="00750592" w:rsidRDefault="00750592" w:rsidP="00750592">
            <w:pPr>
              <w:rPr>
                <w:rFonts w:ascii="Arial" w:hAnsi="Arial" w:cs="Arial"/>
                <w:b/>
                <w:bCs/>
                <w:color w:val="000000"/>
              </w:rPr>
            </w:pPr>
          </w:p>
        </w:tc>
        <w:tc>
          <w:tcPr>
            <w:tcW w:w="1231" w:type="dxa"/>
            <w:tcBorders>
              <w:top w:val="nil"/>
              <w:left w:val="nil"/>
              <w:bottom w:val="nil"/>
              <w:right w:val="nil"/>
            </w:tcBorders>
            <w:vAlign w:val="center"/>
            <w:hideMark/>
          </w:tcPr>
          <w:p w14:paraId="34EBD530" w14:textId="77777777" w:rsidR="00750592" w:rsidRPr="00750592" w:rsidRDefault="00750592" w:rsidP="00750592">
            <w:pPr>
              <w:jc w:val="center"/>
              <w:rPr>
                <w:rFonts w:ascii="Arial" w:hAnsi="Arial" w:cs="Arial"/>
                <w:b/>
                <w:bCs/>
                <w:color w:val="000000"/>
              </w:rPr>
            </w:pPr>
            <w:r w:rsidRPr="00750592">
              <w:rPr>
                <w:rFonts w:ascii="Arial" w:hAnsi="Arial" w:cs="Arial"/>
                <w:b/>
                <w:bCs/>
                <w:color w:val="000000"/>
              </w:rPr>
              <w:t>Mp-3</w:t>
            </w:r>
          </w:p>
        </w:tc>
        <w:tc>
          <w:tcPr>
            <w:tcW w:w="1413" w:type="dxa"/>
            <w:tcBorders>
              <w:top w:val="nil"/>
              <w:left w:val="nil"/>
              <w:bottom w:val="nil"/>
              <w:right w:val="nil"/>
            </w:tcBorders>
            <w:vAlign w:val="center"/>
            <w:hideMark/>
          </w:tcPr>
          <w:p w14:paraId="565E5978" w14:textId="77777777" w:rsidR="00750592" w:rsidRPr="00750592" w:rsidRDefault="00750592" w:rsidP="00750592">
            <w:pPr>
              <w:jc w:val="center"/>
              <w:rPr>
                <w:rFonts w:ascii="Arial" w:hAnsi="Arial" w:cs="Arial"/>
                <w:color w:val="000000"/>
              </w:rPr>
            </w:pPr>
            <w:r w:rsidRPr="00750592">
              <w:rPr>
                <w:rFonts w:ascii="Arial" w:hAnsi="Arial" w:cs="Arial"/>
                <w:color w:val="000000"/>
              </w:rPr>
              <w:t>4,913.79</w:t>
            </w:r>
          </w:p>
        </w:tc>
        <w:tc>
          <w:tcPr>
            <w:tcW w:w="1296" w:type="dxa"/>
            <w:tcBorders>
              <w:top w:val="nil"/>
              <w:left w:val="nil"/>
              <w:bottom w:val="nil"/>
              <w:right w:val="nil"/>
            </w:tcBorders>
            <w:vAlign w:val="center"/>
            <w:hideMark/>
          </w:tcPr>
          <w:p w14:paraId="7C9B31EC" w14:textId="77777777" w:rsidR="00750592" w:rsidRPr="00750592" w:rsidRDefault="00750592" w:rsidP="00750592">
            <w:pPr>
              <w:jc w:val="center"/>
              <w:rPr>
                <w:rFonts w:ascii="Arial" w:hAnsi="Arial" w:cs="Arial"/>
                <w:color w:val="000000"/>
              </w:rPr>
            </w:pPr>
            <w:r w:rsidRPr="00750592">
              <w:rPr>
                <w:rFonts w:ascii="Arial" w:hAnsi="Arial" w:cs="Arial"/>
                <w:color w:val="000000"/>
              </w:rPr>
              <w:t>4,974.62</w:t>
            </w:r>
          </w:p>
        </w:tc>
        <w:tc>
          <w:tcPr>
            <w:tcW w:w="1525" w:type="dxa"/>
            <w:tcBorders>
              <w:top w:val="nil"/>
              <w:left w:val="nil"/>
              <w:bottom w:val="nil"/>
              <w:right w:val="nil"/>
            </w:tcBorders>
            <w:vAlign w:val="center"/>
            <w:hideMark/>
          </w:tcPr>
          <w:p w14:paraId="68D72910" w14:textId="77777777" w:rsidR="00750592" w:rsidRPr="00750592" w:rsidRDefault="00750592" w:rsidP="00750592">
            <w:pPr>
              <w:jc w:val="center"/>
              <w:rPr>
                <w:rFonts w:ascii="Arial" w:hAnsi="Arial" w:cs="Arial"/>
                <w:color w:val="000000"/>
              </w:rPr>
            </w:pPr>
            <w:r w:rsidRPr="00750592">
              <w:rPr>
                <w:rFonts w:ascii="Arial" w:hAnsi="Arial" w:cs="Arial"/>
                <w:color w:val="000000"/>
              </w:rPr>
              <w:t>-2,514.20</w:t>
            </w:r>
          </w:p>
        </w:tc>
        <w:tc>
          <w:tcPr>
            <w:tcW w:w="1608" w:type="dxa"/>
            <w:tcBorders>
              <w:top w:val="nil"/>
              <w:left w:val="nil"/>
              <w:bottom w:val="nil"/>
              <w:right w:val="nil"/>
            </w:tcBorders>
            <w:vAlign w:val="center"/>
            <w:hideMark/>
          </w:tcPr>
          <w:p w14:paraId="214F2E18" w14:textId="70B56A3B" w:rsidR="00750592" w:rsidRPr="00750592" w:rsidRDefault="0058019D" w:rsidP="00750592">
            <w:pPr>
              <w:jc w:val="center"/>
              <w:rPr>
                <w:rFonts w:ascii="Arial" w:hAnsi="Arial" w:cs="Arial"/>
                <w:color w:val="000000"/>
              </w:rPr>
            </w:pPr>
            <w:r>
              <w:rPr>
                <w:rFonts w:ascii="Arial" w:hAnsi="Arial" w:cs="Arial"/>
                <w:color w:val="000000"/>
              </w:rPr>
              <w:t>5003</w:t>
            </w:r>
            <w:r w:rsidR="00750592" w:rsidRPr="00750592">
              <w:rPr>
                <w:rFonts w:ascii="Arial" w:hAnsi="Arial" w:cs="Arial"/>
                <w:color w:val="000000"/>
              </w:rPr>
              <w:t>.</w:t>
            </w:r>
            <w:r>
              <w:rPr>
                <w:rFonts w:ascii="Arial" w:hAnsi="Arial" w:cs="Arial"/>
                <w:color w:val="000000"/>
              </w:rPr>
              <w:t>45</w:t>
            </w:r>
          </w:p>
        </w:tc>
        <w:tc>
          <w:tcPr>
            <w:tcW w:w="1287" w:type="dxa"/>
            <w:tcBorders>
              <w:top w:val="nil"/>
              <w:left w:val="nil"/>
              <w:bottom w:val="nil"/>
              <w:right w:val="nil"/>
            </w:tcBorders>
            <w:vAlign w:val="center"/>
            <w:hideMark/>
          </w:tcPr>
          <w:p w14:paraId="75A81C0B" w14:textId="7BE4E4F8" w:rsidR="00750592" w:rsidRPr="00750592" w:rsidRDefault="00750592" w:rsidP="00750592">
            <w:pPr>
              <w:jc w:val="center"/>
              <w:rPr>
                <w:rFonts w:ascii="Arial" w:hAnsi="Arial" w:cs="Arial"/>
                <w:color w:val="000000"/>
              </w:rPr>
            </w:pPr>
            <w:r w:rsidRPr="00750592">
              <w:rPr>
                <w:rFonts w:ascii="Arial" w:hAnsi="Arial" w:cs="Arial"/>
                <w:color w:val="000000"/>
              </w:rPr>
              <w:t>0.0</w:t>
            </w:r>
            <w:r w:rsidR="00AD3DAB">
              <w:rPr>
                <w:rFonts w:ascii="Arial" w:hAnsi="Arial" w:cs="Arial"/>
                <w:color w:val="000000"/>
              </w:rPr>
              <w:t>43</w:t>
            </w:r>
          </w:p>
        </w:tc>
        <w:tc>
          <w:tcPr>
            <w:tcW w:w="1289" w:type="dxa"/>
            <w:tcBorders>
              <w:top w:val="nil"/>
              <w:left w:val="nil"/>
              <w:bottom w:val="nil"/>
              <w:right w:val="nil"/>
            </w:tcBorders>
            <w:vAlign w:val="center"/>
            <w:hideMark/>
          </w:tcPr>
          <w:p w14:paraId="4D48BD38" w14:textId="3EB0385D" w:rsidR="00750592" w:rsidRPr="00750592" w:rsidRDefault="00750592" w:rsidP="00750592">
            <w:pPr>
              <w:jc w:val="center"/>
              <w:rPr>
                <w:rFonts w:ascii="Arial" w:hAnsi="Arial" w:cs="Arial"/>
                <w:color w:val="000000"/>
              </w:rPr>
            </w:pPr>
            <w:r w:rsidRPr="00750592">
              <w:rPr>
                <w:rFonts w:ascii="Arial" w:hAnsi="Arial" w:cs="Arial"/>
                <w:color w:val="000000"/>
              </w:rPr>
              <w:t>0.06</w:t>
            </w:r>
            <w:r w:rsidR="006A0BD8">
              <w:rPr>
                <w:rFonts w:ascii="Arial" w:hAnsi="Arial" w:cs="Arial"/>
                <w:color w:val="000000"/>
              </w:rPr>
              <w:t>2</w:t>
            </w:r>
          </w:p>
        </w:tc>
        <w:tc>
          <w:tcPr>
            <w:tcW w:w="1294" w:type="dxa"/>
            <w:tcBorders>
              <w:top w:val="nil"/>
              <w:left w:val="nil"/>
              <w:bottom w:val="nil"/>
              <w:right w:val="nil"/>
            </w:tcBorders>
            <w:vAlign w:val="center"/>
            <w:hideMark/>
          </w:tcPr>
          <w:p w14:paraId="7A8FE47B" w14:textId="3DE80DE6" w:rsidR="00750592" w:rsidRPr="00750592" w:rsidRDefault="006A0BD8" w:rsidP="00750592">
            <w:pPr>
              <w:jc w:val="center"/>
              <w:rPr>
                <w:rFonts w:ascii="Arial" w:hAnsi="Arial" w:cs="Arial"/>
                <w:color w:val="000000"/>
              </w:rPr>
            </w:pPr>
            <w:r>
              <w:rPr>
                <w:rFonts w:ascii="Arial" w:hAnsi="Arial" w:cs="Arial"/>
                <w:color w:val="000000"/>
              </w:rPr>
              <w:t>5.394</w:t>
            </w:r>
          </w:p>
        </w:tc>
      </w:tr>
      <w:tr w:rsidR="00750592" w:rsidRPr="00750592" w14:paraId="67DF4085" w14:textId="77777777" w:rsidTr="00750592">
        <w:trPr>
          <w:trHeight w:val="300"/>
        </w:trPr>
        <w:tc>
          <w:tcPr>
            <w:tcW w:w="2757" w:type="dxa"/>
            <w:vMerge/>
            <w:tcBorders>
              <w:top w:val="nil"/>
              <w:left w:val="nil"/>
              <w:bottom w:val="nil"/>
              <w:right w:val="nil"/>
            </w:tcBorders>
            <w:vAlign w:val="center"/>
            <w:hideMark/>
          </w:tcPr>
          <w:p w14:paraId="33A8DFB7" w14:textId="77777777" w:rsidR="00750592" w:rsidRPr="00750592" w:rsidRDefault="00750592" w:rsidP="00750592">
            <w:pPr>
              <w:rPr>
                <w:rFonts w:ascii="Arial" w:hAnsi="Arial" w:cs="Arial"/>
                <w:b/>
                <w:bCs/>
                <w:color w:val="000000"/>
              </w:rPr>
            </w:pPr>
          </w:p>
        </w:tc>
        <w:tc>
          <w:tcPr>
            <w:tcW w:w="1231" w:type="dxa"/>
            <w:tcBorders>
              <w:top w:val="nil"/>
              <w:left w:val="nil"/>
              <w:bottom w:val="nil"/>
              <w:right w:val="nil"/>
            </w:tcBorders>
            <w:vAlign w:val="center"/>
            <w:hideMark/>
          </w:tcPr>
          <w:p w14:paraId="709B304A" w14:textId="77777777" w:rsidR="00750592" w:rsidRPr="00750592" w:rsidRDefault="00750592" w:rsidP="00750592">
            <w:pPr>
              <w:jc w:val="center"/>
              <w:rPr>
                <w:rFonts w:ascii="Arial" w:hAnsi="Arial" w:cs="Arial"/>
                <w:b/>
                <w:bCs/>
                <w:color w:val="000000"/>
              </w:rPr>
            </w:pPr>
            <w:r w:rsidRPr="00750592">
              <w:rPr>
                <w:rFonts w:ascii="Arial" w:hAnsi="Arial" w:cs="Arial"/>
                <w:b/>
                <w:bCs/>
                <w:color w:val="000000"/>
              </w:rPr>
              <w:t>Mp-4</w:t>
            </w:r>
          </w:p>
        </w:tc>
        <w:tc>
          <w:tcPr>
            <w:tcW w:w="1413" w:type="dxa"/>
            <w:tcBorders>
              <w:top w:val="nil"/>
              <w:left w:val="nil"/>
              <w:bottom w:val="nil"/>
              <w:right w:val="nil"/>
            </w:tcBorders>
            <w:vAlign w:val="center"/>
            <w:hideMark/>
          </w:tcPr>
          <w:p w14:paraId="0C988BA9" w14:textId="77777777" w:rsidR="00750592" w:rsidRPr="00750592" w:rsidRDefault="00750592" w:rsidP="00750592">
            <w:pPr>
              <w:jc w:val="center"/>
              <w:rPr>
                <w:rFonts w:ascii="Arial" w:hAnsi="Arial" w:cs="Arial"/>
                <w:color w:val="000000"/>
              </w:rPr>
            </w:pPr>
            <w:r w:rsidRPr="00750592">
              <w:rPr>
                <w:rFonts w:ascii="Arial" w:hAnsi="Arial" w:cs="Arial"/>
                <w:color w:val="000000"/>
              </w:rPr>
              <w:t>4,915.61</w:t>
            </w:r>
          </w:p>
        </w:tc>
        <w:tc>
          <w:tcPr>
            <w:tcW w:w="1296" w:type="dxa"/>
            <w:tcBorders>
              <w:top w:val="nil"/>
              <w:left w:val="nil"/>
              <w:bottom w:val="nil"/>
              <w:right w:val="nil"/>
            </w:tcBorders>
            <w:vAlign w:val="center"/>
            <w:hideMark/>
          </w:tcPr>
          <w:p w14:paraId="533280C6" w14:textId="77777777" w:rsidR="00750592" w:rsidRPr="00750592" w:rsidRDefault="00750592" w:rsidP="00750592">
            <w:pPr>
              <w:jc w:val="center"/>
              <w:rPr>
                <w:rFonts w:ascii="Arial" w:hAnsi="Arial" w:cs="Arial"/>
                <w:color w:val="000000"/>
              </w:rPr>
            </w:pPr>
            <w:r w:rsidRPr="00750592">
              <w:rPr>
                <w:rFonts w:ascii="Arial" w:hAnsi="Arial" w:cs="Arial"/>
                <w:color w:val="000000"/>
              </w:rPr>
              <w:t>4,977.41</w:t>
            </w:r>
          </w:p>
        </w:tc>
        <w:tc>
          <w:tcPr>
            <w:tcW w:w="1525" w:type="dxa"/>
            <w:tcBorders>
              <w:top w:val="nil"/>
              <w:left w:val="nil"/>
              <w:bottom w:val="single" w:sz="4" w:space="0" w:color="auto"/>
              <w:right w:val="nil"/>
            </w:tcBorders>
            <w:vAlign w:val="center"/>
            <w:hideMark/>
          </w:tcPr>
          <w:p w14:paraId="5383167A" w14:textId="53D77C43" w:rsidR="00750592" w:rsidRPr="00750592" w:rsidRDefault="00750592" w:rsidP="00750592">
            <w:pPr>
              <w:jc w:val="center"/>
              <w:rPr>
                <w:rFonts w:ascii="Arial" w:hAnsi="Arial" w:cs="Arial"/>
                <w:color w:val="000000"/>
              </w:rPr>
            </w:pPr>
            <w:r w:rsidRPr="00750592">
              <w:rPr>
                <w:rFonts w:ascii="Arial" w:hAnsi="Arial" w:cs="Arial"/>
                <w:color w:val="000000"/>
              </w:rPr>
              <w:t>-2</w:t>
            </w:r>
            <w:r w:rsidR="008F23E4">
              <w:rPr>
                <w:rFonts w:ascii="Arial" w:hAnsi="Arial" w:cs="Arial"/>
                <w:color w:val="000000"/>
              </w:rPr>
              <w:t>,</w:t>
            </w:r>
            <w:r w:rsidRPr="00750592">
              <w:rPr>
                <w:rFonts w:ascii="Arial" w:hAnsi="Arial" w:cs="Arial"/>
                <w:color w:val="000000"/>
              </w:rPr>
              <w:t>509.01</w:t>
            </w:r>
          </w:p>
        </w:tc>
        <w:tc>
          <w:tcPr>
            <w:tcW w:w="1608" w:type="dxa"/>
            <w:tcBorders>
              <w:top w:val="nil"/>
              <w:left w:val="nil"/>
              <w:bottom w:val="single" w:sz="4" w:space="0" w:color="auto"/>
              <w:right w:val="nil"/>
            </w:tcBorders>
            <w:vAlign w:val="center"/>
            <w:hideMark/>
          </w:tcPr>
          <w:p w14:paraId="67022B66" w14:textId="27191310" w:rsidR="00750592" w:rsidRPr="00750592" w:rsidRDefault="00750592" w:rsidP="00750592">
            <w:pPr>
              <w:jc w:val="center"/>
              <w:rPr>
                <w:rFonts w:ascii="Arial" w:hAnsi="Arial" w:cs="Arial"/>
                <w:color w:val="000000"/>
              </w:rPr>
            </w:pPr>
            <w:r w:rsidRPr="00750592">
              <w:rPr>
                <w:rFonts w:ascii="Arial" w:hAnsi="Arial" w:cs="Arial"/>
                <w:color w:val="000000"/>
              </w:rPr>
              <w:t>5003.</w:t>
            </w:r>
            <w:r w:rsidR="000C4A78">
              <w:rPr>
                <w:rFonts w:ascii="Arial" w:hAnsi="Arial" w:cs="Arial"/>
                <w:color w:val="000000"/>
              </w:rPr>
              <w:t>95</w:t>
            </w:r>
          </w:p>
        </w:tc>
        <w:tc>
          <w:tcPr>
            <w:tcW w:w="1287" w:type="dxa"/>
            <w:tcBorders>
              <w:top w:val="nil"/>
              <w:left w:val="nil"/>
              <w:bottom w:val="single" w:sz="4" w:space="0" w:color="auto"/>
              <w:right w:val="nil"/>
            </w:tcBorders>
            <w:vAlign w:val="center"/>
            <w:hideMark/>
          </w:tcPr>
          <w:p w14:paraId="5947C32B" w14:textId="77777777" w:rsidR="00750592" w:rsidRPr="00750592" w:rsidRDefault="00750592" w:rsidP="00750592">
            <w:pPr>
              <w:jc w:val="center"/>
              <w:rPr>
                <w:rFonts w:ascii="Arial" w:hAnsi="Arial" w:cs="Arial"/>
                <w:color w:val="000000"/>
              </w:rPr>
            </w:pPr>
            <w:r w:rsidRPr="00750592">
              <w:rPr>
                <w:rFonts w:ascii="Arial" w:hAnsi="Arial" w:cs="Arial"/>
                <w:color w:val="000000"/>
              </w:rPr>
              <w:t>0.042</w:t>
            </w:r>
          </w:p>
        </w:tc>
        <w:tc>
          <w:tcPr>
            <w:tcW w:w="1289" w:type="dxa"/>
            <w:tcBorders>
              <w:top w:val="nil"/>
              <w:left w:val="nil"/>
              <w:bottom w:val="single" w:sz="4" w:space="0" w:color="auto"/>
              <w:right w:val="nil"/>
            </w:tcBorders>
            <w:vAlign w:val="center"/>
            <w:hideMark/>
          </w:tcPr>
          <w:p w14:paraId="31171DAA" w14:textId="06D72F65" w:rsidR="00750592" w:rsidRPr="00750592" w:rsidRDefault="00750592" w:rsidP="00750592">
            <w:pPr>
              <w:jc w:val="center"/>
              <w:rPr>
                <w:rFonts w:ascii="Arial" w:hAnsi="Arial" w:cs="Arial"/>
                <w:color w:val="000000"/>
              </w:rPr>
            </w:pPr>
            <w:r w:rsidRPr="00750592">
              <w:rPr>
                <w:rFonts w:ascii="Arial" w:hAnsi="Arial" w:cs="Arial"/>
                <w:color w:val="000000"/>
              </w:rPr>
              <w:t>0.06</w:t>
            </w:r>
            <w:r w:rsidR="006A0BD8">
              <w:rPr>
                <w:rFonts w:ascii="Arial" w:hAnsi="Arial" w:cs="Arial"/>
                <w:color w:val="000000"/>
              </w:rPr>
              <w:t>3</w:t>
            </w:r>
          </w:p>
        </w:tc>
        <w:tc>
          <w:tcPr>
            <w:tcW w:w="1294" w:type="dxa"/>
            <w:tcBorders>
              <w:top w:val="nil"/>
              <w:left w:val="nil"/>
              <w:bottom w:val="single" w:sz="4" w:space="0" w:color="auto"/>
              <w:right w:val="nil"/>
            </w:tcBorders>
            <w:vAlign w:val="center"/>
            <w:hideMark/>
          </w:tcPr>
          <w:p w14:paraId="5ED9E2D0" w14:textId="34C1129B" w:rsidR="00750592" w:rsidRPr="00750592" w:rsidRDefault="006A0BD8" w:rsidP="00750592">
            <w:pPr>
              <w:jc w:val="center"/>
              <w:rPr>
                <w:rFonts w:ascii="Arial" w:hAnsi="Arial" w:cs="Arial"/>
                <w:color w:val="000000"/>
              </w:rPr>
            </w:pPr>
            <w:r>
              <w:rPr>
                <w:rFonts w:ascii="Arial" w:hAnsi="Arial" w:cs="Arial"/>
                <w:color w:val="000000"/>
              </w:rPr>
              <w:t>5.379</w:t>
            </w:r>
          </w:p>
        </w:tc>
      </w:tr>
      <w:tr w:rsidR="00750592" w:rsidRPr="00677583" w14:paraId="749F136A" w14:textId="77777777" w:rsidTr="00750592">
        <w:trPr>
          <w:trHeight w:val="600"/>
        </w:trPr>
        <w:tc>
          <w:tcPr>
            <w:tcW w:w="13700" w:type="dxa"/>
            <w:gridSpan w:val="9"/>
            <w:tcBorders>
              <w:top w:val="single" w:sz="4" w:space="0" w:color="auto"/>
              <w:left w:val="nil"/>
              <w:bottom w:val="nil"/>
              <w:right w:val="nil"/>
            </w:tcBorders>
            <w:vAlign w:val="center"/>
            <w:hideMark/>
          </w:tcPr>
          <w:p w14:paraId="7ABB0AED" w14:textId="665FAC94" w:rsidR="00750592" w:rsidRPr="00750592" w:rsidRDefault="00750592" w:rsidP="00750592">
            <w:pPr>
              <w:rPr>
                <w:rFonts w:ascii="Arial" w:hAnsi="Arial" w:cs="Arial"/>
                <w:color w:val="000000"/>
                <w:lang w:val="en-US"/>
              </w:rPr>
            </w:pPr>
            <w:r w:rsidRPr="00750592">
              <w:rPr>
                <w:rFonts w:ascii="Arial" w:hAnsi="Arial" w:cs="Arial"/>
                <w:b/>
                <w:bCs/>
                <w:color w:val="000000"/>
                <w:sz w:val="22"/>
                <w:szCs w:val="22"/>
                <w:lang w:val="en-US"/>
              </w:rPr>
              <w:t>DIC</w:t>
            </w:r>
            <w:r w:rsidRPr="00750592">
              <w:rPr>
                <w:rFonts w:ascii="Arial" w:hAnsi="Arial" w:cs="Arial"/>
                <w:color w:val="000000"/>
                <w:sz w:val="22"/>
                <w:szCs w:val="22"/>
                <w:lang w:val="en-US"/>
              </w:rPr>
              <w:t xml:space="preserve">: Deviance Information Criterion, </w:t>
            </w:r>
            <w:r w:rsidRPr="00750592">
              <w:rPr>
                <w:rFonts w:ascii="Arial" w:hAnsi="Arial" w:cs="Arial"/>
                <w:b/>
                <w:bCs/>
                <w:color w:val="000000"/>
                <w:sz w:val="22"/>
                <w:szCs w:val="22"/>
                <w:lang w:val="en-US"/>
              </w:rPr>
              <w:t>WAIC</w:t>
            </w:r>
            <w:r w:rsidRPr="00750592">
              <w:rPr>
                <w:rFonts w:ascii="Arial" w:hAnsi="Arial" w:cs="Arial"/>
                <w:color w:val="000000"/>
                <w:sz w:val="22"/>
                <w:szCs w:val="22"/>
                <w:lang w:val="en-US"/>
              </w:rPr>
              <w:t xml:space="preserve">: Watanabe-Akaike Information Criterion, </w:t>
            </w:r>
            <w:r w:rsidRPr="00750592">
              <w:rPr>
                <w:rFonts w:ascii="Arial" w:hAnsi="Arial" w:cs="Arial"/>
                <w:b/>
                <w:bCs/>
                <w:color w:val="000000"/>
                <w:sz w:val="22"/>
                <w:szCs w:val="22"/>
                <w:lang w:val="en-US"/>
              </w:rPr>
              <w:t>-LogML</w:t>
            </w:r>
            <w:r w:rsidRPr="00750592">
              <w:rPr>
                <w:rFonts w:ascii="Arial" w:hAnsi="Arial" w:cs="Arial"/>
                <w:color w:val="000000"/>
                <w:sz w:val="22"/>
                <w:szCs w:val="22"/>
                <w:lang w:val="en-US"/>
              </w:rPr>
              <w:t xml:space="preserve">: negative Log Marginal Likelihood, </w:t>
            </w:r>
            <w:r w:rsidRPr="00750592">
              <w:rPr>
                <w:rFonts w:ascii="Arial" w:hAnsi="Arial" w:cs="Arial"/>
                <w:b/>
                <w:bCs/>
                <w:color w:val="000000"/>
                <w:sz w:val="22"/>
                <w:szCs w:val="22"/>
                <w:lang w:val="en-US"/>
              </w:rPr>
              <w:t>MAE</w:t>
            </w:r>
            <w:r w:rsidRPr="00750592">
              <w:rPr>
                <w:rFonts w:ascii="Arial" w:hAnsi="Arial" w:cs="Arial"/>
                <w:color w:val="000000"/>
                <w:sz w:val="22"/>
                <w:szCs w:val="22"/>
                <w:lang w:val="en-US"/>
              </w:rPr>
              <w:t xml:space="preserve">: Mean Absolute Error, </w:t>
            </w:r>
            <w:r w:rsidRPr="00750592">
              <w:rPr>
                <w:rFonts w:ascii="Arial" w:hAnsi="Arial" w:cs="Arial"/>
                <w:b/>
                <w:bCs/>
                <w:color w:val="000000"/>
                <w:sz w:val="22"/>
                <w:szCs w:val="22"/>
                <w:lang w:val="en-US"/>
              </w:rPr>
              <w:t>RMSE</w:t>
            </w:r>
            <w:r w:rsidRPr="00750592">
              <w:rPr>
                <w:rFonts w:ascii="Arial" w:hAnsi="Arial" w:cs="Arial"/>
                <w:color w:val="000000"/>
                <w:sz w:val="22"/>
                <w:szCs w:val="22"/>
                <w:lang w:val="en-US"/>
              </w:rPr>
              <w:t xml:space="preserve">: Root Mean Squared Error, </w:t>
            </w:r>
            <w:r w:rsidR="004319B6">
              <w:rPr>
                <w:rFonts w:ascii="Arial" w:hAnsi="Arial" w:cs="Arial"/>
                <w:b/>
                <w:bCs/>
                <w:color w:val="000000"/>
                <w:sz w:val="22"/>
                <w:szCs w:val="22"/>
                <w:lang w:val="en-US"/>
              </w:rPr>
              <w:t>SMAPE</w:t>
            </w:r>
            <w:r w:rsidRPr="00750592">
              <w:rPr>
                <w:rFonts w:ascii="Arial" w:hAnsi="Arial" w:cs="Arial"/>
                <w:color w:val="000000"/>
                <w:sz w:val="22"/>
                <w:szCs w:val="22"/>
                <w:lang w:val="en-US"/>
              </w:rPr>
              <w:t>: Symmetric Mean Absolute Percentage Error.</w:t>
            </w:r>
          </w:p>
        </w:tc>
      </w:tr>
    </w:tbl>
    <w:p w14:paraId="15B8CA50" w14:textId="77777777" w:rsidR="00A403BE" w:rsidRDefault="00A403BE">
      <w:pPr>
        <w:spacing w:after="160" w:line="278" w:lineRule="auto"/>
        <w:rPr>
          <w:lang w:val="en-US" w:eastAsia="en-US"/>
        </w:rPr>
      </w:pPr>
      <w:r>
        <w:rPr>
          <w:lang w:val="en-US" w:eastAsia="en-US"/>
        </w:rPr>
        <w:br w:type="page"/>
      </w:r>
    </w:p>
    <w:p w14:paraId="6D361BD4" w14:textId="133E2D49" w:rsidR="00A403BE" w:rsidRPr="00A403BE" w:rsidRDefault="00A403BE" w:rsidP="00A403BE">
      <w:pPr>
        <w:rPr>
          <w:lang w:val="en-US" w:eastAsia="en-US"/>
        </w:rPr>
      </w:pPr>
    </w:p>
    <w:p w14:paraId="0F6C4171" w14:textId="38842704" w:rsidR="00C519D2" w:rsidRPr="008F23E4" w:rsidRDefault="00EF3F03" w:rsidP="00EF3F03">
      <w:pPr>
        <w:spacing w:after="160" w:line="278" w:lineRule="auto"/>
        <w:jc w:val="both"/>
        <w:rPr>
          <w:rFonts w:ascii="Arial" w:hAnsi="Arial" w:cs="Arial"/>
          <w:b/>
          <w:bCs/>
          <w:sz w:val="20"/>
          <w:szCs w:val="20"/>
          <w:lang w:val="en-US"/>
        </w:rPr>
      </w:pPr>
      <w:r w:rsidRPr="008F23E4">
        <w:rPr>
          <w:rFonts w:ascii="Arial" w:hAnsi="Arial" w:cs="Arial"/>
          <w:b/>
          <w:bCs/>
          <w:noProof/>
          <w:sz w:val="20"/>
          <w:szCs w:val="20"/>
          <w:lang w:val="en-US" w:eastAsia="en-US"/>
        </w:rPr>
        <w:drawing>
          <wp:anchor distT="0" distB="0" distL="114300" distR="114300" simplePos="0" relativeHeight="251686912" behindDoc="0" locked="0" layoutInCell="1" allowOverlap="1" wp14:anchorId="203C1BBF" wp14:editId="023CC0CA">
            <wp:simplePos x="0" y="0"/>
            <wp:positionH relativeFrom="column">
              <wp:posOffset>570497</wp:posOffset>
            </wp:positionH>
            <wp:positionV relativeFrom="paragraph">
              <wp:posOffset>713105</wp:posOffset>
            </wp:positionV>
            <wp:extent cx="6870815" cy="5152724"/>
            <wp:effectExtent l="0" t="0" r="0" b="3810"/>
            <wp:wrapThrough wrapText="bothSides">
              <wp:wrapPolygon edited="0">
                <wp:start x="0" y="0"/>
                <wp:lineTo x="0" y="21563"/>
                <wp:lineTo x="21560" y="21563"/>
                <wp:lineTo x="21560" y="0"/>
                <wp:lineTo x="0" y="0"/>
              </wp:wrapPolygon>
            </wp:wrapThrough>
            <wp:docPr id="825912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912479"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70815" cy="5152724"/>
                    </a:xfrm>
                    <a:prstGeom prst="rect">
                      <a:avLst/>
                    </a:prstGeom>
                  </pic:spPr>
                </pic:pic>
              </a:graphicData>
            </a:graphic>
            <wp14:sizeRelH relativeFrom="page">
              <wp14:pctWidth>0</wp14:pctWidth>
            </wp14:sizeRelH>
            <wp14:sizeRelV relativeFrom="page">
              <wp14:pctHeight>0</wp14:pctHeight>
            </wp14:sizeRelV>
          </wp:anchor>
        </w:drawing>
      </w:r>
      <w:r w:rsidR="00880C67" w:rsidRPr="008F23E4">
        <w:rPr>
          <w:rFonts w:ascii="Arial" w:hAnsi="Arial" w:cs="Arial"/>
          <w:b/>
          <w:bCs/>
          <w:sz w:val="20"/>
          <w:szCs w:val="20"/>
          <w:lang w:val="en-US"/>
        </w:rPr>
        <w:t xml:space="preserve">Supplementary </w:t>
      </w:r>
      <w:r w:rsidR="009520E5" w:rsidRPr="008F23E4">
        <w:rPr>
          <w:rFonts w:ascii="Arial" w:hAnsi="Arial" w:cs="Arial"/>
          <w:b/>
          <w:bCs/>
          <w:sz w:val="20"/>
          <w:szCs w:val="20"/>
          <w:lang w:val="en-US"/>
        </w:rPr>
        <w:t>figure</w:t>
      </w:r>
      <w:r w:rsidR="00880C67" w:rsidRPr="008F23E4">
        <w:rPr>
          <w:rFonts w:ascii="Arial" w:hAnsi="Arial" w:cs="Arial"/>
          <w:b/>
          <w:bCs/>
          <w:sz w:val="20"/>
          <w:szCs w:val="20"/>
          <w:lang w:val="en-US"/>
        </w:rPr>
        <w:t xml:space="preserve"> </w:t>
      </w:r>
      <w:r w:rsidR="0055343B" w:rsidRPr="008F23E4">
        <w:rPr>
          <w:rFonts w:ascii="Arial" w:hAnsi="Arial" w:cs="Arial"/>
          <w:b/>
          <w:bCs/>
          <w:sz w:val="20"/>
          <w:szCs w:val="20"/>
          <w:lang w:val="en-US"/>
        </w:rPr>
        <w:t>3.</w:t>
      </w:r>
      <w:r w:rsidR="00750592" w:rsidRPr="008F23E4">
        <w:rPr>
          <w:rFonts w:ascii="Arial" w:hAnsi="Arial" w:cs="Arial"/>
          <w:b/>
          <w:bCs/>
          <w:sz w:val="20"/>
          <w:szCs w:val="20"/>
          <w:lang w:val="en-US"/>
        </w:rPr>
        <w:t xml:space="preserve">2. </w:t>
      </w:r>
      <w:r w:rsidR="008D70B1" w:rsidRPr="008F23E4">
        <w:rPr>
          <w:rFonts w:ascii="Arial" w:hAnsi="Arial" w:cs="Arial"/>
          <w:b/>
          <w:bCs/>
          <w:sz w:val="20"/>
          <w:szCs w:val="20"/>
          <w:lang w:val="en-US"/>
        </w:rPr>
        <w:t xml:space="preserve">Predicted values and direct estimates of primary education </w:t>
      </w:r>
      <w:r w:rsidR="008D70B1" w:rsidRPr="008F23E4">
        <w:rPr>
          <w:rStyle w:val="Strong"/>
          <w:rFonts w:ascii="Arial" w:hAnsi="Arial" w:cs="Arial"/>
          <w:sz w:val="20"/>
          <w:szCs w:val="20"/>
          <w:lang w:val="en-US"/>
        </w:rPr>
        <w:t>for</w:t>
      </w:r>
      <w:r w:rsidR="008D70B1" w:rsidRPr="008F23E4">
        <w:rPr>
          <w:rFonts w:ascii="Arial" w:hAnsi="Arial" w:cs="Arial"/>
          <w:b/>
          <w:bCs/>
          <w:sz w:val="20"/>
          <w:szCs w:val="20"/>
          <w:lang w:val="en-US"/>
        </w:rPr>
        <w:t xml:space="preserve"> 2010-2020</w:t>
      </w:r>
      <w:r w:rsidR="009520E5" w:rsidRPr="008F23E4">
        <w:rPr>
          <w:rFonts w:ascii="Arial" w:hAnsi="Arial" w:cs="Arial"/>
          <w:b/>
          <w:bCs/>
          <w:sz w:val="20"/>
          <w:szCs w:val="20"/>
          <w:lang w:val="en-US"/>
        </w:rPr>
        <w:t>.</w:t>
      </w:r>
      <w:r w:rsidRPr="008F23E4">
        <w:rPr>
          <w:rFonts w:ascii="Arial" w:hAnsi="Arial" w:cs="Arial"/>
          <w:b/>
          <w:bCs/>
          <w:sz w:val="20"/>
          <w:szCs w:val="20"/>
          <w:lang w:val="en-US"/>
        </w:rPr>
        <w:t xml:space="preserve"> </w:t>
      </w:r>
      <w:r w:rsidRPr="008F23E4">
        <w:rPr>
          <w:rFonts w:ascii="Arial" w:hAnsi="Arial" w:cs="Arial"/>
          <w:sz w:val="20"/>
          <w:szCs w:val="20"/>
          <w:lang w:val="en-US"/>
        </w:rPr>
        <w:t>Point estimates and their confidence intervals for all years 2010–2020 for the elementary education indicator constructed using the selected model (Me-</w:t>
      </w:r>
      <w:r w:rsidR="000C4A78" w:rsidRPr="008F23E4">
        <w:rPr>
          <w:rFonts w:ascii="Arial" w:hAnsi="Arial" w:cs="Arial"/>
          <w:sz w:val="20"/>
          <w:szCs w:val="20"/>
          <w:lang w:val="en-US"/>
        </w:rPr>
        <w:t>3</w:t>
      </w:r>
      <w:r w:rsidRPr="008F23E4">
        <w:rPr>
          <w:rFonts w:ascii="Arial" w:hAnsi="Arial" w:cs="Arial"/>
          <w:sz w:val="20"/>
          <w:szCs w:val="20"/>
          <w:lang w:val="en-US"/>
        </w:rPr>
        <w:t>). In red, the direct estimates obtained from the DHS are shown.</w:t>
      </w:r>
      <w:r w:rsidR="00C519D2" w:rsidRPr="008F23E4">
        <w:rPr>
          <w:rFonts w:ascii="Arial" w:hAnsi="Arial" w:cs="Arial"/>
          <w:b/>
          <w:bCs/>
          <w:sz w:val="20"/>
          <w:szCs w:val="20"/>
          <w:lang w:val="en-US" w:eastAsia="en-US"/>
        </w:rPr>
        <w:br w:type="page"/>
      </w:r>
    </w:p>
    <w:p w14:paraId="39CA1458" w14:textId="59DE8196" w:rsidR="00EF3F03" w:rsidRPr="008F23E4" w:rsidRDefault="00EF3F03" w:rsidP="00EF3F03">
      <w:pPr>
        <w:spacing w:after="160" w:line="278" w:lineRule="auto"/>
        <w:jc w:val="both"/>
        <w:rPr>
          <w:rFonts w:ascii="Arial" w:hAnsi="Arial" w:cs="Arial"/>
          <w:b/>
          <w:bCs/>
          <w:sz w:val="20"/>
          <w:szCs w:val="20"/>
          <w:lang w:val="en-US"/>
        </w:rPr>
      </w:pPr>
      <w:r w:rsidRPr="008F23E4">
        <w:rPr>
          <w:rFonts w:ascii="Arial" w:hAnsi="Arial" w:cs="Arial"/>
          <w:b/>
          <w:bCs/>
          <w:noProof/>
          <w:sz w:val="20"/>
          <w:szCs w:val="20"/>
          <w:lang w:val="en-US" w:eastAsia="en-US"/>
          <w14:ligatures w14:val="standardContextual"/>
        </w:rPr>
        <w:lastRenderedPageBreak/>
        <w:drawing>
          <wp:anchor distT="0" distB="0" distL="114300" distR="114300" simplePos="0" relativeHeight="251687936" behindDoc="0" locked="0" layoutInCell="1" allowOverlap="1" wp14:anchorId="46A49ED2" wp14:editId="550A2BBC">
            <wp:simplePos x="0" y="0"/>
            <wp:positionH relativeFrom="column">
              <wp:posOffset>832485</wp:posOffset>
            </wp:positionH>
            <wp:positionV relativeFrom="paragraph">
              <wp:posOffset>831215</wp:posOffset>
            </wp:positionV>
            <wp:extent cx="6849745" cy="5137150"/>
            <wp:effectExtent l="0" t="0" r="0" b="6350"/>
            <wp:wrapThrough wrapText="bothSides">
              <wp:wrapPolygon edited="0">
                <wp:start x="0" y="0"/>
                <wp:lineTo x="0" y="21573"/>
                <wp:lineTo x="21546" y="21573"/>
                <wp:lineTo x="21546" y="0"/>
                <wp:lineTo x="0" y="0"/>
              </wp:wrapPolygon>
            </wp:wrapThrough>
            <wp:docPr id="1814418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418611" name="Picture 181441861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49745" cy="5137150"/>
                    </a:xfrm>
                    <a:prstGeom prst="rect">
                      <a:avLst/>
                    </a:prstGeom>
                  </pic:spPr>
                </pic:pic>
              </a:graphicData>
            </a:graphic>
            <wp14:sizeRelH relativeFrom="page">
              <wp14:pctWidth>0</wp14:pctWidth>
            </wp14:sizeRelH>
            <wp14:sizeRelV relativeFrom="page">
              <wp14:pctHeight>0</wp14:pctHeight>
            </wp14:sizeRelV>
          </wp:anchor>
        </w:drawing>
      </w:r>
      <w:r w:rsidRPr="008F23E4">
        <w:rPr>
          <w:rFonts w:ascii="Arial" w:hAnsi="Arial" w:cs="Arial"/>
          <w:b/>
          <w:bCs/>
          <w:sz w:val="20"/>
          <w:szCs w:val="20"/>
          <w:lang w:val="en-US"/>
        </w:rPr>
        <w:t xml:space="preserve">Supplementary figure 3.3. Predicted values and direct estimates of </w:t>
      </w:r>
      <w:r w:rsidR="000C4A78" w:rsidRPr="008F23E4">
        <w:rPr>
          <w:rFonts w:ascii="Arial" w:hAnsi="Arial" w:cs="Arial"/>
          <w:b/>
          <w:bCs/>
          <w:sz w:val="20"/>
          <w:szCs w:val="20"/>
          <w:lang w:val="en-US"/>
        </w:rPr>
        <w:t xml:space="preserve">poverty status </w:t>
      </w:r>
      <w:r w:rsidRPr="008F23E4">
        <w:rPr>
          <w:rStyle w:val="Strong"/>
          <w:rFonts w:ascii="Arial" w:hAnsi="Arial" w:cs="Arial"/>
          <w:sz w:val="20"/>
          <w:szCs w:val="20"/>
          <w:lang w:val="en-US"/>
        </w:rPr>
        <w:t>for</w:t>
      </w:r>
      <w:r w:rsidRPr="008F23E4">
        <w:rPr>
          <w:rFonts w:ascii="Arial" w:hAnsi="Arial" w:cs="Arial"/>
          <w:b/>
          <w:bCs/>
          <w:sz w:val="20"/>
          <w:szCs w:val="20"/>
          <w:lang w:val="en-US"/>
        </w:rPr>
        <w:t xml:space="preserve"> 2010-2020. </w:t>
      </w:r>
      <w:r w:rsidRPr="008F23E4">
        <w:rPr>
          <w:rFonts w:ascii="Arial" w:hAnsi="Arial" w:cs="Arial"/>
          <w:sz w:val="20"/>
          <w:szCs w:val="20"/>
          <w:lang w:val="en-US"/>
        </w:rPr>
        <w:t>Point estimates and their confidence intervals for all years 2010–2020 for poverty status indicator constructed using the selected model (M</w:t>
      </w:r>
      <w:r w:rsidR="000C4A78" w:rsidRPr="008F23E4">
        <w:rPr>
          <w:rFonts w:ascii="Arial" w:hAnsi="Arial" w:cs="Arial"/>
          <w:sz w:val="20"/>
          <w:szCs w:val="20"/>
          <w:lang w:val="en-US"/>
        </w:rPr>
        <w:t>p</w:t>
      </w:r>
      <w:r w:rsidRPr="008F23E4">
        <w:rPr>
          <w:rFonts w:ascii="Arial" w:hAnsi="Arial" w:cs="Arial"/>
          <w:sz w:val="20"/>
          <w:szCs w:val="20"/>
          <w:lang w:val="en-US"/>
        </w:rPr>
        <w:t>-</w:t>
      </w:r>
      <w:r w:rsidR="000C4A78" w:rsidRPr="008F23E4">
        <w:rPr>
          <w:rFonts w:ascii="Arial" w:hAnsi="Arial" w:cs="Arial"/>
          <w:sz w:val="20"/>
          <w:szCs w:val="20"/>
          <w:lang w:val="en-US"/>
        </w:rPr>
        <w:t>3</w:t>
      </w:r>
      <w:r w:rsidRPr="008F23E4">
        <w:rPr>
          <w:rFonts w:ascii="Arial" w:hAnsi="Arial" w:cs="Arial"/>
          <w:sz w:val="20"/>
          <w:szCs w:val="20"/>
          <w:lang w:val="en-US"/>
        </w:rPr>
        <w:t>). In red, the direct estimates obtained from the DHS are shown.</w:t>
      </w:r>
      <w:r w:rsidRPr="008F23E4">
        <w:rPr>
          <w:rFonts w:ascii="Arial" w:hAnsi="Arial" w:cs="Arial"/>
          <w:b/>
          <w:bCs/>
          <w:sz w:val="20"/>
          <w:szCs w:val="20"/>
          <w:lang w:val="en-US"/>
        </w:rPr>
        <w:br w:type="page"/>
      </w:r>
    </w:p>
    <w:p w14:paraId="635CDF29" w14:textId="0BF2C96E" w:rsidR="00F219A7" w:rsidRPr="008F23E4" w:rsidRDefault="009520E5" w:rsidP="00EC7278">
      <w:pPr>
        <w:spacing w:after="160" w:line="278" w:lineRule="auto"/>
        <w:jc w:val="both"/>
        <w:rPr>
          <w:rFonts w:ascii="Arial" w:hAnsi="Arial" w:cs="Arial"/>
          <w:b/>
          <w:bCs/>
          <w:sz w:val="20"/>
          <w:szCs w:val="20"/>
          <w:lang w:val="en-US" w:eastAsia="en-US"/>
        </w:rPr>
        <w:sectPr w:rsidR="00F219A7" w:rsidRPr="008F23E4" w:rsidSect="00217285">
          <w:pgSz w:w="15840" w:h="12240" w:orient="landscape"/>
          <w:pgMar w:top="1015" w:right="1417" w:bottom="1701" w:left="1417" w:header="708" w:footer="708" w:gutter="0"/>
          <w:cols w:space="708"/>
          <w:docGrid w:linePitch="360"/>
        </w:sectPr>
      </w:pPr>
      <w:r w:rsidRPr="008F23E4">
        <w:rPr>
          <w:rFonts w:ascii="Arial" w:hAnsi="Arial" w:cs="Arial"/>
          <w:b/>
          <w:bCs/>
          <w:noProof/>
          <w:sz w:val="20"/>
          <w:szCs w:val="20"/>
        </w:rPr>
        <w:lastRenderedPageBreak/>
        <w:drawing>
          <wp:anchor distT="0" distB="0" distL="114300" distR="114300" simplePos="0" relativeHeight="251675648" behindDoc="0" locked="0" layoutInCell="1" allowOverlap="1" wp14:anchorId="7253FCF8" wp14:editId="1CDC27A9">
            <wp:simplePos x="0" y="0"/>
            <wp:positionH relativeFrom="column">
              <wp:posOffset>1073785</wp:posOffset>
            </wp:positionH>
            <wp:positionV relativeFrom="paragraph">
              <wp:posOffset>683079</wp:posOffset>
            </wp:positionV>
            <wp:extent cx="5674995" cy="5361940"/>
            <wp:effectExtent l="0" t="0" r="1905" b="0"/>
            <wp:wrapTopAndBottom/>
            <wp:docPr id="13617250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725014" name=""/>
                    <pic:cNvPicPr/>
                  </pic:nvPicPr>
                  <pic:blipFill rotWithShape="1">
                    <a:blip r:embed="rId13" cstate="print">
                      <a:extLst>
                        <a:ext uri="{28A0092B-C50C-407E-A947-70E740481C1C}">
                          <a14:useLocalDpi xmlns:a14="http://schemas.microsoft.com/office/drawing/2010/main" val="0"/>
                        </a:ext>
                      </a:extLst>
                    </a:blip>
                    <a:srcRect l="11652" r="14257"/>
                    <a:stretch>
                      <a:fillRect/>
                    </a:stretch>
                  </pic:blipFill>
                  <pic:spPr bwMode="auto">
                    <a:xfrm>
                      <a:off x="0" y="0"/>
                      <a:ext cx="5674995" cy="53619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80C67" w:rsidRPr="008F23E4">
        <w:rPr>
          <w:rFonts w:ascii="Arial" w:hAnsi="Arial" w:cs="Arial"/>
          <w:b/>
          <w:bCs/>
          <w:sz w:val="20"/>
          <w:szCs w:val="20"/>
          <w:lang w:val="en-US"/>
        </w:rPr>
        <w:t xml:space="preserve">Supplementary </w:t>
      </w:r>
      <w:r w:rsidRPr="008F23E4">
        <w:rPr>
          <w:rFonts w:ascii="Arial" w:hAnsi="Arial" w:cs="Arial"/>
          <w:b/>
          <w:bCs/>
          <w:sz w:val="20"/>
          <w:szCs w:val="20"/>
          <w:lang w:val="en-US"/>
        </w:rPr>
        <w:t>figure</w:t>
      </w:r>
      <w:r w:rsidR="00880C67" w:rsidRPr="008F23E4">
        <w:rPr>
          <w:rFonts w:ascii="Arial" w:hAnsi="Arial" w:cs="Arial"/>
          <w:b/>
          <w:bCs/>
          <w:sz w:val="20"/>
          <w:szCs w:val="20"/>
          <w:lang w:val="en-US"/>
        </w:rPr>
        <w:t xml:space="preserve"> </w:t>
      </w:r>
      <w:r w:rsidR="003F58CC" w:rsidRPr="008F23E4">
        <w:rPr>
          <w:rFonts w:ascii="Arial" w:hAnsi="Arial" w:cs="Arial"/>
          <w:b/>
          <w:bCs/>
          <w:sz w:val="20"/>
          <w:szCs w:val="20"/>
          <w:lang w:val="en-US" w:eastAsia="en-US"/>
        </w:rPr>
        <w:t>3.</w:t>
      </w:r>
      <w:r w:rsidR="007130AE" w:rsidRPr="008F23E4">
        <w:rPr>
          <w:rFonts w:ascii="Arial" w:hAnsi="Arial" w:cs="Arial"/>
          <w:b/>
          <w:bCs/>
          <w:sz w:val="20"/>
          <w:szCs w:val="20"/>
          <w:lang w:val="en-US" w:eastAsia="en-US"/>
        </w:rPr>
        <w:t>4</w:t>
      </w:r>
      <w:r w:rsidR="003F58CC" w:rsidRPr="008F23E4">
        <w:rPr>
          <w:rFonts w:ascii="Arial" w:hAnsi="Arial" w:cs="Arial"/>
          <w:b/>
          <w:bCs/>
          <w:sz w:val="20"/>
          <w:szCs w:val="20"/>
          <w:lang w:val="en-US" w:eastAsia="en-US"/>
        </w:rPr>
        <w:t>. Malaria incidence in Loreto region 2010-2020 at district</w:t>
      </w:r>
      <w:r w:rsidR="00EC7278" w:rsidRPr="008F23E4">
        <w:rPr>
          <w:rFonts w:ascii="Arial" w:hAnsi="Arial" w:cs="Arial"/>
          <w:b/>
          <w:bCs/>
          <w:sz w:val="20"/>
          <w:szCs w:val="20"/>
          <w:lang w:val="en-US" w:eastAsia="en-US"/>
        </w:rPr>
        <w:t xml:space="preserve">. </w:t>
      </w:r>
      <w:r w:rsidR="00EC7278" w:rsidRPr="008F23E4">
        <w:rPr>
          <w:rFonts w:ascii="Arial" w:hAnsi="Arial" w:cs="Arial"/>
          <w:sz w:val="20"/>
          <w:szCs w:val="20"/>
          <w:lang w:val="en-US"/>
        </w:rPr>
        <w:t>Incidence of malaria cases per 1,000 inhabitants (log10-transformed) for all years 2010–2020. A pronounced burden is observed in the northern region of the department, along the border with Ecuador.</w:t>
      </w:r>
    </w:p>
    <w:p w14:paraId="7CEA0ADF" w14:textId="04FE1513" w:rsidR="003F58CC" w:rsidRPr="008F23E4" w:rsidRDefault="00880C67" w:rsidP="003F58CC">
      <w:pPr>
        <w:spacing w:after="160" w:line="278" w:lineRule="auto"/>
        <w:rPr>
          <w:rFonts w:ascii="Arial" w:hAnsi="Arial" w:cs="Arial"/>
          <w:b/>
          <w:bCs/>
          <w:sz w:val="20"/>
          <w:szCs w:val="20"/>
          <w:lang w:val="en-US"/>
        </w:rPr>
      </w:pPr>
      <w:r w:rsidRPr="008F23E4">
        <w:rPr>
          <w:rFonts w:ascii="Arial" w:hAnsi="Arial" w:cs="Arial"/>
          <w:b/>
          <w:bCs/>
          <w:sz w:val="20"/>
          <w:szCs w:val="20"/>
          <w:lang w:val="en-US"/>
        </w:rPr>
        <w:lastRenderedPageBreak/>
        <w:t xml:space="preserve">Supplementary </w:t>
      </w:r>
      <w:r w:rsidR="009520E5" w:rsidRPr="008F23E4">
        <w:rPr>
          <w:rFonts w:ascii="Arial" w:hAnsi="Arial" w:cs="Arial"/>
          <w:b/>
          <w:bCs/>
          <w:sz w:val="20"/>
          <w:szCs w:val="20"/>
          <w:lang w:val="en-US"/>
        </w:rPr>
        <w:t>figure</w:t>
      </w:r>
      <w:r w:rsidRPr="008F23E4">
        <w:rPr>
          <w:rFonts w:ascii="Arial" w:hAnsi="Arial" w:cs="Arial"/>
          <w:b/>
          <w:bCs/>
          <w:sz w:val="20"/>
          <w:szCs w:val="20"/>
          <w:lang w:val="en-US"/>
        </w:rPr>
        <w:t xml:space="preserve"> </w:t>
      </w:r>
      <w:r w:rsidR="00217285" w:rsidRPr="008F23E4">
        <w:rPr>
          <w:rFonts w:ascii="Arial" w:hAnsi="Arial" w:cs="Arial"/>
          <w:b/>
          <w:bCs/>
          <w:sz w:val="20"/>
          <w:szCs w:val="20"/>
        </w:rPr>
        <w:fldChar w:fldCharType="begin"/>
      </w:r>
      <w:r w:rsidR="00217285" w:rsidRPr="008F23E4">
        <w:rPr>
          <w:rFonts w:ascii="Arial" w:hAnsi="Arial" w:cs="Arial"/>
          <w:b/>
          <w:bCs/>
          <w:sz w:val="20"/>
          <w:szCs w:val="20"/>
          <w:lang w:val="en-US"/>
        </w:rPr>
        <w:instrText xml:space="preserve"> INCLUDEPICTURE "http://127.0.0.1:11295/chunk_output/5A690C60e6958d97/B79F3DDD/clk9eoti7fcs3/000011.png" \* MERGEFORMATINET </w:instrText>
      </w:r>
      <w:r w:rsidR="00217285" w:rsidRPr="008F23E4">
        <w:rPr>
          <w:rFonts w:ascii="Arial" w:hAnsi="Arial" w:cs="Arial"/>
          <w:b/>
          <w:bCs/>
          <w:sz w:val="20"/>
          <w:szCs w:val="20"/>
        </w:rPr>
        <w:fldChar w:fldCharType="separate"/>
      </w:r>
      <w:r w:rsidR="00217285" w:rsidRPr="008F23E4">
        <w:rPr>
          <w:rFonts w:ascii="Arial" w:hAnsi="Arial" w:cs="Arial"/>
          <w:b/>
          <w:bCs/>
          <w:sz w:val="20"/>
          <w:szCs w:val="20"/>
        </w:rPr>
        <w:fldChar w:fldCharType="end"/>
      </w:r>
      <w:r w:rsidR="003F58CC" w:rsidRPr="008F23E4">
        <w:rPr>
          <w:rFonts w:ascii="Arial" w:hAnsi="Arial" w:cs="Arial"/>
          <w:b/>
          <w:bCs/>
          <w:sz w:val="20"/>
          <w:szCs w:val="20"/>
          <w:lang w:val="en-US"/>
        </w:rPr>
        <w:t>3.</w:t>
      </w:r>
      <w:r w:rsidR="007130AE" w:rsidRPr="008F23E4">
        <w:rPr>
          <w:rFonts w:ascii="Arial" w:hAnsi="Arial" w:cs="Arial"/>
          <w:b/>
          <w:bCs/>
          <w:sz w:val="20"/>
          <w:szCs w:val="20"/>
          <w:lang w:val="en-US"/>
        </w:rPr>
        <w:t>5</w:t>
      </w:r>
      <w:r w:rsidR="003F58CC" w:rsidRPr="008F23E4">
        <w:rPr>
          <w:rFonts w:ascii="Arial" w:hAnsi="Arial" w:cs="Arial"/>
          <w:b/>
          <w:bCs/>
          <w:sz w:val="20"/>
          <w:szCs w:val="20"/>
          <w:lang w:val="en-US"/>
        </w:rPr>
        <w:t>.</w:t>
      </w:r>
      <w:r w:rsidR="003F58CC" w:rsidRPr="008F23E4">
        <w:rPr>
          <w:rFonts w:ascii="Arial" w:hAnsi="Arial" w:cs="Arial"/>
          <w:sz w:val="20"/>
          <w:szCs w:val="20"/>
          <w:lang w:val="en-US"/>
        </w:rPr>
        <w:t xml:space="preserve"> </w:t>
      </w:r>
      <w:r w:rsidR="008D70B1" w:rsidRPr="008F23E4">
        <w:rPr>
          <w:rFonts w:ascii="Arial" w:hAnsi="Arial" w:cs="Arial"/>
          <w:b/>
          <w:bCs/>
          <w:sz w:val="20"/>
          <w:szCs w:val="20"/>
          <w:lang w:val="en-US"/>
        </w:rPr>
        <w:t xml:space="preserve">Accuracy metrics in-sample by year for </w:t>
      </w:r>
      <w:r w:rsidR="003F58CC" w:rsidRPr="008F23E4">
        <w:rPr>
          <w:rFonts w:ascii="Arial" w:hAnsi="Arial" w:cs="Arial"/>
          <w:b/>
          <w:bCs/>
          <w:sz w:val="20"/>
          <w:szCs w:val="20"/>
          <w:lang w:val="en-US"/>
        </w:rPr>
        <w:t xml:space="preserve"> </w:t>
      </w:r>
      <w:r w:rsidR="008D70B1" w:rsidRPr="008F23E4">
        <w:rPr>
          <w:rFonts w:ascii="Arial" w:hAnsi="Arial" w:cs="Arial"/>
          <w:b/>
          <w:bCs/>
          <w:sz w:val="20"/>
          <w:szCs w:val="20"/>
          <w:lang w:val="en-US"/>
        </w:rPr>
        <w:t>elementary</w:t>
      </w:r>
      <w:r w:rsidR="003F58CC" w:rsidRPr="008F23E4">
        <w:rPr>
          <w:rFonts w:ascii="Arial" w:hAnsi="Arial" w:cs="Arial"/>
          <w:b/>
          <w:bCs/>
          <w:sz w:val="20"/>
          <w:szCs w:val="20"/>
          <w:lang w:val="en-US"/>
        </w:rPr>
        <w:t xml:space="preserve"> education 2010-2020</w:t>
      </w:r>
      <w:r w:rsidR="00EC7278" w:rsidRPr="008F23E4">
        <w:rPr>
          <w:rFonts w:ascii="Arial" w:hAnsi="Arial" w:cs="Arial"/>
          <w:b/>
          <w:bCs/>
          <w:sz w:val="20"/>
          <w:szCs w:val="20"/>
          <w:lang w:val="en-US"/>
        </w:rPr>
        <w:t xml:space="preserve">. </w:t>
      </w:r>
      <w:r w:rsidR="00EC7278" w:rsidRPr="008F23E4">
        <w:rPr>
          <w:rFonts w:ascii="Arial" w:hAnsi="Arial" w:cs="Arial"/>
          <w:sz w:val="20"/>
          <w:szCs w:val="20"/>
          <w:lang w:val="en-US"/>
        </w:rPr>
        <w:t xml:space="preserve">Accuracy metrics (MAE, </w:t>
      </w:r>
      <w:r w:rsidR="004319B6" w:rsidRPr="008F23E4">
        <w:rPr>
          <w:rFonts w:ascii="Arial" w:hAnsi="Arial" w:cs="Arial"/>
          <w:sz w:val="20"/>
          <w:szCs w:val="20"/>
          <w:lang w:val="en-US"/>
        </w:rPr>
        <w:t>SMAPE</w:t>
      </w:r>
      <w:r w:rsidR="00EC7278" w:rsidRPr="008F23E4">
        <w:rPr>
          <w:rFonts w:ascii="Arial" w:hAnsi="Arial" w:cs="Arial"/>
          <w:sz w:val="20"/>
          <w:szCs w:val="20"/>
          <w:lang w:val="en-US"/>
        </w:rPr>
        <w:t>, RMSE) are reported globally and by year for each evaluated model. From 2015 onwards, the accuracy metrics exhibit a different pattern compared to the 2010–2014 period.</w:t>
      </w:r>
    </w:p>
    <w:p w14:paraId="39B00B31" w14:textId="7C94FDCB" w:rsidR="002C224E" w:rsidRPr="000D1554" w:rsidRDefault="00EC7278" w:rsidP="003F58CC">
      <w:pPr>
        <w:spacing w:after="160" w:line="278" w:lineRule="auto"/>
        <w:rPr>
          <w:rFonts w:ascii="Arial" w:hAnsi="Arial" w:cs="Arial"/>
          <w:b/>
          <w:bCs/>
          <w:lang w:val="en-US"/>
        </w:rPr>
      </w:pPr>
      <w:r w:rsidRPr="008D70B1">
        <w:rPr>
          <w:rFonts w:ascii="Arial" w:hAnsi="Arial" w:cs="Arial"/>
          <w:b/>
          <w:bCs/>
          <w:noProof/>
          <w:lang w:val="en-US"/>
        </w:rPr>
        <w:drawing>
          <wp:anchor distT="0" distB="0" distL="114300" distR="114300" simplePos="0" relativeHeight="251688960" behindDoc="0" locked="0" layoutInCell="1" allowOverlap="1" wp14:anchorId="03272C50" wp14:editId="087B355B">
            <wp:simplePos x="0" y="0"/>
            <wp:positionH relativeFrom="column">
              <wp:posOffset>-82377</wp:posOffset>
            </wp:positionH>
            <wp:positionV relativeFrom="paragraph">
              <wp:posOffset>161925</wp:posOffset>
            </wp:positionV>
            <wp:extent cx="7758546" cy="5172364"/>
            <wp:effectExtent l="0" t="0" r="1270" b="0"/>
            <wp:wrapThrough wrapText="bothSides">
              <wp:wrapPolygon edited="0">
                <wp:start x="0" y="0"/>
                <wp:lineTo x="0" y="21534"/>
                <wp:lineTo x="21568" y="21534"/>
                <wp:lineTo x="21568" y="0"/>
                <wp:lineTo x="0" y="0"/>
              </wp:wrapPolygon>
            </wp:wrapThrough>
            <wp:docPr id="363654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654119"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758546" cy="5172364"/>
                    </a:xfrm>
                    <a:prstGeom prst="rect">
                      <a:avLst/>
                    </a:prstGeom>
                  </pic:spPr>
                </pic:pic>
              </a:graphicData>
            </a:graphic>
            <wp14:sizeRelH relativeFrom="page">
              <wp14:pctWidth>0</wp14:pctWidth>
            </wp14:sizeRelH>
            <wp14:sizeRelV relativeFrom="page">
              <wp14:pctHeight>0</wp14:pctHeight>
            </wp14:sizeRelV>
          </wp:anchor>
        </w:drawing>
      </w:r>
    </w:p>
    <w:p w14:paraId="31AA2C25" w14:textId="5BA1D428" w:rsidR="003F58CC" w:rsidRPr="000D1554" w:rsidRDefault="003F58CC" w:rsidP="00217285">
      <w:pPr>
        <w:spacing w:after="160" w:line="278" w:lineRule="auto"/>
        <w:rPr>
          <w:rFonts w:ascii="Arial" w:hAnsi="Arial" w:cs="Arial"/>
          <w:b/>
          <w:bCs/>
          <w:lang w:val="en-US"/>
        </w:rPr>
      </w:pPr>
    </w:p>
    <w:p w14:paraId="686C5D02" w14:textId="13534544" w:rsidR="003F58CC" w:rsidRPr="000D1554" w:rsidRDefault="003F58CC">
      <w:pPr>
        <w:spacing w:after="160" w:line="278" w:lineRule="auto"/>
        <w:rPr>
          <w:rFonts w:ascii="Arial" w:hAnsi="Arial" w:cs="Arial"/>
          <w:b/>
          <w:bCs/>
          <w:lang w:val="en-US"/>
        </w:rPr>
      </w:pPr>
      <w:r w:rsidRPr="000D1554">
        <w:rPr>
          <w:rFonts w:ascii="Arial" w:hAnsi="Arial" w:cs="Arial"/>
          <w:b/>
          <w:bCs/>
          <w:lang w:val="en-US"/>
        </w:rPr>
        <w:br w:type="page"/>
      </w:r>
    </w:p>
    <w:p w14:paraId="20390034" w14:textId="31172F7E" w:rsidR="00BF6CC3" w:rsidRPr="008F23E4" w:rsidRDefault="009520E5" w:rsidP="00EC7278">
      <w:pPr>
        <w:pStyle w:val="NormalWeb"/>
        <w:jc w:val="both"/>
        <w:rPr>
          <w:rFonts w:ascii="Arial" w:hAnsi="Arial" w:cs="Arial"/>
          <w:sz w:val="20"/>
          <w:szCs w:val="20"/>
          <w:lang w:val="en-US" w:eastAsia="en-US"/>
        </w:rPr>
        <w:sectPr w:rsidR="00BF6CC3" w:rsidRPr="008F23E4" w:rsidSect="008D70B1">
          <w:pgSz w:w="15840" w:h="12240" w:orient="landscape"/>
          <w:pgMar w:top="1015" w:right="1417" w:bottom="1701" w:left="1417" w:header="708" w:footer="708" w:gutter="0"/>
          <w:cols w:space="708"/>
          <w:docGrid w:linePitch="360"/>
        </w:sectPr>
      </w:pPr>
      <w:r w:rsidRPr="008F23E4">
        <w:rPr>
          <w:rFonts w:ascii="Arial" w:hAnsi="Arial" w:cs="Arial"/>
          <w:b/>
          <w:bCs/>
          <w:noProof/>
          <w:sz w:val="20"/>
          <w:szCs w:val="20"/>
          <w:lang w:val="en-US"/>
        </w:rPr>
        <w:lastRenderedPageBreak/>
        <w:drawing>
          <wp:anchor distT="0" distB="0" distL="114300" distR="114300" simplePos="0" relativeHeight="251689984" behindDoc="0" locked="0" layoutInCell="1" allowOverlap="1" wp14:anchorId="2549D680" wp14:editId="1C86D376">
            <wp:simplePos x="0" y="0"/>
            <wp:positionH relativeFrom="column">
              <wp:posOffset>478790</wp:posOffset>
            </wp:positionH>
            <wp:positionV relativeFrom="paragraph">
              <wp:posOffset>859155</wp:posOffset>
            </wp:positionV>
            <wp:extent cx="7474857" cy="4982653"/>
            <wp:effectExtent l="0" t="0" r="5715" b="0"/>
            <wp:wrapThrough wrapText="bothSides">
              <wp:wrapPolygon edited="0">
                <wp:start x="0" y="0"/>
                <wp:lineTo x="0" y="21528"/>
                <wp:lineTo x="21580" y="21528"/>
                <wp:lineTo x="21580" y="0"/>
                <wp:lineTo x="0" y="0"/>
              </wp:wrapPolygon>
            </wp:wrapThrough>
            <wp:docPr id="1452683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683248"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474857" cy="4982653"/>
                    </a:xfrm>
                    <a:prstGeom prst="rect">
                      <a:avLst/>
                    </a:prstGeom>
                  </pic:spPr>
                </pic:pic>
              </a:graphicData>
            </a:graphic>
            <wp14:sizeRelH relativeFrom="page">
              <wp14:pctWidth>0</wp14:pctWidth>
            </wp14:sizeRelH>
            <wp14:sizeRelV relativeFrom="page">
              <wp14:pctHeight>0</wp14:pctHeight>
            </wp14:sizeRelV>
          </wp:anchor>
        </w:drawing>
      </w:r>
      <w:r w:rsidR="00880C67" w:rsidRPr="008F23E4">
        <w:rPr>
          <w:rFonts w:ascii="Arial" w:hAnsi="Arial" w:cs="Arial"/>
          <w:b/>
          <w:bCs/>
          <w:sz w:val="20"/>
          <w:szCs w:val="20"/>
          <w:lang w:val="en-US"/>
        </w:rPr>
        <w:t xml:space="preserve">Supplementary </w:t>
      </w:r>
      <w:r w:rsidRPr="008F23E4">
        <w:rPr>
          <w:rFonts w:ascii="Arial" w:hAnsi="Arial" w:cs="Arial"/>
          <w:b/>
          <w:bCs/>
          <w:sz w:val="20"/>
          <w:szCs w:val="20"/>
          <w:lang w:val="en-US"/>
        </w:rPr>
        <w:t>figure</w:t>
      </w:r>
      <w:r w:rsidR="00880C67" w:rsidRPr="008F23E4">
        <w:rPr>
          <w:rFonts w:ascii="Arial" w:hAnsi="Arial" w:cs="Arial"/>
          <w:b/>
          <w:bCs/>
          <w:sz w:val="20"/>
          <w:szCs w:val="20"/>
          <w:lang w:val="en-US"/>
        </w:rPr>
        <w:t xml:space="preserve"> </w:t>
      </w:r>
      <w:r w:rsidR="003F58CC" w:rsidRPr="008F23E4">
        <w:rPr>
          <w:rFonts w:ascii="Arial" w:hAnsi="Arial" w:cs="Arial"/>
          <w:b/>
          <w:bCs/>
          <w:sz w:val="20"/>
          <w:szCs w:val="20"/>
          <w:lang w:val="en-US"/>
        </w:rPr>
        <w:t>3.</w:t>
      </w:r>
      <w:r w:rsidR="007130AE" w:rsidRPr="008F23E4">
        <w:rPr>
          <w:rFonts w:ascii="Arial" w:hAnsi="Arial" w:cs="Arial"/>
          <w:b/>
          <w:bCs/>
          <w:sz w:val="20"/>
          <w:szCs w:val="20"/>
          <w:lang w:val="en-US"/>
        </w:rPr>
        <w:t>6</w:t>
      </w:r>
      <w:r w:rsidR="003F58CC" w:rsidRPr="008F23E4">
        <w:rPr>
          <w:rFonts w:ascii="Arial" w:hAnsi="Arial" w:cs="Arial"/>
          <w:b/>
          <w:bCs/>
          <w:sz w:val="20"/>
          <w:szCs w:val="20"/>
          <w:lang w:val="en-US"/>
        </w:rPr>
        <w:t xml:space="preserve">. </w:t>
      </w:r>
      <w:r w:rsidR="008D70B1" w:rsidRPr="008F23E4">
        <w:rPr>
          <w:rFonts w:ascii="Arial" w:hAnsi="Arial" w:cs="Arial"/>
          <w:b/>
          <w:bCs/>
          <w:sz w:val="20"/>
          <w:szCs w:val="20"/>
          <w:lang w:val="en-US"/>
        </w:rPr>
        <w:t xml:space="preserve">Accuracy metrics in-sample by year for </w:t>
      </w:r>
      <w:r w:rsidR="003F58CC" w:rsidRPr="008F23E4">
        <w:rPr>
          <w:rFonts w:ascii="Arial" w:hAnsi="Arial" w:cs="Arial"/>
          <w:b/>
          <w:bCs/>
          <w:sz w:val="20"/>
          <w:szCs w:val="20"/>
          <w:lang w:val="en-US"/>
        </w:rPr>
        <w:t xml:space="preserve">poverty </w:t>
      </w:r>
      <w:r w:rsidR="003F58CC" w:rsidRPr="008F23E4">
        <w:rPr>
          <w:rStyle w:val="Strong"/>
          <w:rFonts w:ascii="Arial" w:hAnsi="Arial" w:cs="Arial"/>
          <w:sz w:val="20"/>
          <w:szCs w:val="20"/>
          <w:lang w:val="en-US"/>
        </w:rPr>
        <w:t>for</w:t>
      </w:r>
      <w:r w:rsidR="003F58CC" w:rsidRPr="008F23E4">
        <w:rPr>
          <w:rFonts w:ascii="Arial" w:hAnsi="Arial" w:cs="Arial"/>
          <w:b/>
          <w:bCs/>
          <w:sz w:val="20"/>
          <w:szCs w:val="20"/>
          <w:lang w:val="en-US"/>
        </w:rPr>
        <w:t xml:space="preserve"> 2010-2020</w:t>
      </w:r>
      <w:r w:rsidR="00EC7278" w:rsidRPr="008F23E4">
        <w:rPr>
          <w:rFonts w:ascii="Arial" w:hAnsi="Arial" w:cs="Arial"/>
          <w:noProof/>
          <w:sz w:val="20"/>
          <w:szCs w:val="20"/>
          <w:lang w:val="en-US"/>
          <w14:ligatures w14:val="standardContextual"/>
        </w:rPr>
        <w:t xml:space="preserve">. </w:t>
      </w:r>
      <w:r w:rsidR="00EC7278" w:rsidRPr="008F23E4">
        <w:rPr>
          <w:rFonts w:ascii="Arial" w:hAnsi="Arial" w:cs="Arial"/>
          <w:sz w:val="20"/>
          <w:szCs w:val="20"/>
          <w:lang w:val="en-US"/>
        </w:rPr>
        <w:t xml:space="preserve">Accuracy metrics (MAE, </w:t>
      </w:r>
      <w:r w:rsidR="004319B6" w:rsidRPr="008F23E4">
        <w:rPr>
          <w:rFonts w:ascii="Arial" w:hAnsi="Arial" w:cs="Arial"/>
          <w:sz w:val="20"/>
          <w:szCs w:val="20"/>
          <w:lang w:val="en-US"/>
        </w:rPr>
        <w:t>SMAPE</w:t>
      </w:r>
      <w:r w:rsidR="00EC7278" w:rsidRPr="008F23E4">
        <w:rPr>
          <w:rFonts w:ascii="Arial" w:hAnsi="Arial" w:cs="Arial"/>
          <w:sz w:val="20"/>
          <w:szCs w:val="20"/>
          <w:lang w:val="en-US"/>
        </w:rPr>
        <w:t>, RMSE) are reported globally and by year for each evaluated model. In contrast to education, the models show improved error metrics over the 2015–2020 period. However, M</w:t>
      </w:r>
      <w:r w:rsidR="008F23E4" w:rsidRPr="008F23E4">
        <w:rPr>
          <w:rFonts w:ascii="Arial" w:hAnsi="Arial" w:cs="Arial"/>
          <w:sz w:val="20"/>
          <w:szCs w:val="20"/>
          <w:lang w:val="en-US"/>
        </w:rPr>
        <w:t>p</w:t>
      </w:r>
      <w:r w:rsidR="00EC7278" w:rsidRPr="008F23E4">
        <w:rPr>
          <w:rFonts w:ascii="Arial" w:hAnsi="Arial" w:cs="Arial"/>
          <w:sz w:val="20"/>
          <w:szCs w:val="20"/>
          <w:lang w:val="en-US"/>
        </w:rPr>
        <w:t>-3 and M</w:t>
      </w:r>
      <w:r w:rsidR="008F23E4" w:rsidRPr="008F23E4">
        <w:rPr>
          <w:rFonts w:ascii="Arial" w:hAnsi="Arial" w:cs="Arial"/>
          <w:sz w:val="20"/>
          <w:szCs w:val="20"/>
          <w:lang w:val="en-US"/>
        </w:rPr>
        <w:t>e</w:t>
      </w:r>
      <w:r w:rsidR="00EC7278" w:rsidRPr="008F23E4">
        <w:rPr>
          <w:rFonts w:ascii="Arial" w:hAnsi="Arial" w:cs="Arial"/>
          <w:sz w:val="20"/>
          <w:szCs w:val="20"/>
          <w:lang w:val="en-US"/>
        </w:rPr>
        <w:t>-</w:t>
      </w:r>
      <w:r w:rsidR="008F23E4" w:rsidRPr="008F23E4">
        <w:rPr>
          <w:rFonts w:ascii="Arial" w:hAnsi="Arial" w:cs="Arial"/>
          <w:sz w:val="20"/>
          <w:szCs w:val="20"/>
          <w:lang w:val="en-US"/>
        </w:rPr>
        <w:t>3</w:t>
      </w:r>
      <w:r w:rsidR="00EC7278" w:rsidRPr="008F23E4">
        <w:rPr>
          <w:rFonts w:ascii="Arial" w:hAnsi="Arial" w:cs="Arial"/>
          <w:sz w:val="20"/>
          <w:szCs w:val="20"/>
          <w:lang w:val="en-US"/>
        </w:rPr>
        <w:t xml:space="preserve"> consistently perform better throughout the study period.</w:t>
      </w:r>
    </w:p>
    <w:p w14:paraId="694DFEFE" w14:textId="41A5E495" w:rsidR="003F58CC" w:rsidRPr="008F23E4" w:rsidRDefault="00677583">
      <w:pPr>
        <w:spacing w:after="160" w:line="278" w:lineRule="auto"/>
        <w:rPr>
          <w:rFonts w:ascii="Arial" w:hAnsi="Arial" w:cs="Arial"/>
          <w:b/>
          <w:bCs/>
          <w:sz w:val="20"/>
          <w:szCs w:val="20"/>
          <w:lang w:val="en-US"/>
        </w:rPr>
      </w:pPr>
      <w:r w:rsidRPr="008F23E4">
        <w:rPr>
          <w:rFonts w:ascii="Arial" w:hAnsi="Arial" w:cs="Arial"/>
          <w:b/>
          <w:bCs/>
          <w:noProof/>
          <w:sz w:val="18"/>
          <w:szCs w:val="18"/>
          <w:lang w:val="en-US"/>
          <w14:ligatures w14:val="standardContextual"/>
        </w:rPr>
        <w:lastRenderedPageBreak/>
        <w:drawing>
          <wp:anchor distT="0" distB="0" distL="114300" distR="114300" simplePos="0" relativeHeight="251696128" behindDoc="0" locked="0" layoutInCell="1" allowOverlap="1" wp14:anchorId="365E8BF2" wp14:editId="3896937B">
            <wp:simplePos x="0" y="0"/>
            <wp:positionH relativeFrom="column">
              <wp:posOffset>1396365</wp:posOffset>
            </wp:positionH>
            <wp:positionV relativeFrom="paragraph">
              <wp:posOffset>619125</wp:posOffset>
            </wp:positionV>
            <wp:extent cx="5425440" cy="5425440"/>
            <wp:effectExtent l="0" t="0" r="0" b="0"/>
            <wp:wrapTopAndBottom/>
            <wp:docPr id="18802440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244066" name="Picture 188024406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25440" cy="5425440"/>
                    </a:xfrm>
                    <a:prstGeom prst="rect">
                      <a:avLst/>
                    </a:prstGeom>
                  </pic:spPr>
                </pic:pic>
              </a:graphicData>
            </a:graphic>
            <wp14:sizeRelH relativeFrom="page">
              <wp14:pctWidth>0</wp14:pctWidth>
            </wp14:sizeRelH>
            <wp14:sizeRelV relativeFrom="page">
              <wp14:pctHeight>0</wp14:pctHeight>
            </wp14:sizeRelV>
          </wp:anchor>
        </w:drawing>
      </w:r>
      <w:r w:rsidR="00880C67" w:rsidRPr="008F23E4">
        <w:rPr>
          <w:rFonts w:ascii="Arial" w:hAnsi="Arial" w:cs="Arial"/>
          <w:b/>
          <w:bCs/>
          <w:sz w:val="20"/>
          <w:szCs w:val="20"/>
          <w:lang w:val="en-US"/>
        </w:rPr>
        <w:t xml:space="preserve">Supplementary </w:t>
      </w:r>
      <w:r w:rsidR="009520E5" w:rsidRPr="008F23E4">
        <w:rPr>
          <w:rFonts w:ascii="Arial" w:hAnsi="Arial" w:cs="Arial"/>
          <w:b/>
          <w:bCs/>
          <w:sz w:val="20"/>
          <w:szCs w:val="20"/>
          <w:lang w:val="en-US"/>
        </w:rPr>
        <w:t>figure</w:t>
      </w:r>
      <w:r w:rsidR="00880C67" w:rsidRPr="008F23E4">
        <w:rPr>
          <w:rFonts w:ascii="Arial" w:hAnsi="Arial" w:cs="Arial"/>
          <w:b/>
          <w:bCs/>
          <w:sz w:val="20"/>
          <w:szCs w:val="20"/>
          <w:lang w:val="en-US"/>
        </w:rPr>
        <w:t xml:space="preserve"> </w:t>
      </w:r>
      <w:r w:rsidR="003F58CC" w:rsidRPr="008F23E4">
        <w:rPr>
          <w:rFonts w:ascii="Arial" w:hAnsi="Arial" w:cs="Arial"/>
          <w:b/>
          <w:bCs/>
          <w:sz w:val="20"/>
          <w:szCs w:val="20"/>
          <w:lang w:val="en-US"/>
        </w:rPr>
        <w:t>3.</w:t>
      </w:r>
      <w:r w:rsidR="007130AE" w:rsidRPr="008F23E4">
        <w:rPr>
          <w:rFonts w:ascii="Arial" w:hAnsi="Arial" w:cs="Arial"/>
          <w:b/>
          <w:bCs/>
          <w:sz w:val="20"/>
          <w:szCs w:val="20"/>
          <w:lang w:val="en-US"/>
        </w:rPr>
        <w:t>7.</w:t>
      </w:r>
      <w:r w:rsidR="003F58CC" w:rsidRPr="008F23E4">
        <w:rPr>
          <w:rFonts w:ascii="Arial" w:hAnsi="Arial" w:cs="Arial"/>
          <w:b/>
          <w:bCs/>
          <w:sz w:val="20"/>
          <w:szCs w:val="20"/>
          <w:lang w:val="en-US"/>
        </w:rPr>
        <w:t xml:space="preserve"> Spatial patterns of education and malaria incidence </w:t>
      </w:r>
      <w:r w:rsidR="003F58CC" w:rsidRPr="008F23E4">
        <w:rPr>
          <w:rStyle w:val="Strong"/>
          <w:rFonts w:ascii="Arial" w:hAnsi="Arial" w:cs="Arial"/>
          <w:sz w:val="20"/>
          <w:szCs w:val="20"/>
          <w:lang w:val="en-US"/>
        </w:rPr>
        <w:t>for</w:t>
      </w:r>
      <w:r w:rsidR="003F58CC" w:rsidRPr="008F23E4">
        <w:rPr>
          <w:rFonts w:ascii="Arial" w:hAnsi="Arial" w:cs="Arial"/>
          <w:b/>
          <w:bCs/>
          <w:sz w:val="20"/>
          <w:szCs w:val="20"/>
          <w:lang w:val="en-US"/>
        </w:rPr>
        <w:t xml:space="preserve"> 2010-2020</w:t>
      </w:r>
      <w:r w:rsidR="00EC7278" w:rsidRPr="008F23E4">
        <w:rPr>
          <w:rFonts w:ascii="Arial" w:hAnsi="Arial" w:cs="Arial"/>
          <w:b/>
          <w:bCs/>
          <w:sz w:val="20"/>
          <w:szCs w:val="20"/>
          <w:lang w:val="en-US"/>
        </w:rPr>
        <w:t xml:space="preserve">. </w:t>
      </w:r>
      <w:r w:rsidR="00EC7278" w:rsidRPr="00677583">
        <w:rPr>
          <w:rFonts w:ascii="Arial" w:hAnsi="Arial" w:cs="Arial"/>
          <w:sz w:val="20"/>
          <w:szCs w:val="20"/>
          <w:lang w:val="en-US"/>
        </w:rPr>
        <w:t>Bivariate descriptive maps and bivariate LISA analysis for the elementary education indicator. The evolution of the cluster identified in the northern region is shown, shifting from Low–Low up to 2014 to High–Low from 2015–2020.</w:t>
      </w:r>
      <w:r w:rsidRPr="00677583">
        <w:rPr>
          <w:rFonts w:ascii="Arial" w:hAnsi="Arial" w:cs="Arial"/>
          <w:sz w:val="20"/>
          <w:szCs w:val="20"/>
          <w:lang w:val="en-US"/>
        </w:rPr>
        <w:t xml:space="preserve"> </w:t>
      </w:r>
      <w:r w:rsidRPr="00677583">
        <w:rPr>
          <w:rFonts w:ascii="Arial" w:hAnsi="Arial" w:cs="Arial"/>
          <w:sz w:val="20"/>
          <w:szCs w:val="20"/>
        </w:rPr>
        <w:t>Non-significant clusters are shown as transparent</w:t>
      </w:r>
      <w:r w:rsidRPr="00677583">
        <w:rPr>
          <w:rFonts w:ascii="Arial" w:hAnsi="Arial" w:cs="Arial"/>
          <w:sz w:val="20"/>
          <w:szCs w:val="20"/>
        </w:rPr>
        <w:t>.</w:t>
      </w:r>
    </w:p>
    <w:p w14:paraId="34F6ED9B" w14:textId="2099A6EF" w:rsidR="00217285" w:rsidRPr="008F23E4" w:rsidRDefault="009520E5" w:rsidP="008F23E4">
      <w:pPr>
        <w:spacing w:after="160" w:line="278" w:lineRule="auto"/>
        <w:jc w:val="both"/>
        <w:rPr>
          <w:rFonts w:ascii="Arial" w:hAnsi="Arial" w:cs="Arial"/>
          <w:b/>
          <w:bCs/>
          <w:sz w:val="20"/>
          <w:szCs w:val="20"/>
          <w:lang w:val="en-US"/>
        </w:rPr>
        <w:sectPr w:rsidR="00217285" w:rsidRPr="008F23E4" w:rsidSect="00F219A7">
          <w:pgSz w:w="15840" w:h="12240" w:orient="landscape"/>
          <w:pgMar w:top="1015" w:right="1417" w:bottom="1701" w:left="1417" w:header="708" w:footer="708" w:gutter="0"/>
          <w:cols w:space="708"/>
          <w:docGrid w:linePitch="360"/>
        </w:sectPr>
      </w:pPr>
      <w:r>
        <w:rPr>
          <w:rFonts w:ascii="Arial" w:hAnsi="Arial" w:cs="Arial"/>
          <w:b/>
          <w:bCs/>
          <w:lang w:val="en-US"/>
        </w:rPr>
        <w:br w:type="page"/>
      </w:r>
      <w:r w:rsidRPr="008F23E4">
        <w:rPr>
          <w:rFonts w:ascii="Arial" w:hAnsi="Arial" w:cs="Arial"/>
          <w:b/>
          <w:bCs/>
          <w:noProof/>
          <w:sz w:val="20"/>
          <w:szCs w:val="20"/>
          <w:lang w:val="en-US"/>
          <w14:ligatures w14:val="standardContextual"/>
        </w:rPr>
        <w:lastRenderedPageBreak/>
        <w:drawing>
          <wp:anchor distT="0" distB="0" distL="114300" distR="114300" simplePos="0" relativeHeight="251695104" behindDoc="0" locked="0" layoutInCell="1" allowOverlap="1" wp14:anchorId="715FB894" wp14:editId="4388CC9E">
            <wp:simplePos x="0" y="0"/>
            <wp:positionH relativeFrom="column">
              <wp:posOffset>1371600</wp:posOffset>
            </wp:positionH>
            <wp:positionV relativeFrom="paragraph">
              <wp:posOffset>772795</wp:posOffset>
            </wp:positionV>
            <wp:extent cx="5272087" cy="5272087"/>
            <wp:effectExtent l="0" t="0" r="0" b="0"/>
            <wp:wrapTopAndBottom/>
            <wp:docPr id="19572856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285664" name="Picture 195728566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2087" cy="5272087"/>
                    </a:xfrm>
                    <a:prstGeom prst="rect">
                      <a:avLst/>
                    </a:prstGeom>
                  </pic:spPr>
                </pic:pic>
              </a:graphicData>
            </a:graphic>
            <wp14:sizeRelH relativeFrom="page">
              <wp14:pctWidth>0</wp14:pctWidth>
            </wp14:sizeRelH>
            <wp14:sizeRelV relativeFrom="page">
              <wp14:pctHeight>0</wp14:pctHeight>
            </wp14:sizeRelV>
          </wp:anchor>
        </w:drawing>
      </w:r>
      <w:r w:rsidR="00880C67" w:rsidRPr="008F23E4">
        <w:rPr>
          <w:rFonts w:ascii="Arial" w:hAnsi="Arial" w:cs="Arial"/>
          <w:b/>
          <w:bCs/>
          <w:sz w:val="20"/>
          <w:szCs w:val="20"/>
          <w:lang w:val="en-US"/>
        </w:rPr>
        <w:t xml:space="preserve">Supplementary </w:t>
      </w:r>
      <w:r w:rsidRPr="008F23E4">
        <w:rPr>
          <w:rFonts w:ascii="Arial" w:hAnsi="Arial" w:cs="Arial"/>
          <w:b/>
          <w:bCs/>
          <w:sz w:val="20"/>
          <w:szCs w:val="20"/>
          <w:lang w:val="en-US"/>
        </w:rPr>
        <w:t>figure</w:t>
      </w:r>
      <w:r w:rsidR="00880C67" w:rsidRPr="008F23E4">
        <w:rPr>
          <w:rFonts w:ascii="Arial" w:hAnsi="Arial" w:cs="Arial"/>
          <w:b/>
          <w:bCs/>
          <w:sz w:val="20"/>
          <w:szCs w:val="20"/>
          <w:lang w:val="en-US"/>
        </w:rPr>
        <w:t xml:space="preserve"> </w:t>
      </w:r>
      <w:r w:rsidR="003F58CC" w:rsidRPr="008F23E4">
        <w:rPr>
          <w:rFonts w:ascii="Arial" w:hAnsi="Arial" w:cs="Arial"/>
          <w:b/>
          <w:bCs/>
          <w:sz w:val="20"/>
          <w:szCs w:val="20"/>
          <w:lang w:val="en-US"/>
        </w:rPr>
        <w:t>3.</w:t>
      </w:r>
      <w:r w:rsidR="007130AE" w:rsidRPr="008F23E4">
        <w:rPr>
          <w:rFonts w:ascii="Arial" w:hAnsi="Arial" w:cs="Arial"/>
          <w:b/>
          <w:bCs/>
          <w:sz w:val="20"/>
          <w:szCs w:val="20"/>
          <w:lang w:val="en-US"/>
        </w:rPr>
        <w:t>8</w:t>
      </w:r>
      <w:r w:rsidR="003F58CC" w:rsidRPr="008F23E4">
        <w:rPr>
          <w:rFonts w:ascii="Arial" w:hAnsi="Arial" w:cs="Arial"/>
          <w:b/>
          <w:bCs/>
          <w:sz w:val="20"/>
          <w:szCs w:val="20"/>
          <w:lang w:val="en-US"/>
        </w:rPr>
        <w:t xml:space="preserve">. Spatial patterns of poverty and malaria incidence </w:t>
      </w:r>
      <w:r w:rsidR="003F58CC" w:rsidRPr="008F23E4">
        <w:rPr>
          <w:rStyle w:val="Strong"/>
          <w:rFonts w:ascii="Arial" w:hAnsi="Arial" w:cs="Arial"/>
          <w:sz w:val="20"/>
          <w:szCs w:val="20"/>
          <w:lang w:val="en-US"/>
        </w:rPr>
        <w:t>for</w:t>
      </w:r>
      <w:r w:rsidR="003F58CC" w:rsidRPr="008F23E4">
        <w:rPr>
          <w:rFonts w:ascii="Arial" w:hAnsi="Arial" w:cs="Arial"/>
          <w:b/>
          <w:bCs/>
          <w:sz w:val="20"/>
          <w:szCs w:val="20"/>
          <w:lang w:val="en-US"/>
        </w:rPr>
        <w:t xml:space="preserve"> 2010-2020</w:t>
      </w:r>
      <w:r w:rsidR="00EC7278" w:rsidRPr="008F23E4">
        <w:rPr>
          <w:rFonts w:ascii="Arial" w:hAnsi="Arial" w:cs="Arial"/>
          <w:b/>
          <w:bCs/>
          <w:sz w:val="20"/>
          <w:szCs w:val="20"/>
          <w:lang w:val="en-US"/>
        </w:rPr>
        <w:t xml:space="preserve">. </w:t>
      </w:r>
      <w:r w:rsidR="00EC7278" w:rsidRPr="00677583">
        <w:rPr>
          <w:rFonts w:ascii="Arial" w:hAnsi="Arial" w:cs="Arial"/>
          <w:sz w:val="20"/>
          <w:szCs w:val="20"/>
          <w:lang w:val="en-US"/>
        </w:rPr>
        <w:t>Bivariate descriptive maps and bivariate LISA analysis for the poverty status indicator. A consistent cluster over time is observed in the central area of Loreto, where the capital city, Iquitos, is located. Similarly, a neighboring district (Alto Nanay) maintains its characteristic of high malaria cases with low levels of poverty, consistent with the economic activities associated with the area.</w:t>
      </w:r>
      <w:r w:rsidR="00677583" w:rsidRPr="00677583">
        <w:rPr>
          <w:rFonts w:ascii="Arial" w:hAnsi="Arial" w:cs="Arial"/>
          <w:sz w:val="20"/>
          <w:szCs w:val="20"/>
          <w:lang w:val="en-US"/>
        </w:rPr>
        <w:t xml:space="preserve"> </w:t>
      </w:r>
      <w:r w:rsidR="00677583" w:rsidRPr="00677583">
        <w:rPr>
          <w:rFonts w:ascii="Arial" w:hAnsi="Arial" w:cs="Arial"/>
          <w:sz w:val="20"/>
          <w:szCs w:val="20"/>
        </w:rPr>
        <w:t>Non-significant clusters are shown as transparent</w:t>
      </w:r>
      <w:r w:rsidR="00677583" w:rsidRPr="00677583">
        <w:rPr>
          <w:rFonts w:ascii="Arial" w:hAnsi="Arial" w:cs="Arial"/>
          <w:sz w:val="20"/>
          <w:szCs w:val="20"/>
        </w:rPr>
        <w:t>.</w:t>
      </w:r>
    </w:p>
    <w:p w14:paraId="000621EA" w14:textId="77777777" w:rsidR="00EA67F2" w:rsidRPr="00677583" w:rsidRDefault="00CB1867" w:rsidP="00217285">
      <w:pPr>
        <w:spacing w:after="160" w:line="278" w:lineRule="auto"/>
        <w:rPr>
          <w:rFonts w:ascii="Arial" w:eastAsiaTheme="majorEastAsia" w:hAnsi="Arial" w:cs="Arial"/>
          <w:b/>
          <w:bCs/>
          <w:color w:val="000000" w:themeColor="text1"/>
          <w:kern w:val="2"/>
          <w:lang w:val="en-US" w:eastAsia="en-US"/>
          <w14:ligatures w14:val="standardContextual"/>
        </w:rPr>
      </w:pPr>
      <w:r w:rsidRPr="00677583">
        <w:rPr>
          <w:rFonts w:ascii="Arial" w:hAnsi="Arial" w:cs="Arial"/>
          <w:b/>
          <w:bCs/>
          <w:lang w:val="en-US"/>
        </w:rPr>
        <w:lastRenderedPageBreak/>
        <w:t>Supplementary references</w:t>
      </w:r>
    </w:p>
    <w:p w14:paraId="0536F6B4" w14:textId="77777777" w:rsidR="008E53CD" w:rsidRPr="008E53CD" w:rsidRDefault="00FC3439" w:rsidP="008E53CD">
      <w:pPr>
        <w:pStyle w:val="Bibliography"/>
        <w:rPr>
          <w:rFonts w:ascii="Arial" w:hAnsi="Arial" w:cs="Arial"/>
        </w:rPr>
      </w:pPr>
      <w:r w:rsidRPr="00217285">
        <w:rPr>
          <w:rFonts w:ascii="Arial" w:hAnsi="Arial" w:cs="Arial"/>
          <w:lang w:val="en-US"/>
        </w:rPr>
        <w:fldChar w:fldCharType="begin"/>
      </w:r>
      <w:r w:rsidR="008E53CD">
        <w:rPr>
          <w:rFonts w:ascii="Arial" w:hAnsi="Arial" w:cs="Arial"/>
        </w:rPr>
        <w:instrText xml:space="preserve"> ADDIN ZOTERO_BIBL {"uncited":[],"omitted":[],"custom":[]} CSL_BIBLIOGRAPHY </w:instrText>
      </w:r>
      <w:r w:rsidRPr="00217285">
        <w:rPr>
          <w:rFonts w:ascii="Arial" w:hAnsi="Arial" w:cs="Arial"/>
          <w:lang w:val="en-US"/>
        </w:rPr>
        <w:fldChar w:fldCharType="separate"/>
      </w:r>
      <w:r w:rsidR="008E53CD" w:rsidRPr="008E53CD">
        <w:rPr>
          <w:rFonts w:ascii="Arial" w:hAnsi="Arial" w:cs="Arial"/>
        </w:rPr>
        <w:t>1.</w:t>
      </w:r>
      <w:r w:rsidR="008E53CD" w:rsidRPr="008E53CD">
        <w:rPr>
          <w:rFonts w:ascii="Arial" w:hAnsi="Arial" w:cs="Arial"/>
        </w:rPr>
        <w:tab/>
        <w:t>Censos Nacionales 2017 – XII de Población, VII de Vivienda y III de Comunidades Indígenas [Internet]. 2017 [cited 2025 Jun 19]. Available from: https://censo2017.inei.gob.pe/</w:t>
      </w:r>
    </w:p>
    <w:p w14:paraId="28A3185B" w14:textId="77777777" w:rsidR="008E53CD" w:rsidRPr="008E53CD" w:rsidRDefault="008E53CD" w:rsidP="008E53CD">
      <w:pPr>
        <w:pStyle w:val="Bibliography"/>
        <w:rPr>
          <w:rFonts w:ascii="Arial" w:hAnsi="Arial" w:cs="Arial"/>
          <w:lang w:val="en-US"/>
        </w:rPr>
      </w:pPr>
      <w:r w:rsidRPr="008E53CD">
        <w:rPr>
          <w:rFonts w:ascii="Arial" w:hAnsi="Arial" w:cs="Arial"/>
        </w:rPr>
        <w:t>2.</w:t>
      </w:r>
      <w:r w:rsidRPr="008E53CD">
        <w:rPr>
          <w:rFonts w:ascii="Arial" w:hAnsi="Arial" w:cs="Arial"/>
        </w:rPr>
        <w:tab/>
        <w:t xml:space="preserve">Perú: Evolución de la Pobreza Monetaria, 2015-2024 [Internet]. </w:t>
      </w:r>
      <w:r w:rsidRPr="008E53CD">
        <w:rPr>
          <w:rFonts w:ascii="Arial" w:hAnsi="Arial" w:cs="Arial"/>
          <w:lang w:val="en-US"/>
        </w:rPr>
        <w:t>[cited 2025 Jun 19]. Available from: https://www.gob.pe/institucion/inei/informes-publicaciones/6763186-peru-evolucion-de-la-pobreza-monetaria-2015-2024</w:t>
      </w:r>
    </w:p>
    <w:p w14:paraId="13EA210B" w14:textId="77777777" w:rsidR="008E53CD" w:rsidRPr="008E53CD" w:rsidRDefault="008E53CD" w:rsidP="008E53CD">
      <w:pPr>
        <w:pStyle w:val="Bibliography"/>
        <w:rPr>
          <w:rFonts w:ascii="Arial" w:hAnsi="Arial" w:cs="Arial"/>
          <w:lang w:val="en-US"/>
        </w:rPr>
      </w:pPr>
      <w:r w:rsidRPr="008E53CD">
        <w:rPr>
          <w:rFonts w:ascii="Arial" w:hAnsi="Arial" w:cs="Arial"/>
          <w:lang w:val="en-US"/>
        </w:rPr>
        <w:t>3.</w:t>
      </w:r>
      <w:r w:rsidRPr="008E53CD">
        <w:rPr>
          <w:rFonts w:ascii="Arial" w:hAnsi="Arial" w:cs="Arial"/>
          <w:lang w:val="en-US"/>
        </w:rPr>
        <w:tab/>
        <w:t>Sanchez JF, Valdivia HO, Pannebaker DL. Malaria Surveillance: A Cross-sectional Study in the Peruvian Amazon Basin, 2012-2023. J Infect Dis. 2025 Feb 10;231(Supplement_1):S58–65. doi:10.1093/infdis/jiae570 PubMed PMID: 39928389.</w:t>
      </w:r>
    </w:p>
    <w:p w14:paraId="18026F80" w14:textId="77777777" w:rsidR="008E53CD" w:rsidRPr="008E53CD" w:rsidRDefault="008E53CD" w:rsidP="008E53CD">
      <w:pPr>
        <w:pStyle w:val="Bibliography"/>
        <w:rPr>
          <w:rFonts w:ascii="Arial" w:hAnsi="Arial" w:cs="Arial"/>
          <w:lang w:val="en-US"/>
        </w:rPr>
      </w:pPr>
      <w:r w:rsidRPr="008E53CD">
        <w:rPr>
          <w:rFonts w:ascii="Arial" w:hAnsi="Arial" w:cs="Arial"/>
        </w:rPr>
        <w:t>4.</w:t>
      </w:r>
      <w:r w:rsidRPr="008E53CD">
        <w:rPr>
          <w:rFonts w:ascii="Arial" w:hAnsi="Arial" w:cs="Arial"/>
        </w:rPr>
        <w:tab/>
        <w:t xml:space="preserve">Rufasto Goche KS, Lizarbe Castro MV, Lozano Zanelly GA, Lira Camargo WM, Ascayo Velasquez EY, Murillo Carrasco AG, et al. </w:t>
      </w:r>
      <w:r w:rsidRPr="008E53CD">
        <w:rPr>
          <w:rFonts w:ascii="Arial" w:hAnsi="Arial" w:cs="Arial"/>
          <w:lang w:val="en-US"/>
        </w:rPr>
        <w:t>Epidemiological dynamics of dengue in Peru: Temporal and spatial drivers between 2000 and 2022. PloS One. 2025;20(3):e0319708. doi:10.1371/journal.pone.0319708 PubMed PMID: 40106473; PubMed Central PMCID: PMC11922284.</w:t>
      </w:r>
    </w:p>
    <w:p w14:paraId="307C466F" w14:textId="77777777" w:rsidR="008E53CD" w:rsidRPr="008E53CD" w:rsidRDefault="008E53CD" w:rsidP="008E53CD">
      <w:pPr>
        <w:pStyle w:val="Bibliography"/>
        <w:rPr>
          <w:rFonts w:ascii="Arial" w:hAnsi="Arial" w:cs="Arial"/>
          <w:lang w:val="en-US"/>
        </w:rPr>
      </w:pPr>
      <w:r w:rsidRPr="008E53CD">
        <w:rPr>
          <w:rFonts w:ascii="Arial" w:hAnsi="Arial" w:cs="Arial"/>
        </w:rPr>
        <w:t>5.</w:t>
      </w:r>
      <w:r w:rsidRPr="008E53CD">
        <w:rPr>
          <w:rFonts w:ascii="Arial" w:hAnsi="Arial" w:cs="Arial"/>
        </w:rPr>
        <w:tab/>
        <w:t xml:space="preserve">Fine S, Quiroz AA, Calle VS, Manrique P, Rodriguez H, Carrasco G, et al. </w:t>
      </w:r>
      <w:r w:rsidRPr="008E53CD">
        <w:rPr>
          <w:rFonts w:ascii="Arial" w:hAnsi="Arial" w:cs="Arial"/>
          <w:lang w:val="en-US"/>
        </w:rPr>
        <w:t>FocaL mass drug Administration for Plasmodium vivax Malaria Elimination (FLAME): study protocol for an open-label cluster randomized controlled trial in Peru. Res Sq. 2025 Apr 17;rs.3.rs-5594891. doi:10.21203/rs.3.rs-5594891/v1 PubMed PMID: 40321759; PubMed Central PMCID: PMC12047980.</w:t>
      </w:r>
    </w:p>
    <w:p w14:paraId="2AA6EE5C" w14:textId="77777777" w:rsidR="008E53CD" w:rsidRPr="008E53CD" w:rsidRDefault="008E53CD" w:rsidP="008E53CD">
      <w:pPr>
        <w:pStyle w:val="Bibliography"/>
        <w:rPr>
          <w:rFonts w:ascii="Arial" w:hAnsi="Arial" w:cs="Arial"/>
          <w:lang w:val="en-US"/>
        </w:rPr>
      </w:pPr>
      <w:r w:rsidRPr="008E53CD">
        <w:rPr>
          <w:rFonts w:ascii="Arial" w:hAnsi="Arial" w:cs="Arial"/>
        </w:rPr>
        <w:t>6.</w:t>
      </w:r>
      <w:r w:rsidRPr="008E53CD">
        <w:rPr>
          <w:rFonts w:ascii="Arial" w:hAnsi="Arial" w:cs="Arial"/>
        </w:rPr>
        <w:tab/>
        <w:t xml:space="preserve">Encuesta Demográfica y de Salud Familiar - ENDES 2025 [Internet]. </w:t>
      </w:r>
      <w:r w:rsidRPr="008E53CD">
        <w:rPr>
          <w:rFonts w:ascii="Arial" w:hAnsi="Arial" w:cs="Arial"/>
          <w:lang w:val="en-US"/>
        </w:rPr>
        <w:t>2025 [cited 2025 Jun 21]. Available from: https://www.gob.pe/institucion/inei/informes-publicaciones/3364616-encuesta-demografica-y-de-salud-familiar-endes-2025</w:t>
      </w:r>
    </w:p>
    <w:p w14:paraId="69B55C57" w14:textId="611317B0" w:rsidR="00FC3439" w:rsidRPr="00FC3439" w:rsidRDefault="00FC3439" w:rsidP="008E53CD">
      <w:pPr>
        <w:pStyle w:val="Bibliography"/>
        <w:rPr>
          <w:rFonts w:ascii="Arial" w:hAnsi="Arial" w:cs="Arial"/>
          <w:lang w:val="en-US"/>
        </w:rPr>
      </w:pPr>
      <w:r w:rsidRPr="00217285">
        <w:rPr>
          <w:rFonts w:ascii="Arial" w:hAnsi="Arial" w:cs="Arial"/>
          <w:lang w:val="en-US"/>
        </w:rPr>
        <w:fldChar w:fldCharType="end"/>
      </w:r>
    </w:p>
    <w:sectPr w:rsidR="00FC3439" w:rsidRPr="00FC3439" w:rsidSect="00217285">
      <w:pgSz w:w="12240" w:h="15840"/>
      <w:pgMar w:top="1417" w:right="1015"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3B3F18" w14:textId="77777777" w:rsidR="00384D36" w:rsidRDefault="00384D36" w:rsidP="00D0524F">
      <w:r>
        <w:separator/>
      </w:r>
    </w:p>
  </w:endnote>
  <w:endnote w:type="continuationSeparator" w:id="0">
    <w:p w14:paraId="69A7A546" w14:textId="77777777" w:rsidR="00384D36" w:rsidRDefault="00384D36" w:rsidP="00D05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3E6F76" w14:textId="77777777" w:rsidR="00384D36" w:rsidRDefault="00384D36" w:rsidP="00D0524F">
      <w:r>
        <w:separator/>
      </w:r>
    </w:p>
  </w:footnote>
  <w:footnote w:type="continuationSeparator" w:id="0">
    <w:p w14:paraId="0ACC9E6F" w14:textId="77777777" w:rsidR="00384D36" w:rsidRDefault="00384D36" w:rsidP="00D052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05030"/>
    <w:multiLevelType w:val="hybridMultilevel"/>
    <w:tmpl w:val="9C1C824A"/>
    <w:lvl w:ilvl="0" w:tplc="FF3A1122">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5EE2618"/>
    <w:multiLevelType w:val="hybridMultilevel"/>
    <w:tmpl w:val="BBCC2C9A"/>
    <w:lvl w:ilvl="0" w:tplc="B438392C">
      <w:start w:val="2"/>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D1117C1"/>
    <w:multiLevelType w:val="hybridMultilevel"/>
    <w:tmpl w:val="0C2EA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683A85"/>
    <w:multiLevelType w:val="hybridMultilevel"/>
    <w:tmpl w:val="8E4C8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D52314"/>
    <w:multiLevelType w:val="multilevel"/>
    <w:tmpl w:val="AB1CFBEA"/>
    <w:lvl w:ilvl="0">
      <w:start w:val="1"/>
      <w:numFmt w:val="decimal"/>
      <w:lvlText w:val="%1."/>
      <w:lvlJc w:val="left"/>
      <w:pPr>
        <w:ind w:left="400" w:hanging="400"/>
      </w:pPr>
      <w:rPr>
        <w:rFonts w:hint="default"/>
      </w:rPr>
    </w:lvl>
    <w:lvl w:ilvl="1">
      <w:start w:val="1"/>
      <w:numFmt w:val="decimal"/>
      <w:pStyle w:val="Heading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BC6284D"/>
    <w:multiLevelType w:val="hybridMultilevel"/>
    <w:tmpl w:val="72E66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4A53E5"/>
    <w:multiLevelType w:val="hybridMultilevel"/>
    <w:tmpl w:val="922C4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EE4688"/>
    <w:multiLevelType w:val="hybridMultilevel"/>
    <w:tmpl w:val="1E423B26"/>
    <w:lvl w:ilvl="0" w:tplc="04090001">
      <w:start w:val="1"/>
      <w:numFmt w:val="bullet"/>
      <w:lvlText w:val=""/>
      <w:lvlJc w:val="left"/>
      <w:pPr>
        <w:ind w:left="1138" w:hanging="360"/>
      </w:pPr>
      <w:rPr>
        <w:rFonts w:ascii="Symbol" w:hAnsi="Symbol" w:hint="default"/>
      </w:rPr>
    </w:lvl>
    <w:lvl w:ilvl="1" w:tplc="04090003" w:tentative="1">
      <w:start w:val="1"/>
      <w:numFmt w:val="bullet"/>
      <w:lvlText w:val="o"/>
      <w:lvlJc w:val="left"/>
      <w:pPr>
        <w:ind w:left="1858" w:hanging="360"/>
      </w:pPr>
      <w:rPr>
        <w:rFonts w:ascii="Courier New" w:hAnsi="Courier New" w:cs="Courier New" w:hint="default"/>
      </w:rPr>
    </w:lvl>
    <w:lvl w:ilvl="2" w:tplc="04090005" w:tentative="1">
      <w:start w:val="1"/>
      <w:numFmt w:val="bullet"/>
      <w:lvlText w:val=""/>
      <w:lvlJc w:val="left"/>
      <w:pPr>
        <w:ind w:left="2578" w:hanging="360"/>
      </w:pPr>
      <w:rPr>
        <w:rFonts w:ascii="Wingdings" w:hAnsi="Wingdings" w:hint="default"/>
      </w:rPr>
    </w:lvl>
    <w:lvl w:ilvl="3" w:tplc="04090001" w:tentative="1">
      <w:start w:val="1"/>
      <w:numFmt w:val="bullet"/>
      <w:lvlText w:val=""/>
      <w:lvlJc w:val="left"/>
      <w:pPr>
        <w:ind w:left="3298" w:hanging="360"/>
      </w:pPr>
      <w:rPr>
        <w:rFonts w:ascii="Symbol" w:hAnsi="Symbol" w:hint="default"/>
      </w:rPr>
    </w:lvl>
    <w:lvl w:ilvl="4" w:tplc="04090003" w:tentative="1">
      <w:start w:val="1"/>
      <w:numFmt w:val="bullet"/>
      <w:lvlText w:val="o"/>
      <w:lvlJc w:val="left"/>
      <w:pPr>
        <w:ind w:left="4018" w:hanging="360"/>
      </w:pPr>
      <w:rPr>
        <w:rFonts w:ascii="Courier New" w:hAnsi="Courier New" w:cs="Courier New" w:hint="default"/>
      </w:rPr>
    </w:lvl>
    <w:lvl w:ilvl="5" w:tplc="04090005" w:tentative="1">
      <w:start w:val="1"/>
      <w:numFmt w:val="bullet"/>
      <w:lvlText w:val=""/>
      <w:lvlJc w:val="left"/>
      <w:pPr>
        <w:ind w:left="4738" w:hanging="360"/>
      </w:pPr>
      <w:rPr>
        <w:rFonts w:ascii="Wingdings" w:hAnsi="Wingdings" w:hint="default"/>
      </w:rPr>
    </w:lvl>
    <w:lvl w:ilvl="6" w:tplc="04090001" w:tentative="1">
      <w:start w:val="1"/>
      <w:numFmt w:val="bullet"/>
      <w:lvlText w:val=""/>
      <w:lvlJc w:val="left"/>
      <w:pPr>
        <w:ind w:left="5458" w:hanging="360"/>
      </w:pPr>
      <w:rPr>
        <w:rFonts w:ascii="Symbol" w:hAnsi="Symbol" w:hint="default"/>
      </w:rPr>
    </w:lvl>
    <w:lvl w:ilvl="7" w:tplc="04090003" w:tentative="1">
      <w:start w:val="1"/>
      <w:numFmt w:val="bullet"/>
      <w:lvlText w:val="o"/>
      <w:lvlJc w:val="left"/>
      <w:pPr>
        <w:ind w:left="6178" w:hanging="360"/>
      </w:pPr>
      <w:rPr>
        <w:rFonts w:ascii="Courier New" w:hAnsi="Courier New" w:cs="Courier New" w:hint="default"/>
      </w:rPr>
    </w:lvl>
    <w:lvl w:ilvl="8" w:tplc="04090005" w:tentative="1">
      <w:start w:val="1"/>
      <w:numFmt w:val="bullet"/>
      <w:lvlText w:val=""/>
      <w:lvlJc w:val="left"/>
      <w:pPr>
        <w:ind w:left="6898" w:hanging="360"/>
      </w:pPr>
      <w:rPr>
        <w:rFonts w:ascii="Wingdings" w:hAnsi="Wingdings" w:hint="default"/>
      </w:rPr>
    </w:lvl>
  </w:abstractNum>
  <w:num w:numId="1" w16cid:durableId="280890789">
    <w:abstractNumId w:val="4"/>
  </w:num>
  <w:num w:numId="2" w16cid:durableId="1605645687">
    <w:abstractNumId w:val="6"/>
  </w:num>
  <w:num w:numId="3" w16cid:durableId="626081271">
    <w:abstractNumId w:val="0"/>
  </w:num>
  <w:num w:numId="4" w16cid:durableId="1671636309">
    <w:abstractNumId w:val="1"/>
  </w:num>
  <w:num w:numId="5" w16cid:durableId="1748990483">
    <w:abstractNumId w:val="7"/>
  </w:num>
  <w:num w:numId="6" w16cid:durableId="971907308">
    <w:abstractNumId w:val="2"/>
  </w:num>
  <w:num w:numId="7" w16cid:durableId="1865633535">
    <w:abstractNumId w:val="5"/>
  </w:num>
  <w:num w:numId="8" w16cid:durableId="1824348286">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7F2"/>
    <w:rsid w:val="000037C7"/>
    <w:rsid w:val="0001450D"/>
    <w:rsid w:val="0001662C"/>
    <w:rsid w:val="00025426"/>
    <w:rsid w:val="0002619F"/>
    <w:rsid w:val="00033976"/>
    <w:rsid w:val="00034561"/>
    <w:rsid w:val="00065E19"/>
    <w:rsid w:val="000A28A4"/>
    <w:rsid w:val="000A754E"/>
    <w:rsid w:val="000B06EC"/>
    <w:rsid w:val="000B6DF0"/>
    <w:rsid w:val="000C4A78"/>
    <w:rsid w:val="000D1554"/>
    <w:rsid w:val="000E48FB"/>
    <w:rsid w:val="000E51DD"/>
    <w:rsid w:val="001048D3"/>
    <w:rsid w:val="001232F5"/>
    <w:rsid w:val="00134452"/>
    <w:rsid w:val="0014458C"/>
    <w:rsid w:val="0015116A"/>
    <w:rsid w:val="00153480"/>
    <w:rsid w:val="0016535C"/>
    <w:rsid w:val="00173729"/>
    <w:rsid w:val="001A1D89"/>
    <w:rsid w:val="001A239A"/>
    <w:rsid w:val="001B235B"/>
    <w:rsid w:val="001B50E8"/>
    <w:rsid w:val="001D04E1"/>
    <w:rsid w:val="001F600B"/>
    <w:rsid w:val="002028D7"/>
    <w:rsid w:val="00206C33"/>
    <w:rsid w:val="00213020"/>
    <w:rsid w:val="00217285"/>
    <w:rsid w:val="00245ECA"/>
    <w:rsid w:val="0026379D"/>
    <w:rsid w:val="00263838"/>
    <w:rsid w:val="00263E65"/>
    <w:rsid w:val="002751F5"/>
    <w:rsid w:val="00277F35"/>
    <w:rsid w:val="00292147"/>
    <w:rsid w:val="0029322B"/>
    <w:rsid w:val="002A4954"/>
    <w:rsid w:val="002B1F36"/>
    <w:rsid w:val="002C13EB"/>
    <w:rsid w:val="002C224E"/>
    <w:rsid w:val="002D1C1F"/>
    <w:rsid w:val="002F078A"/>
    <w:rsid w:val="00304AE4"/>
    <w:rsid w:val="003131D3"/>
    <w:rsid w:val="00327DCF"/>
    <w:rsid w:val="00327E04"/>
    <w:rsid w:val="003304EE"/>
    <w:rsid w:val="00331E3D"/>
    <w:rsid w:val="00332B3C"/>
    <w:rsid w:val="00335F09"/>
    <w:rsid w:val="00361235"/>
    <w:rsid w:val="00361A06"/>
    <w:rsid w:val="00372612"/>
    <w:rsid w:val="00381AC7"/>
    <w:rsid w:val="003822BC"/>
    <w:rsid w:val="003843FD"/>
    <w:rsid w:val="00384D36"/>
    <w:rsid w:val="00392036"/>
    <w:rsid w:val="00392781"/>
    <w:rsid w:val="00394A92"/>
    <w:rsid w:val="00395CB0"/>
    <w:rsid w:val="003B2886"/>
    <w:rsid w:val="003B4785"/>
    <w:rsid w:val="003D1C84"/>
    <w:rsid w:val="003D6755"/>
    <w:rsid w:val="003F58CC"/>
    <w:rsid w:val="00411B5F"/>
    <w:rsid w:val="00422A31"/>
    <w:rsid w:val="00423AFC"/>
    <w:rsid w:val="004319B6"/>
    <w:rsid w:val="00453281"/>
    <w:rsid w:val="00493284"/>
    <w:rsid w:val="004B00E8"/>
    <w:rsid w:val="004B51F2"/>
    <w:rsid w:val="004C6AB9"/>
    <w:rsid w:val="004F4B47"/>
    <w:rsid w:val="00522C73"/>
    <w:rsid w:val="00530421"/>
    <w:rsid w:val="0055343B"/>
    <w:rsid w:val="00562C69"/>
    <w:rsid w:val="005640C7"/>
    <w:rsid w:val="005670F6"/>
    <w:rsid w:val="0058019D"/>
    <w:rsid w:val="00581C0E"/>
    <w:rsid w:val="00582DAB"/>
    <w:rsid w:val="005871E5"/>
    <w:rsid w:val="005C03BD"/>
    <w:rsid w:val="005C11FA"/>
    <w:rsid w:val="005C3B59"/>
    <w:rsid w:val="005E4A1E"/>
    <w:rsid w:val="005F05A5"/>
    <w:rsid w:val="005F6E20"/>
    <w:rsid w:val="006052A6"/>
    <w:rsid w:val="0061404B"/>
    <w:rsid w:val="0062186B"/>
    <w:rsid w:val="00636696"/>
    <w:rsid w:val="00652634"/>
    <w:rsid w:val="006550B9"/>
    <w:rsid w:val="00674B27"/>
    <w:rsid w:val="00677583"/>
    <w:rsid w:val="006A0968"/>
    <w:rsid w:val="006A0BD8"/>
    <w:rsid w:val="006D07C7"/>
    <w:rsid w:val="006E4A2F"/>
    <w:rsid w:val="006E58FC"/>
    <w:rsid w:val="007130AE"/>
    <w:rsid w:val="007229C8"/>
    <w:rsid w:val="007325C4"/>
    <w:rsid w:val="00740878"/>
    <w:rsid w:val="00741599"/>
    <w:rsid w:val="00750592"/>
    <w:rsid w:val="007640D3"/>
    <w:rsid w:val="00775E83"/>
    <w:rsid w:val="00784A8A"/>
    <w:rsid w:val="007A6A31"/>
    <w:rsid w:val="007B3323"/>
    <w:rsid w:val="007C1314"/>
    <w:rsid w:val="007C420E"/>
    <w:rsid w:val="0082173C"/>
    <w:rsid w:val="00834E33"/>
    <w:rsid w:val="008422A7"/>
    <w:rsid w:val="008675D4"/>
    <w:rsid w:val="00880C67"/>
    <w:rsid w:val="00891496"/>
    <w:rsid w:val="008937C3"/>
    <w:rsid w:val="0089552A"/>
    <w:rsid w:val="008C62F6"/>
    <w:rsid w:val="008D4600"/>
    <w:rsid w:val="008D70B1"/>
    <w:rsid w:val="008E0C09"/>
    <w:rsid w:val="008E479F"/>
    <w:rsid w:val="008E53CD"/>
    <w:rsid w:val="008E59B9"/>
    <w:rsid w:val="008E6274"/>
    <w:rsid w:val="008E7DC9"/>
    <w:rsid w:val="008F1083"/>
    <w:rsid w:val="008F23E4"/>
    <w:rsid w:val="008F7339"/>
    <w:rsid w:val="0092093A"/>
    <w:rsid w:val="00920D03"/>
    <w:rsid w:val="00927D4D"/>
    <w:rsid w:val="009305CA"/>
    <w:rsid w:val="00950CC8"/>
    <w:rsid w:val="00950F79"/>
    <w:rsid w:val="009520E5"/>
    <w:rsid w:val="0097696D"/>
    <w:rsid w:val="00996DD1"/>
    <w:rsid w:val="009A3500"/>
    <w:rsid w:val="009D1778"/>
    <w:rsid w:val="009E1326"/>
    <w:rsid w:val="009E4F9D"/>
    <w:rsid w:val="00A06325"/>
    <w:rsid w:val="00A214B7"/>
    <w:rsid w:val="00A35A23"/>
    <w:rsid w:val="00A36A87"/>
    <w:rsid w:val="00A403BE"/>
    <w:rsid w:val="00A45D22"/>
    <w:rsid w:val="00A702ED"/>
    <w:rsid w:val="00A91F32"/>
    <w:rsid w:val="00AA04CB"/>
    <w:rsid w:val="00AD0EB0"/>
    <w:rsid w:val="00AD3DAB"/>
    <w:rsid w:val="00AD4792"/>
    <w:rsid w:val="00AD486D"/>
    <w:rsid w:val="00B15E29"/>
    <w:rsid w:val="00B4620C"/>
    <w:rsid w:val="00B52942"/>
    <w:rsid w:val="00B5424E"/>
    <w:rsid w:val="00B77864"/>
    <w:rsid w:val="00BC6152"/>
    <w:rsid w:val="00BD5A01"/>
    <w:rsid w:val="00BE7920"/>
    <w:rsid w:val="00BF6CC3"/>
    <w:rsid w:val="00BF6F53"/>
    <w:rsid w:val="00C02CFF"/>
    <w:rsid w:val="00C04551"/>
    <w:rsid w:val="00C10009"/>
    <w:rsid w:val="00C126C9"/>
    <w:rsid w:val="00C15171"/>
    <w:rsid w:val="00C31FE7"/>
    <w:rsid w:val="00C4105C"/>
    <w:rsid w:val="00C41C24"/>
    <w:rsid w:val="00C41C33"/>
    <w:rsid w:val="00C519D2"/>
    <w:rsid w:val="00C768D6"/>
    <w:rsid w:val="00C84BC2"/>
    <w:rsid w:val="00CA41A3"/>
    <w:rsid w:val="00CB1867"/>
    <w:rsid w:val="00CB76A4"/>
    <w:rsid w:val="00CE67A5"/>
    <w:rsid w:val="00D0524F"/>
    <w:rsid w:val="00D07BBD"/>
    <w:rsid w:val="00D251CD"/>
    <w:rsid w:val="00D304D0"/>
    <w:rsid w:val="00D86294"/>
    <w:rsid w:val="00D94F17"/>
    <w:rsid w:val="00D952A7"/>
    <w:rsid w:val="00DA103D"/>
    <w:rsid w:val="00DC3F89"/>
    <w:rsid w:val="00DC5434"/>
    <w:rsid w:val="00DD3563"/>
    <w:rsid w:val="00DD4311"/>
    <w:rsid w:val="00DE0DFA"/>
    <w:rsid w:val="00E17526"/>
    <w:rsid w:val="00E41F2D"/>
    <w:rsid w:val="00E42FF0"/>
    <w:rsid w:val="00E61B91"/>
    <w:rsid w:val="00E640DA"/>
    <w:rsid w:val="00E75FC3"/>
    <w:rsid w:val="00E96349"/>
    <w:rsid w:val="00EA67F2"/>
    <w:rsid w:val="00EC537A"/>
    <w:rsid w:val="00EC5790"/>
    <w:rsid w:val="00EC7278"/>
    <w:rsid w:val="00ED7A89"/>
    <w:rsid w:val="00EF091E"/>
    <w:rsid w:val="00EF3F03"/>
    <w:rsid w:val="00F1353B"/>
    <w:rsid w:val="00F15266"/>
    <w:rsid w:val="00F21752"/>
    <w:rsid w:val="00F219A7"/>
    <w:rsid w:val="00F31DF6"/>
    <w:rsid w:val="00F61D04"/>
    <w:rsid w:val="00F73ECE"/>
    <w:rsid w:val="00F74804"/>
    <w:rsid w:val="00F86B1C"/>
    <w:rsid w:val="00F92F84"/>
    <w:rsid w:val="00FA0124"/>
    <w:rsid w:val="00FA380E"/>
    <w:rsid w:val="00FA5758"/>
    <w:rsid w:val="00FB3D06"/>
    <w:rsid w:val="00FB3F12"/>
    <w:rsid w:val="00FB4D68"/>
    <w:rsid w:val="00FC3439"/>
    <w:rsid w:val="00FC447D"/>
    <w:rsid w:val="00FD67B6"/>
    <w:rsid w:val="00FF643A"/>
  </w:rsids>
  <m:mathPr>
    <m:mathFont m:val="Cambria Math"/>
    <m:brkBin m:val="before"/>
    <m:brkBinSub m:val="--"/>
    <m:smallFrac m:val="0"/>
    <m:dispDef/>
    <m:lMargin m:val="0"/>
    <m:rMargin m:val="0"/>
    <m:defJc m:val="centerGroup"/>
    <m:wrapIndent m:val="1440"/>
    <m:intLim m:val="subSup"/>
    <m:naryLim m:val="undOvr"/>
  </m:mathPr>
  <w:themeFontLang w:val="es-P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AC8AF"/>
  <w15:chartTrackingRefBased/>
  <w15:docId w15:val="{304A707A-B5CD-3947-BE10-9EB6DA1C5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P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FC3"/>
    <w:pPr>
      <w:spacing w:after="0" w:line="240" w:lineRule="auto"/>
    </w:pPr>
    <w:rPr>
      <w:rFonts w:ascii="Times New Roman" w:eastAsia="Times New Roman" w:hAnsi="Times New Roman" w:cs="Times New Roman"/>
      <w:kern w:val="0"/>
      <w:lang w:eastAsia="es-MX"/>
      <w14:ligatures w14:val="none"/>
    </w:rPr>
  </w:style>
  <w:style w:type="paragraph" w:styleId="Heading1">
    <w:name w:val="heading 1"/>
    <w:basedOn w:val="Normal"/>
    <w:next w:val="Normal"/>
    <w:link w:val="Heading1Char"/>
    <w:uiPriority w:val="9"/>
    <w:qFormat/>
    <w:rsid w:val="00EA67F2"/>
    <w:pPr>
      <w:keepNext/>
      <w:keepLines/>
      <w:spacing w:before="360" w:after="80" w:line="278" w:lineRule="auto"/>
      <w:outlineLvl w:val="0"/>
    </w:pPr>
    <w:rPr>
      <w:rFonts w:ascii="Arial" w:eastAsiaTheme="majorEastAsia" w:hAnsi="Arial" w:cs="Arial"/>
      <w:color w:val="000000" w:themeColor="text1"/>
      <w:kern w:val="2"/>
      <w:lang w:val="en-US" w:eastAsia="en-US"/>
      <w14:ligatures w14:val="standardContextual"/>
    </w:rPr>
  </w:style>
  <w:style w:type="paragraph" w:styleId="Heading2">
    <w:name w:val="heading 2"/>
    <w:basedOn w:val="ListParagraph"/>
    <w:next w:val="Normal"/>
    <w:link w:val="Heading2Char"/>
    <w:uiPriority w:val="9"/>
    <w:unhideWhenUsed/>
    <w:qFormat/>
    <w:rsid w:val="008E479F"/>
    <w:pPr>
      <w:numPr>
        <w:ilvl w:val="1"/>
        <w:numId w:val="1"/>
      </w:numPr>
      <w:jc w:val="both"/>
      <w:outlineLvl w:val="1"/>
    </w:pPr>
    <w:rPr>
      <w:rFonts w:ascii="Arial" w:hAnsi="Arial" w:cs="Arial"/>
      <w:lang w:val="en-US"/>
    </w:rPr>
  </w:style>
  <w:style w:type="paragraph" w:styleId="Heading3">
    <w:name w:val="heading 3"/>
    <w:basedOn w:val="Normal"/>
    <w:next w:val="Normal"/>
    <w:link w:val="Heading3Char"/>
    <w:uiPriority w:val="9"/>
    <w:semiHidden/>
    <w:unhideWhenUsed/>
    <w:qFormat/>
    <w:rsid w:val="00EA67F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EA67F2"/>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EA67F2"/>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EA67F2"/>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EA67F2"/>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EA67F2"/>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EA67F2"/>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67F2"/>
    <w:rPr>
      <w:rFonts w:ascii="Arial" w:eastAsiaTheme="majorEastAsia" w:hAnsi="Arial" w:cs="Arial"/>
      <w:color w:val="000000" w:themeColor="text1"/>
      <w:lang w:val="en-US"/>
    </w:rPr>
  </w:style>
  <w:style w:type="character" w:customStyle="1" w:styleId="Heading2Char">
    <w:name w:val="Heading 2 Char"/>
    <w:basedOn w:val="DefaultParagraphFont"/>
    <w:link w:val="Heading2"/>
    <w:uiPriority w:val="9"/>
    <w:rsid w:val="008E479F"/>
    <w:rPr>
      <w:rFonts w:ascii="Arial" w:hAnsi="Arial" w:cs="Arial"/>
      <w:lang w:val="en-US"/>
    </w:rPr>
  </w:style>
  <w:style w:type="character" w:customStyle="1" w:styleId="Heading3Char">
    <w:name w:val="Heading 3 Char"/>
    <w:basedOn w:val="DefaultParagraphFont"/>
    <w:link w:val="Heading3"/>
    <w:uiPriority w:val="9"/>
    <w:semiHidden/>
    <w:rsid w:val="00EA67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67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67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67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67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67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67F2"/>
    <w:rPr>
      <w:rFonts w:eastAsiaTheme="majorEastAsia" w:cstheme="majorBidi"/>
      <w:color w:val="272727" w:themeColor="text1" w:themeTint="D8"/>
    </w:rPr>
  </w:style>
  <w:style w:type="paragraph" w:styleId="Title">
    <w:name w:val="Title"/>
    <w:basedOn w:val="Normal"/>
    <w:next w:val="Normal"/>
    <w:link w:val="TitleChar"/>
    <w:uiPriority w:val="10"/>
    <w:qFormat/>
    <w:rsid w:val="00EA67F2"/>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EA67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67F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EA67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67F2"/>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EA67F2"/>
    <w:rPr>
      <w:i/>
      <w:iCs/>
      <w:color w:val="404040" w:themeColor="text1" w:themeTint="BF"/>
    </w:rPr>
  </w:style>
  <w:style w:type="paragraph" w:styleId="ListParagraph">
    <w:name w:val="List Paragraph"/>
    <w:basedOn w:val="Normal"/>
    <w:uiPriority w:val="34"/>
    <w:qFormat/>
    <w:rsid w:val="00EA67F2"/>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EA67F2"/>
    <w:rPr>
      <w:i/>
      <w:iCs/>
      <w:color w:val="0F4761" w:themeColor="accent1" w:themeShade="BF"/>
    </w:rPr>
  </w:style>
  <w:style w:type="paragraph" w:styleId="IntenseQuote">
    <w:name w:val="Intense Quote"/>
    <w:basedOn w:val="Normal"/>
    <w:next w:val="Normal"/>
    <w:link w:val="IntenseQuoteChar"/>
    <w:uiPriority w:val="30"/>
    <w:qFormat/>
    <w:rsid w:val="00EA67F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EA67F2"/>
    <w:rPr>
      <w:i/>
      <w:iCs/>
      <w:color w:val="0F4761" w:themeColor="accent1" w:themeShade="BF"/>
    </w:rPr>
  </w:style>
  <w:style w:type="character" w:styleId="IntenseReference">
    <w:name w:val="Intense Reference"/>
    <w:basedOn w:val="DefaultParagraphFont"/>
    <w:uiPriority w:val="32"/>
    <w:qFormat/>
    <w:rsid w:val="00EA67F2"/>
    <w:rPr>
      <w:b/>
      <w:bCs/>
      <w:smallCaps/>
      <w:color w:val="0F4761" w:themeColor="accent1" w:themeShade="BF"/>
      <w:spacing w:val="5"/>
    </w:rPr>
  </w:style>
  <w:style w:type="paragraph" w:styleId="TOCHeading">
    <w:name w:val="TOC Heading"/>
    <w:basedOn w:val="Heading1"/>
    <w:next w:val="Normal"/>
    <w:uiPriority w:val="39"/>
    <w:unhideWhenUsed/>
    <w:qFormat/>
    <w:rsid w:val="00EA67F2"/>
    <w:pPr>
      <w:spacing w:before="480" w:after="0" w:line="276" w:lineRule="auto"/>
      <w:outlineLvl w:val="9"/>
    </w:pPr>
    <w:rPr>
      <w:rFonts w:asciiTheme="majorHAnsi" w:hAnsiTheme="majorHAnsi" w:cstheme="majorBidi"/>
      <w:b/>
      <w:bCs/>
      <w:color w:val="0F4761" w:themeColor="accent1" w:themeShade="BF"/>
      <w:kern w:val="0"/>
      <w:sz w:val="28"/>
      <w:szCs w:val="28"/>
      <w:lang w:val="es-PE" w:eastAsia="es-MX"/>
      <w14:ligatures w14:val="none"/>
    </w:rPr>
  </w:style>
  <w:style w:type="paragraph" w:styleId="TOC1">
    <w:name w:val="toc 1"/>
    <w:basedOn w:val="Normal"/>
    <w:next w:val="Normal"/>
    <w:autoRedefine/>
    <w:uiPriority w:val="39"/>
    <w:unhideWhenUsed/>
    <w:rsid w:val="00EA67F2"/>
    <w:pPr>
      <w:spacing w:before="120" w:line="278" w:lineRule="auto"/>
    </w:pPr>
    <w:rPr>
      <w:rFonts w:asciiTheme="minorHAnsi" w:eastAsiaTheme="minorHAnsi" w:hAnsiTheme="minorHAnsi" w:cstheme="minorBidi"/>
      <w:b/>
      <w:bCs/>
      <w:i/>
      <w:iCs/>
      <w:kern w:val="2"/>
      <w:lang w:eastAsia="en-US"/>
      <w14:ligatures w14:val="standardContextual"/>
    </w:rPr>
  </w:style>
  <w:style w:type="character" w:styleId="Hyperlink">
    <w:name w:val="Hyperlink"/>
    <w:basedOn w:val="DefaultParagraphFont"/>
    <w:uiPriority w:val="99"/>
    <w:unhideWhenUsed/>
    <w:rsid w:val="00EA67F2"/>
    <w:rPr>
      <w:color w:val="467886" w:themeColor="hyperlink"/>
      <w:u w:val="single"/>
    </w:rPr>
  </w:style>
  <w:style w:type="paragraph" w:styleId="TOC2">
    <w:name w:val="toc 2"/>
    <w:basedOn w:val="Normal"/>
    <w:next w:val="Normal"/>
    <w:autoRedefine/>
    <w:uiPriority w:val="39"/>
    <w:unhideWhenUsed/>
    <w:rsid w:val="00EA67F2"/>
    <w:pPr>
      <w:spacing w:before="120" w:line="278" w:lineRule="auto"/>
      <w:ind w:left="240"/>
    </w:pPr>
    <w:rPr>
      <w:rFonts w:asciiTheme="minorHAnsi" w:eastAsiaTheme="minorHAnsi" w:hAnsiTheme="minorHAnsi" w:cstheme="minorBidi"/>
      <w:b/>
      <w:bCs/>
      <w:kern w:val="2"/>
      <w:sz w:val="22"/>
      <w:szCs w:val="22"/>
      <w:lang w:eastAsia="en-US"/>
      <w14:ligatures w14:val="standardContextual"/>
    </w:rPr>
  </w:style>
  <w:style w:type="paragraph" w:styleId="TOC3">
    <w:name w:val="toc 3"/>
    <w:basedOn w:val="Normal"/>
    <w:next w:val="Normal"/>
    <w:autoRedefine/>
    <w:uiPriority w:val="39"/>
    <w:semiHidden/>
    <w:unhideWhenUsed/>
    <w:rsid w:val="00EA67F2"/>
    <w:pPr>
      <w:spacing w:line="278" w:lineRule="auto"/>
      <w:ind w:left="480"/>
    </w:pPr>
    <w:rPr>
      <w:rFonts w:asciiTheme="minorHAnsi" w:eastAsiaTheme="minorHAnsi" w:hAnsiTheme="minorHAnsi" w:cstheme="minorBidi"/>
      <w:kern w:val="2"/>
      <w:sz w:val="20"/>
      <w:szCs w:val="20"/>
      <w:lang w:eastAsia="en-US"/>
      <w14:ligatures w14:val="standardContextual"/>
    </w:rPr>
  </w:style>
  <w:style w:type="paragraph" w:styleId="TOC4">
    <w:name w:val="toc 4"/>
    <w:basedOn w:val="Normal"/>
    <w:next w:val="Normal"/>
    <w:autoRedefine/>
    <w:uiPriority w:val="39"/>
    <w:semiHidden/>
    <w:unhideWhenUsed/>
    <w:rsid w:val="00EA67F2"/>
    <w:pPr>
      <w:spacing w:line="278" w:lineRule="auto"/>
      <w:ind w:left="720"/>
    </w:pPr>
    <w:rPr>
      <w:rFonts w:asciiTheme="minorHAnsi" w:eastAsiaTheme="minorHAnsi" w:hAnsiTheme="minorHAnsi" w:cstheme="minorBidi"/>
      <w:kern w:val="2"/>
      <w:sz w:val="20"/>
      <w:szCs w:val="20"/>
      <w:lang w:eastAsia="en-US"/>
      <w14:ligatures w14:val="standardContextual"/>
    </w:rPr>
  </w:style>
  <w:style w:type="paragraph" w:styleId="TOC5">
    <w:name w:val="toc 5"/>
    <w:basedOn w:val="Normal"/>
    <w:next w:val="Normal"/>
    <w:autoRedefine/>
    <w:uiPriority w:val="39"/>
    <w:semiHidden/>
    <w:unhideWhenUsed/>
    <w:rsid w:val="00EA67F2"/>
    <w:pPr>
      <w:spacing w:line="278" w:lineRule="auto"/>
      <w:ind w:left="960"/>
    </w:pPr>
    <w:rPr>
      <w:rFonts w:asciiTheme="minorHAnsi" w:eastAsiaTheme="minorHAnsi" w:hAnsiTheme="minorHAnsi" w:cstheme="minorBidi"/>
      <w:kern w:val="2"/>
      <w:sz w:val="20"/>
      <w:szCs w:val="20"/>
      <w:lang w:eastAsia="en-US"/>
      <w14:ligatures w14:val="standardContextual"/>
    </w:rPr>
  </w:style>
  <w:style w:type="paragraph" w:styleId="TOC6">
    <w:name w:val="toc 6"/>
    <w:basedOn w:val="Normal"/>
    <w:next w:val="Normal"/>
    <w:autoRedefine/>
    <w:uiPriority w:val="39"/>
    <w:semiHidden/>
    <w:unhideWhenUsed/>
    <w:rsid w:val="00EA67F2"/>
    <w:pPr>
      <w:spacing w:line="278" w:lineRule="auto"/>
      <w:ind w:left="1200"/>
    </w:pPr>
    <w:rPr>
      <w:rFonts w:asciiTheme="minorHAnsi" w:eastAsiaTheme="minorHAnsi" w:hAnsiTheme="minorHAnsi" w:cstheme="minorBidi"/>
      <w:kern w:val="2"/>
      <w:sz w:val="20"/>
      <w:szCs w:val="20"/>
      <w:lang w:eastAsia="en-US"/>
      <w14:ligatures w14:val="standardContextual"/>
    </w:rPr>
  </w:style>
  <w:style w:type="paragraph" w:styleId="TOC7">
    <w:name w:val="toc 7"/>
    <w:basedOn w:val="Normal"/>
    <w:next w:val="Normal"/>
    <w:autoRedefine/>
    <w:uiPriority w:val="39"/>
    <w:semiHidden/>
    <w:unhideWhenUsed/>
    <w:rsid w:val="00EA67F2"/>
    <w:pPr>
      <w:spacing w:line="278" w:lineRule="auto"/>
      <w:ind w:left="1440"/>
    </w:pPr>
    <w:rPr>
      <w:rFonts w:asciiTheme="minorHAnsi" w:eastAsiaTheme="minorHAnsi" w:hAnsiTheme="minorHAnsi" w:cstheme="minorBidi"/>
      <w:kern w:val="2"/>
      <w:sz w:val="20"/>
      <w:szCs w:val="20"/>
      <w:lang w:eastAsia="en-US"/>
      <w14:ligatures w14:val="standardContextual"/>
    </w:rPr>
  </w:style>
  <w:style w:type="paragraph" w:styleId="TOC8">
    <w:name w:val="toc 8"/>
    <w:basedOn w:val="Normal"/>
    <w:next w:val="Normal"/>
    <w:autoRedefine/>
    <w:uiPriority w:val="39"/>
    <w:semiHidden/>
    <w:unhideWhenUsed/>
    <w:rsid w:val="00EA67F2"/>
    <w:pPr>
      <w:spacing w:line="278" w:lineRule="auto"/>
      <w:ind w:left="1680"/>
    </w:pPr>
    <w:rPr>
      <w:rFonts w:asciiTheme="minorHAnsi" w:eastAsiaTheme="minorHAnsi" w:hAnsiTheme="minorHAnsi" w:cstheme="minorBidi"/>
      <w:kern w:val="2"/>
      <w:sz w:val="20"/>
      <w:szCs w:val="20"/>
      <w:lang w:eastAsia="en-US"/>
      <w14:ligatures w14:val="standardContextual"/>
    </w:rPr>
  </w:style>
  <w:style w:type="paragraph" w:styleId="TOC9">
    <w:name w:val="toc 9"/>
    <w:basedOn w:val="Normal"/>
    <w:next w:val="Normal"/>
    <w:autoRedefine/>
    <w:uiPriority w:val="39"/>
    <w:semiHidden/>
    <w:unhideWhenUsed/>
    <w:rsid w:val="00EA67F2"/>
    <w:pPr>
      <w:spacing w:line="278" w:lineRule="auto"/>
      <w:ind w:left="1920"/>
    </w:pPr>
    <w:rPr>
      <w:rFonts w:asciiTheme="minorHAnsi" w:eastAsiaTheme="minorHAnsi" w:hAnsiTheme="minorHAnsi" w:cstheme="minorBidi"/>
      <w:kern w:val="2"/>
      <w:sz w:val="20"/>
      <w:szCs w:val="20"/>
      <w:lang w:eastAsia="en-US"/>
      <w14:ligatures w14:val="standardContextual"/>
    </w:rPr>
  </w:style>
  <w:style w:type="paragraph" w:styleId="Bibliography">
    <w:name w:val="Bibliography"/>
    <w:basedOn w:val="Normal"/>
    <w:next w:val="Normal"/>
    <w:uiPriority w:val="37"/>
    <w:unhideWhenUsed/>
    <w:rsid w:val="00FC3439"/>
    <w:pPr>
      <w:tabs>
        <w:tab w:val="left" w:pos="260"/>
        <w:tab w:val="left" w:pos="380"/>
      </w:tabs>
      <w:spacing w:after="240"/>
      <w:ind w:left="264" w:hanging="264"/>
    </w:pPr>
    <w:rPr>
      <w:rFonts w:asciiTheme="minorHAnsi" w:eastAsiaTheme="minorHAnsi" w:hAnsiTheme="minorHAnsi" w:cstheme="minorBidi"/>
      <w:kern w:val="2"/>
      <w:lang w:eastAsia="en-US"/>
      <w14:ligatures w14:val="standardContextual"/>
    </w:rPr>
  </w:style>
  <w:style w:type="character" w:styleId="Strong">
    <w:name w:val="Strong"/>
    <w:basedOn w:val="DefaultParagraphFont"/>
    <w:uiPriority w:val="22"/>
    <w:qFormat/>
    <w:rsid w:val="00DD3563"/>
    <w:rPr>
      <w:b/>
      <w:bCs/>
    </w:rPr>
  </w:style>
  <w:style w:type="table" w:styleId="TableGrid">
    <w:name w:val="Table Grid"/>
    <w:basedOn w:val="TableNormal"/>
    <w:uiPriority w:val="39"/>
    <w:rsid w:val="00C10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F05A5"/>
    <w:pPr>
      <w:spacing w:before="100" w:beforeAutospacing="1" w:after="100" w:afterAutospacing="1"/>
    </w:pPr>
  </w:style>
  <w:style w:type="character" w:styleId="Emphasis">
    <w:name w:val="Emphasis"/>
    <w:basedOn w:val="DefaultParagraphFont"/>
    <w:uiPriority w:val="20"/>
    <w:qFormat/>
    <w:rsid w:val="005F05A5"/>
    <w:rPr>
      <w:i/>
      <w:iCs/>
    </w:rPr>
  </w:style>
  <w:style w:type="character" w:customStyle="1" w:styleId="vlist-s">
    <w:name w:val="vlist-s"/>
    <w:basedOn w:val="DefaultParagraphFont"/>
    <w:rsid w:val="005C11FA"/>
  </w:style>
  <w:style w:type="paragraph" w:customStyle="1" w:styleId="Textoplano">
    <w:name w:val="Texto plano"/>
    <w:basedOn w:val="Normal"/>
    <w:qFormat/>
    <w:rsid w:val="00FF643A"/>
    <w:pPr>
      <w:spacing w:after="160" w:line="278" w:lineRule="auto"/>
      <w:jc w:val="both"/>
    </w:pPr>
    <w:rPr>
      <w:rFonts w:ascii="Arial" w:eastAsiaTheme="minorHAnsi" w:hAnsi="Arial" w:cs="Arial"/>
      <w:kern w:val="2"/>
      <w:lang w:val="en-US" w:eastAsia="en-US"/>
      <w14:ligatures w14:val="standardContextual"/>
    </w:rPr>
  </w:style>
  <w:style w:type="paragraph" w:styleId="Header">
    <w:name w:val="header"/>
    <w:basedOn w:val="Normal"/>
    <w:link w:val="HeaderChar"/>
    <w:uiPriority w:val="99"/>
    <w:unhideWhenUsed/>
    <w:rsid w:val="00D0524F"/>
    <w:pPr>
      <w:tabs>
        <w:tab w:val="center" w:pos="4419"/>
        <w:tab w:val="right" w:pos="8838"/>
      </w:tabs>
    </w:pPr>
  </w:style>
  <w:style w:type="character" w:customStyle="1" w:styleId="HeaderChar">
    <w:name w:val="Header Char"/>
    <w:basedOn w:val="DefaultParagraphFont"/>
    <w:link w:val="Header"/>
    <w:uiPriority w:val="99"/>
    <w:rsid w:val="00D0524F"/>
    <w:rPr>
      <w:rFonts w:ascii="Times New Roman" w:eastAsia="Times New Roman" w:hAnsi="Times New Roman" w:cs="Times New Roman"/>
      <w:kern w:val="0"/>
      <w:lang w:eastAsia="es-MX"/>
      <w14:ligatures w14:val="none"/>
    </w:rPr>
  </w:style>
  <w:style w:type="paragraph" w:styleId="Footer">
    <w:name w:val="footer"/>
    <w:basedOn w:val="Normal"/>
    <w:link w:val="FooterChar"/>
    <w:uiPriority w:val="99"/>
    <w:unhideWhenUsed/>
    <w:rsid w:val="00D0524F"/>
    <w:pPr>
      <w:tabs>
        <w:tab w:val="center" w:pos="4419"/>
        <w:tab w:val="right" w:pos="8838"/>
      </w:tabs>
    </w:pPr>
  </w:style>
  <w:style w:type="character" w:customStyle="1" w:styleId="FooterChar">
    <w:name w:val="Footer Char"/>
    <w:basedOn w:val="DefaultParagraphFont"/>
    <w:link w:val="Footer"/>
    <w:uiPriority w:val="99"/>
    <w:rsid w:val="00D0524F"/>
    <w:rPr>
      <w:rFonts w:ascii="Times New Roman" w:eastAsia="Times New Roman" w:hAnsi="Times New Roman" w:cs="Times New Roman"/>
      <w:kern w:val="0"/>
      <w:lang w:eastAsia="es-MX"/>
      <w14:ligatures w14:val="none"/>
    </w:rPr>
  </w:style>
  <w:style w:type="paragraph" w:styleId="Revision">
    <w:name w:val="Revision"/>
    <w:hidden/>
    <w:uiPriority w:val="99"/>
    <w:semiHidden/>
    <w:rsid w:val="00D94F17"/>
    <w:pPr>
      <w:spacing w:after="0" w:line="240" w:lineRule="auto"/>
    </w:pPr>
    <w:rPr>
      <w:rFonts w:ascii="Times New Roman" w:eastAsia="Times New Roman" w:hAnsi="Times New Roman" w:cs="Times New Roman"/>
      <w:kern w:val="0"/>
      <w:lang w:eastAsia="es-MX"/>
      <w14:ligatures w14:val="none"/>
    </w:rPr>
  </w:style>
  <w:style w:type="character" w:styleId="CommentReference">
    <w:name w:val="annotation reference"/>
    <w:basedOn w:val="DefaultParagraphFont"/>
    <w:uiPriority w:val="99"/>
    <w:semiHidden/>
    <w:unhideWhenUsed/>
    <w:rsid w:val="002D1C1F"/>
    <w:rPr>
      <w:sz w:val="16"/>
      <w:szCs w:val="16"/>
    </w:rPr>
  </w:style>
  <w:style w:type="paragraph" w:styleId="CommentText">
    <w:name w:val="annotation text"/>
    <w:basedOn w:val="Normal"/>
    <w:link w:val="CommentTextChar"/>
    <w:uiPriority w:val="99"/>
    <w:semiHidden/>
    <w:unhideWhenUsed/>
    <w:rsid w:val="002D1C1F"/>
    <w:rPr>
      <w:sz w:val="20"/>
      <w:szCs w:val="20"/>
    </w:rPr>
  </w:style>
  <w:style w:type="character" w:customStyle="1" w:styleId="CommentTextChar">
    <w:name w:val="Comment Text Char"/>
    <w:basedOn w:val="DefaultParagraphFont"/>
    <w:link w:val="CommentText"/>
    <w:uiPriority w:val="99"/>
    <w:semiHidden/>
    <w:rsid w:val="002D1C1F"/>
    <w:rPr>
      <w:rFonts w:ascii="Times New Roman" w:eastAsia="Times New Roman" w:hAnsi="Times New Roman" w:cs="Times New Roman"/>
      <w:kern w:val="0"/>
      <w:sz w:val="20"/>
      <w:szCs w:val="20"/>
      <w:lang w:eastAsia="es-MX"/>
      <w14:ligatures w14:val="none"/>
    </w:rPr>
  </w:style>
  <w:style w:type="paragraph" w:styleId="CommentSubject">
    <w:name w:val="annotation subject"/>
    <w:basedOn w:val="CommentText"/>
    <w:next w:val="CommentText"/>
    <w:link w:val="CommentSubjectChar"/>
    <w:uiPriority w:val="99"/>
    <w:semiHidden/>
    <w:unhideWhenUsed/>
    <w:rsid w:val="002D1C1F"/>
    <w:rPr>
      <w:b/>
      <w:bCs/>
    </w:rPr>
  </w:style>
  <w:style w:type="character" w:customStyle="1" w:styleId="CommentSubjectChar">
    <w:name w:val="Comment Subject Char"/>
    <w:basedOn w:val="CommentTextChar"/>
    <w:link w:val="CommentSubject"/>
    <w:uiPriority w:val="99"/>
    <w:semiHidden/>
    <w:rsid w:val="002D1C1F"/>
    <w:rPr>
      <w:rFonts w:ascii="Times New Roman" w:eastAsia="Times New Roman" w:hAnsi="Times New Roman" w:cs="Times New Roman"/>
      <w:b/>
      <w:bCs/>
      <w:kern w:val="0"/>
      <w:sz w:val="20"/>
      <w:szCs w:val="20"/>
      <w:lang w:eastAsia="es-MX"/>
      <w14:ligatures w14:val="none"/>
    </w:rPr>
  </w:style>
  <w:style w:type="character" w:styleId="UnresolvedMention">
    <w:name w:val="Unresolved Mention"/>
    <w:basedOn w:val="DefaultParagraphFont"/>
    <w:uiPriority w:val="99"/>
    <w:semiHidden/>
    <w:unhideWhenUsed/>
    <w:rsid w:val="002D1C1F"/>
    <w:rPr>
      <w:color w:val="605E5C"/>
      <w:shd w:val="clear" w:color="auto" w:fill="E1DFDD"/>
    </w:rPr>
  </w:style>
  <w:style w:type="character" w:styleId="PlaceholderText">
    <w:name w:val="Placeholder Text"/>
    <w:basedOn w:val="DefaultParagraphFont"/>
    <w:uiPriority w:val="99"/>
    <w:semiHidden/>
    <w:rsid w:val="00A06325"/>
    <w:rPr>
      <w:color w:val="666666"/>
    </w:rPr>
  </w:style>
  <w:style w:type="character" w:customStyle="1" w:styleId="mord">
    <w:name w:val="mord"/>
    <w:basedOn w:val="DefaultParagraphFont"/>
    <w:rsid w:val="007325C4"/>
  </w:style>
  <w:style w:type="character" w:customStyle="1" w:styleId="mrel">
    <w:name w:val="mrel"/>
    <w:basedOn w:val="DefaultParagraphFont"/>
    <w:rsid w:val="007325C4"/>
  </w:style>
  <w:style w:type="character" w:customStyle="1" w:styleId="mopen">
    <w:name w:val="mopen"/>
    <w:basedOn w:val="DefaultParagraphFont"/>
    <w:rsid w:val="007325C4"/>
  </w:style>
  <w:style w:type="character" w:customStyle="1" w:styleId="mpunct">
    <w:name w:val="mpunct"/>
    <w:basedOn w:val="DefaultParagraphFont"/>
    <w:rsid w:val="007325C4"/>
  </w:style>
  <w:style w:type="character" w:customStyle="1" w:styleId="mclose">
    <w:name w:val="mclose"/>
    <w:basedOn w:val="DefaultParagraphFont"/>
    <w:rsid w:val="007325C4"/>
  </w:style>
  <w:style w:type="character" w:customStyle="1" w:styleId="delimsizing">
    <w:name w:val="delimsizing"/>
    <w:basedOn w:val="DefaultParagraphFont"/>
    <w:rsid w:val="00950CC8"/>
  </w:style>
  <w:style w:type="character" w:customStyle="1" w:styleId="mbin">
    <w:name w:val="mbin"/>
    <w:basedOn w:val="DefaultParagraphFont"/>
    <w:rsid w:val="00950CC8"/>
  </w:style>
  <w:style w:type="character" w:customStyle="1" w:styleId="mop">
    <w:name w:val="mop"/>
    <w:basedOn w:val="DefaultParagraphFont"/>
    <w:rsid w:val="00522C73"/>
  </w:style>
  <w:style w:type="table" w:styleId="PlainTable3">
    <w:name w:val="Plain Table 3"/>
    <w:basedOn w:val="TableNormal"/>
    <w:uiPriority w:val="43"/>
    <w:rsid w:val="00522C7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522C7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ont-claude-response-body">
    <w:name w:val="font-claude-response-body"/>
    <w:basedOn w:val="Normal"/>
    <w:rsid w:val="0097696D"/>
    <w:pPr>
      <w:spacing w:before="100" w:beforeAutospacing="1" w:after="100" w:afterAutospacing="1"/>
    </w:pPr>
    <w:rPr>
      <w:lang w:val="en-P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2A64E-3BF9-8649-82AB-1A5FF9553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20</Pages>
  <Words>5158</Words>
  <Characters>29403</Characters>
  <Application>Microsoft Office Word</Application>
  <DocSecurity>0</DocSecurity>
  <Lines>245</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FERNANDO MATTA CHUQUISAPON</dc:creator>
  <cp:keywords/>
  <dc:description/>
  <cp:lastModifiedBy>Jose Matta</cp:lastModifiedBy>
  <cp:revision>40</cp:revision>
  <dcterms:created xsi:type="dcterms:W3CDTF">2026-01-14T20:14:00Z</dcterms:created>
  <dcterms:modified xsi:type="dcterms:W3CDTF">2026-08-27T21:05:00Z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zotero-version="9.0.4"&gt;&lt;session id="5z8YbcVz"/&gt;&lt;style id="http://www.zotero.org/styles/nlm-citation-sequence" locale="en-GB" hasBibliography="1" bibliographyStyleHasBeenSet="1"/&gt;&lt;prefs&gt;&lt;pref name="fieldType" value="Field"/&gt;&lt;pref nam</vt:lpwstr>
  </property>
  <property fmtid="{D5CDD505-2E9C-101B-9397-08002B2CF9AE}" pid="3" name="ZOTERO_PREF_2">
    <vt:lpwstr>e="automaticJournalAbbreviations" value="true"/&gt;&lt;/prefs&gt;&lt;/data&gt;</vt:lpwstr>
  </property>
</Properties>
</file>