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34DE9" w14:textId="343C05A0" w:rsidR="00150D44" w:rsidRPr="00317BEE" w:rsidRDefault="00EA6FD1" w:rsidP="0087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DB0A230" wp14:editId="62AAA9C8">
            <wp:extent cx="5943600" cy="5334000"/>
            <wp:effectExtent l="0" t="0" r="0" b="0"/>
            <wp:docPr id="434443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43678" name="Picture 4344436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98E0A" w14:textId="068CA8C3" w:rsidR="00AD4978" w:rsidRPr="00317BEE" w:rsidRDefault="00AD4978" w:rsidP="00AD4978">
      <w:pPr>
        <w:rPr>
          <w:rFonts w:ascii="Times New Roman" w:hAnsi="Times New Roman" w:cs="Times New Roman"/>
          <w:b/>
          <w:bCs/>
        </w:rPr>
      </w:pPr>
      <w:r w:rsidRPr="00317BEE">
        <w:rPr>
          <w:rFonts w:ascii="Times New Roman" w:hAnsi="Times New Roman" w:cs="Times New Roman"/>
          <w:b/>
          <w:bCs/>
        </w:rPr>
        <w:t xml:space="preserve">Supplemental Figure 1: </w:t>
      </w:r>
      <w:r w:rsidRPr="00317BEE">
        <w:rPr>
          <w:rFonts w:ascii="Times New Roman" w:hAnsi="Times New Roman" w:cs="Times New Roman"/>
        </w:rPr>
        <w:t>MEME consensus motifs for representative phage genomes from cluster CA and each A subclusters. Each motif was found as previously described</w:t>
      </w:r>
      <w:r w:rsidRPr="00317BEE">
        <w:rPr>
          <w:rFonts w:ascii="Times New Roman" w:hAnsi="Times New Roman" w:cs="Times New Roman"/>
        </w:rPr>
        <w:fldChar w:fldCharType="begin"/>
      </w:r>
      <w:r w:rsidRPr="00317BEE">
        <w:rPr>
          <w:rFonts w:ascii="Times New Roman" w:hAnsi="Times New Roman" w:cs="Times New Roman"/>
        </w:rPr>
        <w:instrText xml:space="preserve"> ADDIN EN.CITE &lt;EndNote&gt;&lt;Cite&gt;&lt;Author&gt;Mavrich&lt;/Author&gt;&lt;Year&gt;2019&lt;/Year&gt;&lt;RecNum&gt;257&lt;/RecNum&gt;&lt;DisplayText&gt;&lt;style face="superscript"&gt;1&lt;/style&gt;&lt;/DisplayText&gt;&lt;record&gt;&lt;rec-number&gt;257&lt;/rec-number&gt;&lt;foreign-keys&gt;&lt;key app="EN" db-id="xwvztd9xj2xfpneepp0xvxxbfffav25vzxra" timestamp="1624373071"&gt;257&lt;/key&gt;&lt;/foreign-keys&gt;&lt;ref-type name="Journal Article"&gt;17&lt;/ref-type&gt;&lt;contributors&gt;&lt;authors&gt;&lt;author&gt;Mavrich, T. N.&lt;/author&gt;&lt;author&gt;Hatfull, G. F.&lt;/author&gt;&lt;/authors&gt;&lt;/contributors&gt;&lt;auth-address&gt;Department of Biological Sciences, University of Pittsburgh, Pittsburgh, Pennsylvania, USA.&amp;#xD;Department of Biological Sciences, University of Pittsburgh, Pittsburgh, Pennsylvania, USA gfh@pitt.edu.&lt;/auth-address&gt;&lt;titles&gt;&lt;title&gt;Evolution of Superinfection Immunity in Cluster A Mycobacteriophages&lt;/title&gt;&lt;secondary-title&gt;mBio&lt;/secondary-title&gt;&lt;/titles&gt;&lt;periodical&gt;&lt;full-title&gt;mBio&lt;/full-title&gt;&lt;/periodical&gt;&lt;volume&gt;10&lt;/volume&gt;&lt;number&gt;3&lt;/number&gt;&lt;edition&gt;2019/06/06&lt;/edition&gt;&lt;keywords&gt;&lt;keyword&gt;*Evolution, Molecular&lt;/keyword&gt;&lt;keyword&gt;Genome, Viral&lt;/keyword&gt;&lt;keyword&gt;Mycobacteriophages/*classification/*immunology&lt;/keyword&gt;&lt;keyword&gt;Phylogeny&lt;/keyword&gt;&lt;keyword&gt;Prophages/genetics/immunology&lt;/keyword&gt;&lt;keyword&gt;Superinfection/*immunology&lt;/keyword&gt;&lt;keyword&gt;Virulence&lt;/keyword&gt;&lt;keyword&gt;*bacteriophage evolution&lt;/keyword&gt;&lt;keyword&gt;*bacteriophage genetics&lt;/keyword&gt;&lt;keyword&gt;*bacteriophages&lt;/keyword&gt;&lt;/keywords&gt;&lt;dates&gt;&lt;year&gt;2019&lt;/year&gt;&lt;pub-dates&gt;&lt;date&gt;Jun 4&lt;/date&gt;&lt;/pub-dates&gt;&lt;/dates&gt;&lt;isbn&gt;2150-7511 (Electronic)&lt;/isbn&gt;&lt;accession-num&gt;31164468&lt;/accession-num&gt;&lt;urls&gt;&lt;related-urls&gt;&lt;url&gt;https://www.ncbi.nlm.nih.gov/pubmed/31164468&lt;/url&gt;&lt;/related-urls&gt;&lt;/urls&gt;&lt;custom2&gt;PMC6550527&lt;/custom2&gt;&lt;electronic-resource-num&gt;10.1128/mBio.00971-19&lt;/electronic-resource-num&gt;&lt;/record&gt;&lt;/Cite&gt;&lt;/EndNote&gt;</w:instrText>
      </w:r>
      <w:r w:rsidRPr="00317BEE">
        <w:rPr>
          <w:rFonts w:ascii="Times New Roman" w:hAnsi="Times New Roman" w:cs="Times New Roman"/>
        </w:rPr>
        <w:fldChar w:fldCharType="separate"/>
      </w:r>
      <w:r w:rsidRPr="00317BEE">
        <w:rPr>
          <w:rFonts w:ascii="Times New Roman" w:hAnsi="Times New Roman" w:cs="Times New Roman"/>
          <w:noProof/>
          <w:vertAlign w:val="superscript"/>
        </w:rPr>
        <w:t>1</w:t>
      </w:r>
      <w:r w:rsidRPr="00317BEE">
        <w:rPr>
          <w:rFonts w:ascii="Times New Roman" w:hAnsi="Times New Roman" w:cs="Times New Roman"/>
        </w:rPr>
        <w:fldChar w:fldCharType="end"/>
      </w:r>
      <w:r w:rsidRPr="00317BEE">
        <w:rPr>
          <w:rFonts w:ascii="Times New Roman" w:hAnsi="Times New Roman" w:cs="Times New Roman"/>
        </w:rPr>
        <w:t xml:space="preserve">. Shown for each motif is the phage name, subcluster, and number of sites found in the genome. </w:t>
      </w:r>
    </w:p>
    <w:p w14:paraId="7C611CB8" w14:textId="77777777" w:rsidR="00AD4978" w:rsidRPr="00317BEE" w:rsidRDefault="00AD4978" w:rsidP="00875D82">
      <w:pPr>
        <w:rPr>
          <w:rFonts w:ascii="Times New Roman" w:hAnsi="Times New Roman" w:cs="Times New Roman"/>
        </w:rPr>
      </w:pPr>
    </w:p>
    <w:p w14:paraId="752C185A" w14:textId="77777777" w:rsidR="00461166" w:rsidRPr="00317BEE" w:rsidRDefault="00461166" w:rsidP="00875D82">
      <w:pPr>
        <w:rPr>
          <w:rFonts w:ascii="Times New Roman" w:hAnsi="Times New Roman" w:cs="Times New Roman"/>
        </w:rPr>
      </w:pPr>
    </w:p>
    <w:p w14:paraId="5027D2C7" w14:textId="77777777" w:rsidR="00461166" w:rsidRPr="00317BEE" w:rsidRDefault="00461166" w:rsidP="00461166">
      <w:pPr>
        <w:rPr>
          <w:rFonts w:ascii="Times New Roman" w:hAnsi="Times New Roman" w:cs="Times New Roman"/>
        </w:rPr>
      </w:pPr>
    </w:p>
    <w:p w14:paraId="52AD44EB" w14:textId="77777777" w:rsidR="00461166" w:rsidRPr="00317BEE" w:rsidRDefault="00461166" w:rsidP="00461166">
      <w:pPr>
        <w:rPr>
          <w:rFonts w:ascii="Times New Roman" w:hAnsi="Times New Roman" w:cs="Times New Roman"/>
        </w:rPr>
      </w:pPr>
    </w:p>
    <w:p w14:paraId="55066A53" w14:textId="67CD8F54" w:rsidR="00461166" w:rsidRPr="00317BEE" w:rsidRDefault="00EA6FD1" w:rsidP="0087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0078EF" wp14:editId="220CDDEE">
            <wp:extent cx="5943600" cy="7235190"/>
            <wp:effectExtent l="0" t="0" r="0" b="3810"/>
            <wp:docPr id="5864022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02204" name="Picture 5864022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3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CAB0" w14:textId="7188E53A" w:rsidR="00AD4978" w:rsidRPr="00317BEE" w:rsidRDefault="00AD4978" w:rsidP="00AD4978">
      <w:pPr>
        <w:rPr>
          <w:rFonts w:ascii="Times New Roman" w:hAnsi="Times New Roman" w:cs="Times New Roman"/>
          <w:b/>
          <w:bCs/>
        </w:rPr>
      </w:pPr>
      <w:r w:rsidRPr="00317BEE">
        <w:rPr>
          <w:rFonts w:ascii="Times New Roman" w:hAnsi="Times New Roman" w:cs="Times New Roman"/>
          <w:b/>
          <w:bCs/>
        </w:rPr>
        <w:t xml:space="preserve">Supplemental Figure 2: </w:t>
      </w:r>
      <w:r w:rsidRPr="00317BEE">
        <w:rPr>
          <w:rFonts w:ascii="Times New Roman" w:hAnsi="Times New Roman" w:cs="Times New Roman"/>
        </w:rPr>
        <w:t xml:space="preserve">Electrostatic surface potential renderings of cluster A repressors using either the crystal structure (A1 and A2) or AlphaFold models. Electrostatic surface potential renderings were performed using </w:t>
      </w:r>
      <w:proofErr w:type="spellStart"/>
      <w:r w:rsidRPr="00317BEE">
        <w:rPr>
          <w:rFonts w:ascii="Times New Roman" w:hAnsi="Times New Roman" w:cs="Times New Roman"/>
        </w:rPr>
        <w:t>Py</w:t>
      </w:r>
      <w:r w:rsidR="006C609C">
        <w:rPr>
          <w:rFonts w:ascii="Times New Roman" w:hAnsi="Times New Roman" w:cs="Times New Roman"/>
        </w:rPr>
        <w:t>MOL</w:t>
      </w:r>
      <w:proofErr w:type="spellEnd"/>
      <w:r w:rsidR="00EE186F" w:rsidRPr="00317BEE">
        <w:rPr>
          <w:rFonts w:ascii="Times New Roman" w:hAnsi="Times New Roman" w:cs="Times New Roman"/>
        </w:rPr>
        <w:t>, and f</w:t>
      </w:r>
      <w:r w:rsidRPr="00317BEE">
        <w:rPr>
          <w:rFonts w:ascii="Times New Roman" w:hAnsi="Times New Roman" w:cs="Times New Roman"/>
        </w:rPr>
        <w:t xml:space="preserve">or each </w:t>
      </w:r>
      <w:r w:rsidR="00EE186F" w:rsidRPr="00317BEE">
        <w:rPr>
          <w:rFonts w:ascii="Times New Roman" w:hAnsi="Times New Roman" w:cs="Times New Roman"/>
        </w:rPr>
        <w:t xml:space="preserve">AlphaFold </w:t>
      </w:r>
      <w:r w:rsidRPr="00317BEE">
        <w:rPr>
          <w:rFonts w:ascii="Times New Roman" w:hAnsi="Times New Roman" w:cs="Times New Roman"/>
        </w:rPr>
        <w:t xml:space="preserve">model the </w:t>
      </w:r>
      <w:proofErr w:type="spellStart"/>
      <w:r w:rsidRPr="00317BEE">
        <w:rPr>
          <w:rFonts w:ascii="Times New Roman" w:hAnsi="Times New Roman" w:cs="Times New Roman"/>
        </w:rPr>
        <w:t>iPTM</w:t>
      </w:r>
      <w:proofErr w:type="spellEnd"/>
      <w:r w:rsidRPr="00317BEE">
        <w:rPr>
          <w:rFonts w:ascii="Times New Roman" w:hAnsi="Times New Roman" w:cs="Times New Roman"/>
        </w:rPr>
        <w:t xml:space="preserve"> and PTM values are </w:t>
      </w:r>
      <w:r w:rsidR="00EE186F" w:rsidRPr="00317BEE">
        <w:rPr>
          <w:rFonts w:ascii="Times New Roman" w:hAnsi="Times New Roman" w:cs="Times New Roman"/>
        </w:rPr>
        <w:t>provided</w:t>
      </w:r>
      <w:r w:rsidRPr="00317BEE">
        <w:rPr>
          <w:rFonts w:ascii="Times New Roman" w:hAnsi="Times New Roman" w:cs="Times New Roman"/>
        </w:rPr>
        <w:t xml:space="preserve">. </w:t>
      </w:r>
    </w:p>
    <w:p w14:paraId="3A6D025B" w14:textId="79640691" w:rsidR="00C010DB" w:rsidRPr="00317BEE" w:rsidRDefault="00EA6FD1" w:rsidP="0087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5CD420" wp14:editId="7DCC4F58">
            <wp:extent cx="5815965" cy="5403273"/>
            <wp:effectExtent l="0" t="0" r="635" b="0"/>
            <wp:docPr id="9478856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885653" name="Picture 94788565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540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3F564" w14:textId="0094094F" w:rsidR="00AD4978" w:rsidRPr="00317BEE" w:rsidRDefault="00AD4978" w:rsidP="00875D82">
      <w:pPr>
        <w:rPr>
          <w:rFonts w:ascii="Times New Roman" w:hAnsi="Times New Roman" w:cs="Times New Roman"/>
        </w:rPr>
      </w:pPr>
    </w:p>
    <w:p w14:paraId="69ABF3EF" w14:textId="39899A5C" w:rsidR="00317BEE" w:rsidRPr="00317BEE" w:rsidRDefault="00317BEE" w:rsidP="00317BEE">
      <w:pPr>
        <w:rPr>
          <w:rFonts w:ascii="Times New Roman" w:hAnsi="Times New Roman" w:cs="Times New Roman"/>
          <w:b/>
          <w:bCs/>
        </w:rPr>
      </w:pPr>
      <w:r w:rsidRPr="00317BEE">
        <w:rPr>
          <w:rFonts w:ascii="Times New Roman" w:hAnsi="Times New Roman" w:cs="Times New Roman"/>
          <w:b/>
          <w:bCs/>
        </w:rPr>
        <w:t xml:space="preserve">Supplemental Figure 3: </w:t>
      </w:r>
      <w:r w:rsidRPr="00317BEE">
        <w:rPr>
          <w:rFonts w:ascii="Times New Roman" w:hAnsi="Times New Roman" w:cs="Times New Roman"/>
        </w:rPr>
        <w:t xml:space="preserve">Alignment of </w:t>
      </w:r>
      <w:proofErr w:type="spellStart"/>
      <w:r w:rsidRPr="00317BEE">
        <w:rPr>
          <w:rFonts w:ascii="Times New Roman" w:hAnsi="Times New Roman" w:cs="Times New Roman"/>
        </w:rPr>
        <w:t>Adahisdi</w:t>
      </w:r>
      <w:proofErr w:type="spellEnd"/>
      <w:r w:rsidRPr="00317BEE">
        <w:rPr>
          <w:rFonts w:ascii="Times New Roman" w:hAnsi="Times New Roman" w:cs="Times New Roman"/>
        </w:rPr>
        <w:t xml:space="preserve">, </w:t>
      </w:r>
      <w:proofErr w:type="spellStart"/>
      <w:r w:rsidRPr="00317BEE">
        <w:rPr>
          <w:rFonts w:ascii="Times New Roman" w:hAnsi="Times New Roman" w:cs="Times New Roman"/>
        </w:rPr>
        <w:t>TipsytheTRex</w:t>
      </w:r>
      <w:proofErr w:type="spellEnd"/>
      <w:r w:rsidRPr="00317BEE">
        <w:rPr>
          <w:rFonts w:ascii="Times New Roman" w:hAnsi="Times New Roman" w:cs="Times New Roman"/>
        </w:rPr>
        <w:t>, and representative sequences from each of the non-</w:t>
      </w:r>
      <w:r w:rsidR="00C544A3">
        <w:rPr>
          <w:rFonts w:ascii="Times New Roman" w:hAnsi="Times New Roman" w:cs="Times New Roman"/>
        </w:rPr>
        <w:t xml:space="preserve">A </w:t>
      </w:r>
      <w:r w:rsidRPr="00317BEE">
        <w:rPr>
          <w:rFonts w:ascii="Times New Roman" w:hAnsi="Times New Roman" w:cs="Times New Roman"/>
        </w:rPr>
        <w:t xml:space="preserve">cluster phages that have a cluster-A like repressor. Residue numbering and secondary structural elements are based on the </w:t>
      </w:r>
      <w:proofErr w:type="spellStart"/>
      <w:r w:rsidRPr="00317BEE">
        <w:rPr>
          <w:rFonts w:ascii="Times New Roman" w:hAnsi="Times New Roman" w:cs="Times New Roman"/>
        </w:rPr>
        <w:t>Adahisdi</w:t>
      </w:r>
      <w:proofErr w:type="spellEnd"/>
      <w:r w:rsidRPr="00317BEE">
        <w:rPr>
          <w:rFonts w:ascii="Times New Roman" w:hAnsi="Times New Roman" w:cs="Times New Roman"/>
        </w:rPr>
        <w:t xml:space="preserve"> sequence and structure and are color coded as in Figure</w:t>
      </w:r>
      <w:r>
        <w:rPr>
          <w:rFonts w:ascii="Times New Roman" w:hAnsi="Times New Roman" w:cs="Times New Roman"/>
        </w:rPr>
        <w:t xml:space="preserve"> 1.</w:t>
      </w:r>
      <w:r w:rsidRPr="00317B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Black o</w:t>
      </w:r>
      <w:r w:rsidRPr="00317BEE">
        <w:rPr>
          <w:rFonts w:ascii="Times New Roman" w:hAnsi="Times New Roman" w:cs="Times New Roman"/>
        </w:rPr>
        <w:t xml:space="preserve">vals and stars </w:t>
      </w:r>
      <w:r>
        <w:rPr>
          <w:rFonts w:ascii="Times New Roman" w:hAnsi="Times New Roman" w:cs="Times New Roman"/>
        </w:rPr>
        <w:t>indicate</w:t>
      </w:r>
      <w:r w:rsidRPr="00317BEE">
        <w:rPr>
          <w:rFonts w:ascii="Times New Roman" w:hAnsi="Times New Roman" w:cs="Times New Roman"/>
        </w:rPr>
        <w:t xml:space="preserve"> residues that bind the DNA backbone and bases, respectively, in the </w:t>
      </w:r>
      <w:proofErr w:type="spellStart"/>
      <w:r w:rsidRPr="00317BEE">
        <w:rPr>
          <w:rFonts w:ascii="Times New Roman" w:hAnsi="Times New Roman" w:cs="Times New Roman"/>
        </w:rPr>
        <w:t>Adahisdi</w:t>
      </w:r>
      <w:proofErr w:type="spellEnd"/>
      <w:r w:rsidRPr="00317BEE">
        <w:rPr>
          <w:rFonts w:ascii="Times New Roman" w:hAnsi="Times New Roman" w:cs="Times New Roman"/>
        </w:rPr>
        <w:t xml:space="preserve"> structure</w:t>
      </w:r>
      <w:r>
        <w:rPr>
          <w:rFonts w:ascii="Times New Roman" w:hAnsi="Times New Roman" w:cs="Times New Roman"/>
        </w:rPr>
        <w:t>, while t</w:t>
      </w:r>
      <w:r w:rsidRPr="00317BEE">
        <w:rPr>
          <w:rFonts w:ascii="Times New Roman" w:hAnsi="Times New Roman" w:cs="Times New Roman"/>
        </w:rPr>
        <w:t xml:space="preserve">he green star indicates a residue in the TipsytheTRex structure that directly contacts DNA, and the equivalent residue in </w:t>
      </w:r>
      <w:proofErr w:type="spellStart"/>
      <w:r w:rsidRPr="00317BEE">
        <w:rPr>
          <w:rFonts w:ascii="Times New Roman" w:hAnsi="Times New Roman" w:cs="Times New Roman"/>
        </w:rPr>
        <w:t>Adahisdi</w:t>
      </w:r>
      <w:proofErr w:type="spellEnd"/>
      <w:r w:rsidRPr="00317BEE">
        <w:rPr>
          <w:rFonts w:ascii="Times New Roman" w:hAnsi="Times New Roman" w:cs="Times New Roman"/>
        </w:rPr>
        <w:t xml:space="preserve"> does not contact a DNA base</w:t>
      </w:r>
      <w:r>
        <w:rPr>
          <w:rFonts w:ascii="Times New Roman" w:hAnsi="Times New Roman" w:cs="Times New Roman"/>
        </w:rPr>
        <w:t>.</w:t>
      </w:r>
    </w:p>
    <w:p w14:paraId="229DDE8F" w14:textId="77777777" w:rsidR="00317BEE" w:rsidRPr="00317BEE" w:rsidRDefault="00317BEE" w:rsidP="00875D82">
      <w:pPr>
        <w:rPr>
          <w:rFonts w:ascii="Times New Roman" w:hAnsi="Times New Roman" w:cs="Times New Roman"/>
        </w:rPr>
      </w:pPr>
    </w:p>
    <w:p w14:paraId="3895C8EA" w14:textId="77777777" w:rsidR="00AD4978" w:rsidRPr="00317BEE" w:rsidRDefault="00AD4978" w:rsidP="00875D82">
      <w:pPr>
        <w:rPr>
          <w:rFonts w:ascii="Times New Roman" w:hAnsi="Times New Roman" w:cs="Times New Roman"/>
        </w:rPr>
      </w:pPr>
    </w:p>
    <w:p w14:paraId="4629EEB5" w14:textId="77777777" w:rsidR="00AD4978" w:rsidRPr="00317BEE" w:rsidRDefault="00AD4978" w:rsidP="00AD4978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317BEE">
        <w:rPr>
          <w:rFonts w:ascii="Times New Roman" w:hAnsi="Times New Roman" w:cs="Times New Roman"/>
        </w:rPr>
        <w:lastRenderedPageBreak/>
        <w:fldChar w:fldCharType="begin"/>
      </w:r>
      <w:r w:rsidRPr="00317BEE">
        <w:rPr>
          <w:rFonts w:ascii="Times New Roman" w:hAnsi="Times New Roman" w:cs="Times New Roman"/>
        </w:rPr>
        <w:instrText xml:space="preserve"> ADDIN EN.REFLIST </w:instrText>
      </w:r>
      <w:r w:rsidRPr="00317BEE">
        <w:rPr>
          <w:rFonts w:ascii="Times New Roman" w:hAnsi="Times New Roman" w:cs="Times New Roman"/>
        </w:rPr>
        <w:fldChar w:fldCharType="separate"/>
      </w:r>
      <w:r w:rsidRPr="00317BEE">
        <w:rPr>
          <w:rFonts w:ascii="Times New Roman" w:hAnsi="Times New Roman" w:cs="Times New Roman"/>
          <w:noProof/>
        </w:rPr>
        <w:t>1.</w:t>
      </w:r>
      <w:r w:rsidRPr="00317BEE">
        <w:rPr>
          <w:rFonts w:ascii="Times New Roman" w:hAnsi="Times New Roman" w:cs="Times New Roman"/>
          <w:noProof/>
        </w:rPr>
        <w:tab/>
        <w:t xml:space="preserve">Mavrich, T.N. &amp; Hatfull, G.F. Evolution of Superinfection Immunity in Cluster A Mycobacteriophages. </w:t>
      </w:r>
      <w:r w:rsidRPr="00317BEE">
        <w:rPr>
          <w:rFonts w:ascii="Times New Roman" w:hAnsi="Times New Roman" w:cs="Times New Roman"/>
          <w:i/>
          <w:noProof/>
        </w:rPr>
        <w:t>mBio</w:t>
      </w:r>
      <w:r w:rsidRPr="00317BEE">
        <w:rPr>
          <w:rFonts w:ascii="Times New Roman" w:hAnsi="Times New Roman" w:cs="Times New Roman"/>
          <w:noProof/>
        </w:rPr>
        <w:t xml:space="preserve"> </w:t>
      </w:r>
      <w:r w:rsidRPr="00317BEE">
        <w:rPr>
          <w:rFonts w:ascii="Times New Roman" w:hAnsi="Times New Roman" w:cs="Times New Roman"/>
          <w:b/>
          <w:noProof/>
        </w:rPr>
        <w:t>10</w:t>
      </w:r>
      <w:r w:rsidRPr="00317BEE">
        <w:rPr>
          <w:rFonts w:ascii="Times New Roman" w:hAnsi="Times New Roman" w:cs="Times New Roman"/>
          <w:noProof/>
        </w:rPr>
        <w:t>(2019).</w:t>
      </w:r>
    </w:p>
    <w:p w14:paraId="3960F193" w14:textId="0D56633E" w:rsidR="00C010DB" w:rsidRPr="00317BEE" w:rsidRDefault="00AD4978" w:rsidP="00875D82">
      <w:pPr>
        <w:rPr>
          <w:rFonts w:ascii="Times New Roman" w:hAnsi="Times New Roman" w:cs="Times New Roman"/>
        </w:rPr>
      </w:pPr>
      <w:r w:rsidRPr="00317BEE">
        <w:rPr>
          <w:rFonts w:ascii="Times New Roman" w:hAnsi="Times New Roman" w:cs="Times New Roman"/>
        </w:rPr>
        <w:fldChar w:fldCharType="end"/>
      </w:r>
    </w:p>
    <w:sectPr w:rsidR="00C010DB" w:rsidRPr="00317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truct Mol Biol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vztd9xj2xfpneepp0xvxxbfffav25vzxra&quot;&gt;My EndNote Library&lt;record-ids&gt;&lt;item&gt;257&lt;/item&gt;&lt;/record-ids&gt;&lt;/item&gt;&lt;/Libraries&gt;"/>
  </w:docVars>
  <w:rsids>
    <w:rsidRoot w:val="00875D82"/>
    <w:rsid w:val="00150D44"/>
    <w:rsid w:val="00317BEE"/>
    <w:rsid w:val="003E4649"/>
    <w:rsid w:val="00461166"/>
    <w:rsid w:val="00634F68"/>
    <w:rsid w:val="006C609C"/>
    <w:rsid w:val="00714468"/>
    <w:rsid w:val="00847550"/>
    <w:rsid w:val="00875D82"/>
    <w:rsid w:val="00937F9C"/>
    <w:rsid w:val="00AD4978"/>
    <w:rsid w:val="00AF5534"/>
    <w:rsid w:val="00C010DB"/>
    <w:rsid w:val="00C06939"/>
    <w:rsid w:val="00C544A3"/>
    <w:rsid w:val="00C66948"/>
    <w:rsid w:val="00D7681C"/>
    <w:rsid w:val="00EA6FD1"/>
    <w:rsid w:val="00EE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3A343"/>
  <w15:chartTrackingRefBased/>
  <w15:docId w15:val="{CB5752CF-428E-8241-B178-A8941EE5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D82"/>
  </w:style>
  <w:style w:type="paragraph" w:styleId="Heading1">
    <w:name w:val="heading 1"/>
    <w:basedOn w:val="Normal"/>
    <w:next w:val="Normal"/>
    <w:link w:val="Heading1Char"/>
    <w:uiPriority w:val="9"/>
    <w:qFormat/>
    <w:rsid w:val="00875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D82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AD4978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4978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AD4978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AD4978"/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Wallen</dc:creator>
  <cp:keywords/>
  <dc:description/>
  <cp:lastModifiedBy>MINT</cp:lastModifiedBy>
  <cp:revision>4</cp:revision>
  <dcterms:created xsi:type="dcterms:W3CDTF">2026-08-26T20:42:00Z</dcterms:created>
  <dcterms:modified xsi:type="dcterms:W3CDTF">2026-08-26T21:35:00Z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2026-06-08T15:05:42Z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afe9c88f-5f43-4009-a5a0-ae71ada0663d</vt:lpwstr>
  </property>
  <property fmtid="{D5CDD505-2E9C-101B-9397-08002B2CF9AE}" pid="8" name="MSIP_Label_8d321b5f-a4ea-42e4-9273-2f91b9a1a708_ContentBits">
    <vt:lpwstr>0</vt:lpwstr>
  </property>
  <property fmtid="{D5CDD505-2E9C-101B-9397-08002B2CF9AE}" pid="9" name="MSIP_Label_8d321b5f-a4ea-42e4-9273-2f91b9a1a708_Tag">
    <vt:lpwstr>50, 3, 0, 1</vt:lpwstr>
  </property>
</Properties>
</file>