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4D64E6" w14:textId="4A752B01" w:rsidR="00566BB7" w:rsidRPr="00B64E05" w:rsidRDefault="00000000" w:rsidP="00406C78">
      <w:pPr>
        <w:pStyle w:val="Title"/>
        <w:spacing w:after="0" w:line="276" w:lineRule="auto"/>
        <w:jc w:val="both"/>
        <w:rPr>
          <w:rFonts w:ascii="Arial" w:hAnsi="Arial" w:cs="Arial"/>
          <w:b/>
          <w:bCs/>
          <w:color w:val="000000" w:themeColor="text1"/>
          <w:sz w:val="24"/>
          <w:szCs w:val="24"/>
        </w:rPr>
      </w:pPr>
      <w:r w:rsidRPr="00B64E05">
        <w:rPr>
          <w:rFonts w:ascii="Arial" w:hAnsi="Arial" w:cs="Arial"/>
          <w:b/>
          <w:bCs/>
          <w:color w:val="000000" w:themeColor="text1"/>
          <w:sz w:val="24"/>
          <w:szCs w:val="24"/>
        </w:rPr>
        <w:t xml:space="preserve">Supplementary </w:t>
      </w:r>
      <w:r w:rsidR="00B5450B" w:rsidRPr="00B64E05">
        <w:rPr>
          <w:rFonts w:ascii="Arial" w:hAnsi="Arial" w:cs="Arial"/>
          <w:b/>
          <w:bCs/>
          <w:color w:val="000000" w:themeColor="text1"/>
          <w:sz w:val="24"/>
          <w:szCs w:val="24"/>
        </w:rPr>
        <w:t>Material</w:t>
      </w:r>
    </w:p>
    <w:p w14:paraId="24248DA5" w14:textId="2A383E84" w:rsidR="00566BB7" w:rsidRPr="00B64E05" w:rsidRDefault="00000000" w:rsidP="00406C78">
      <w:pPr>
        <w:spacing w:after="0"/>
        <w:jc w:val="both"/>
        <w:rPr>
          <w:rFonts w:ascii="Arial" w:hAnsi="Arial" w:cs="Arial"/>
          <w:color w:val="000000" w:themeColor="text1"/>
        </w:rPr>
      </w:pPr>
      <w:r w:rsidRPr="00B64E05">
        <w:rPr>
          <w:rFonts w:ascii="Arial" w:hAnsi="Arial" w:cs="Arial"/>
          <w:color w:val="000000" w:themeColor="text1"/>
        </w:rPr>
        <w:t>Supplement to "</w:t>
      </w:r>
      <w:r w:rsidR="00CF0D45" w:rsidRPr="00B64E05">
        <w:rPr>
          <w:rFonts w:ascii="Arial" w:hAnsi="Arial" w:cs="Arial"/>
          <w:color w:val="000000" w:themeColor="text1"/>
        </w:rPr>
        <w:t xml:space="preserve"> Equity-aware stochastic optimization of mammography screening facility location under demand and capacity uncertainty</w:t>
      </w:r>
      <w:r w:rsidRPr="00B64E05">
        <w:rPr>
          <w:rFonts w:ascii="Arial" w:hAnsi="Arial" w:cs="Arial"/>
          <w:color w:val="000000" w:themeColor="text1"/>
        </w:rPr>
        <w:t xml:space="preserve">." The complete model formulation, including all equations, is given in the main-text Methods; this document provides the supporting detail that the Methods summarizes: the screening/diagnostic coding algorithm (S1), the facility-capacity estimation procedure and priors (S2), the candidate-site generation procedure (S3), and the scenario construction, model notation, and computational implementation (S4). </w:t>
      </w:r>
    </w:p>
    <w:p w14:paraId="295AAE5C" w14:textId="77777777" w:rsidR="00566BB7" w:rsidRPr="00B64E05" w:rsidRDefault="00000000" w:rsidP="00406C78">
      <w:pPr>
        <w:pStyle w:val="Heading1"/>
        <w:jc w:val="both"/>
        <w:rPr>
          <w:rFonts w:ascii="Arial" w:hAnsi="Arial" w:cs="Arial"/>
          <w:color w:val="000000" w:themeColor="text1"/>
          <w:sz w:val="22"/>
          <w:szCs w:val="22"/>
        </w:rPr>
      </w:pPr>
      <w:r w:rsidRPr="00B64E05">
        <w:rPr>
          <w:rFonts w:ascii="Arial" w:hAnsi="Arial" w:cs="Arial"/>
          <w:color w:val="000000" w:themeColor="text1"/>
          <w:sz w:val="22"/>
          <w:szCs w:val="22"/>
        </w:rPr>
        <w:t>S1. Classification of screening versus diagnostic mammography</w:t>
      </w:r>
    </w:p>
    <w:p w14:paraId="16DFDAD6" w14:textId="77777777" w:rsidR="00566BB7" w:rsidRPr="00B64E05" w:rsidRDefault="00000000" w:rsidP="00406C78">
      <w:pPr>
        <w:spacing w:after="0"/>
        <w:jc w:val="both"/>
        <w:rPr>
          <w:rFonts w:ascii="Arial" w:hAnsi="Arial" w:cs="Arial"/>
          <w:color w:val="000000" w:themeColor="text1"/>
        </w:rPr>
      </w:pPr>
      <w:r w:rsidRPr="00B64E05">
        <w:rPr>
          <w:rFonts w:ascii="Arial" w:hAnsi="Arial" w:cs="Arial"/>
          <w:color w:val="000000" w:themeColor="text1"/>
        </w:rPr>
        <w:t>Observed volumes were obtained from the 2024 Texas Health Care Information Collection (THCIC) outpatient public-use data files. Claims containing HCPCS 77067 were classified as screening examinations; 77063 was not counted separately because it is billed as an add-on to 77067. Records containing 77065, 77066, 77061, or 77062 without 77067 were classified as diagnostic-only and were excluded from screening throughput so that diagnostic activity did not inflate the capacity available for screening.</w:t>
      </w:r>
    </w:p>
    <w:p w14:paraId="24DB0E4C" w14:textId="77777777" w:rsidR="00566BB7" w:rsidRPr="00B64E05" w:rsidRDefault="00000000" w:rsidP="00406C78">
      <w:pPr>
        <w:pStyle w:val="Heading1"/>
        <w:jc w:val="both"/>
        <w:rPr>
          <w:rFonts w:ascii="Arial" w:hAnsi="Arial" w:cs="Arial"/>
          <w:color w:val="000000" w:themeColor="text1"/>
          <w:sz w:val="22"/>
          <w:szCs w:val="22"/>
        </w:rPr>
      </w:pPr>
      <w:r w:rsidRPr="00B64E05">
        <w:rPr>
          <w:rFonts w:ascii="Arial" w:hAnsi="Arial" w:cs="Arial"/>
          <w:color w:val="000000" w:themeColor="text1"/>
          <w:sz w:val="22"/>
          <w:szCs w:val="22"/>
        </w:rPr>
        <w:t>S2. Facility-capacity estimation</w:t>
      </w:r>
    </w:p>
    <w:p w14:paraId="02C04930" w14:textId="77777777" w:rsidR="00566BB7" w:rsidRPr="00B64E05" w:rsidRDefault="00000000" w:rsidP="00406C78">
      <w:pPr>
        <w:spacing w:after="0"/>
        <w:jc w:val="both"/>
        <w:rPr>
          <w:rFonts w:ascii="Arial" w:hAnsi="Arial" w:cs="Arial"/>
          <w:color w:val="000000" w:themeColor="text1"/>
        </w:rPr>
      </w:pPr>
      <w:r w:rsidRPr="00B64E05">
        <w:rPr>
          <w:rFonts w:ascii="Arial" w:hAnsi="Arial" w:cs="Arial"/>
          <w:color w:val="000000" w:themeColor="text1"/>
        </w:rPr>
        <w:t>The optimization model requires an annual screening-mammography capacity for each of the 615 MQSA-certified Texas facilities. Because facility-level capacity is not publicly reported, we estimated a screening-specific physical capacity from observed throughput where available and from facility-class unit priors otherwise.</w:t>
      </w:r>
    </w:p>
    <w:p w14:paraId="25C4662B" w14:textId="77777777" w:rsidR="00566BB7" w:rsidRPr="00B64E05" w:rsidRDefault="00000000" w:rsidP="00406C78">
      <w:pPr>
        <w:pStyle w:val="Heading2"/>
        <w:jc w:val="both"/>
        <w:rPr>
          <w:rFonts w:ascii="Arial" w:hAnsi="Arial" w:cs="Arial"/>
          <w:color w:val="000000" w:themeColor="text1"/>
          <w:sz w:val="22"/>
          <w:szCs w:val="22"/>
        </w:rPr>
      </w:pPr>
      <w:r w:rsidRPr="00B64E05">
        <w:rPr>
          <w:rFonts w:ascii="Arial" w:hAnsi="Arial" w:cs="Arial"/>
          <w:color w:val="000000" w:themeColor="text1"/>
          <w:sz w:val="22"/>
          <w:szCs w:val="22"/>
        </w:rPr>
        <w:t>S2.1 Facility matching</w:t>
      </w:r>
    </w:p>
    <w:p w14:paraId="7A904E25" w14:textId="77777777" w:rsidR="00566BB7" w:rsidRPr="00B64E05" w:rsidRDefault="00000000" w:rsidP="00406C78">
      <w:pPr>
        <w:spacing w:after="0"/>
        <w:jc w:val="both"/>
        <w:rPr>
          <w:rFonts w:ascii="Arial" w:hAnsi="Arial" w:cs="Arial"/>
          <w:color w:val="000000" w:themeColor="text1"/>
        </w:rPr>
      </w:pPr>
      <w:r w:rsidRPr="00B64E05">
        <w:rPr>
          <w:rFonts w:ascii="Arial" w:hAnsi="Arial" w:cs="Arial"/>
          <w:color w:val="000000" w:themeColor="text1"/>
        </w:rPr>
        <w:t>THCIC facility identifiers were linked to the FDA/MQSA facility list using name-based matching constrained by metropolitan area and health-system brand. Among the 311 THCIC facilities, 109 automated matches had a similarity score of at least 90, including 95 with scores of at least 95; the median score was 82.8. The 55 highest-volume facilities, representing approximately 62% of THCIC screening volume, were manually verified as county-correct. To avoid double counting facilities sharing a census tract, observed volume was keyed by facility name and 11-digit tract GEOID rather than GEOID alone. Combined automated and curated matching assigned observed annual screening volume to 133 MQSA facilities; the remaining 482 facilities were treated as unmeasured and assigned accreditation-class priors.</w:t>
      </w:r>
    </w:p>
    <w:p w14:paraId="0D12E013" w14:textId="77777777" w:rsidR="00566BB7" w:rsidRPr="00B64E05" w:rsidRDefault="00000000" w:rsidP="00406C78">
      <w:pPr>
        <w:pStyle w:val="Heading2"/>
        <w:jc w:val="both"/>
        <w:rPr>
          <w:rFonts w:ascii="Arial" w:hAnsi="Arial" w:cs="Arial"/>
          <w:color w:val="000000" w:themeColor="text1"/>
          <w:sz w:val="22"/>
          <w:szCs w:val="22"/>
        </w:rPr>
      </w:pPr>
      <w:r w:rsidRPr="00B64E05">
        <w:rPr>
          <w:rFonts w:ascii="Arial" w:hAnsi="Arial" w:cs="Arial"/>
          <w:color w:val="000000" w:themeColor="text1"/>
          <w:sz w:val="22"/>
          <w:szCs w:val="22"/>
        </w:rPr>
        <w:t>S2.2 Unit inference and capacity</w:t>
      </w:r>
    </w:p>
    <w:p w14:paraId="4990F790" w14:textId="3C1C8572" w:rsidR="00566BB7" w:rsidRPr="00B64E05" w:rsidRDefault="00000000" w:rsidP="00406C78">
      <w:pPr>
        <w:spacing w:after="0"/>
        <w:jc w:val="both"/>
        <w:rPr>
          <w:rFonts w:ascii="Arial" w:hAnsi="Arial" w:cs="Arial"/>
          <w:color w:val="000000" w:themeColor="text1"/>
        </w:rPr>
      </w:pPr>
      <w:r w:rsidRPr="00B64E05">
        <w:rPr>
          <w:rFonts w:ascii="Arial" w:hAnsi="Arial" w:cs="Arial"/>
          <w:color w:val="000000" w:themeColor="text1"/>
        </w:rPr>
        <w:t xml:space="preserve">Let </w:t>
      </w:r>
      <m:oMath>
        <m:sSup>
          <m:sSupPr>
            <m:ctrlPr>
              <w:rPr>
                <w:rFonts w:ascii="Cambria Math" w:hAnsi="Cambria Math" w:cs="Arial"/>
                <w:i/>
                <w:color w:val="000000" w:themeColor="text1"/>
              </w:rPr>
            </m:ctrlPr>
          </m:sSupPr>
          <m:e>
            <m:r>
              <w:rPr>
                <w:rFonts w:ascii="Cambria Math" w:hAnsi="Cambria Math" w:cs="Arial"/>
                <w:color w:val="000000" w:themeColor="text1"/>
              </w:rPr>
              <m:t>J</m:t>
            </m:r>
          </m:e>
          <m:sup>
            <m:r>
              <w:rPr>
                <w:rFonts w:ascii="Cambria Math" w:hAnsi="Cambria Math" w:cs="Arial"/>
                <w:color w:val="000000" w:themeColor="text1"/>
              </w:rPr>
              <m:t>M</m:t>
            </m:r>
          </m:sup>
        </m:sSup>
      </m:oMath>
      <w:r w:rsidRPr="00B64E05">
        <w:rPr>
          <w:rFonts w:ascii="Arial" w:hAnsi="Arial" w:cs="Arial"/>
          <w:color w:val="000000" w:themeColor="text1"/>
        </w:rPr>
        <w:t xml:space="preserve">denote the set of measured facilities and </w:t>
      </w:r>
      <m:oMath>
        <m:sSup>
          <m:sSupPr>
            <m:ctrlPr>
              <w:rPr>
                <w:rFonts w:ascii="Cambria Math" w:hAnsi="Cambria Math" w:cs="Arial"/>
                <w:i/>
                <w:color w:val="000000" w:themeColor="text1"/>
              </w:rPr>
            </m:ctrlPr>
          </m:sSupPr>
          <m:e>
            <m:r>
              <w:rPr>
                <w:rFonts w:ascii="Cambria Math" w:hAnsi="Cambria Math" w:cs="Arial"/>
                <w:color w:val="000000" w:themeColor="text1"/>
              </w:rPr>
              <m:t>J</m:t>
            </m:r>
          </m:e>
          <m:sup>
            <m:r>
              <w:rPr>
                <w:rFonts w:ascii="Cambria Math" w:hAnsi="Cambria Math" w:cs="Arial"/>
                <w:color w:val="000000" w:themeColor="text1"/>
              </w:rPr>
              <m:t>U</m:t>
            </m:r>
          </m:sup>
        </m:sSup>
        <m:r>
          <w:rPr>
            <w:rFonts w:ascii="Cambria Math" w:hAnsi="Cambria Math" w:cs="Arial"/>
            <w:color w:val="000000" w:themeColor="text1"/>
          </w:rPr>
          <m:t xml:space="preserve"> </m:t>
        </m:r>
      </m:oMath>
      <w:r w:rsidRPr="00B64E05">
        <w:rPr>
          <w:rFonts w:ascii="Arial" w:hAnsi="Arial" w:cs="Arial"/>
          <w:color w:val="000000" w:themeColor="text1"/>
        </w:rPr>
        <w:t xml:space="preserve">the set of unmeasured facilities. For a measured facility </w:t>
      </w:r>
      <m:oMath>
        <m:r>
          <w:rPr>
            <w:rFonts w:ascii="Cambria Math" w:hAnsi="Cambria Math" w:cs="Arial"/>
            <w:color w:val="000000" w:themeColor="text1"/>
          </w:rPr>
          <m:t xml:space="preserve">j </m:t>
        </m:r>
      </m:oMath>
      <w:r w:rsidRPr="00B64E05">
        <w:rPr>
          <w:rFonts w:ascii="Arial" w:hAnsi="Arial" w:cs="Arial"/>
          <w:color w:val="000000" w:themeColor="text1"/>
        </w:rPr>
        <w:t>with observed annual screening volume</w:t>
      </w:r>
      <w:r w:rsidR="00B64E05">
        <w:rPr>
          <w:rFonts w:ascii="Arial" w:hAnsi="Arial" w:cs="Arial"/>
          <w:color w:val="000000" w:themeColor="text1"/>
        </w:rPr>
        <w:t xml:space="preserve"> </w:t>
      </w:r>
      <m:oMath>
        <m:sSub>
          <m:sSubPr>
            <m:ctrlPr>
              <w:rPr>
                <w:rFonts w:ascii="Cambria Math" w:hAnsi="Cambria Math" w:cs="Arial"/>
                <w:i/>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j</m:t>
            </m:r>
          </m:sub>
        </m:sSub>
      </m:oMath>
      <w:r w:rsidRPr="00B64E05">
        <w:rPr>
          <w:rFonts w:ascii="Arial" w:hAnsi="Arial" w:cs="Arial"/>
          <w:color w:val="000000" w:themeColor="text1"/>
        </w:rPr>
        <w:t xml:space="preserve">, let </w:t>
      </w:r>
      <m:oMath>
        <m:r>
          <w:rPr>
            <w:rFonts w:ascii="Cambria Math" w:hAnsi="Cambria Math" w:cs="Arial"/>
            <w:color w:val="000000" w:themeColor="text1"/>
          </w:rPr>
          <m:t>C</m:t>
        </m:r>
      </m:oMath>
      <w:r w:rsidRPr="00B64E05">
        <w:rPr>
          <w:rFonts w:ascii="Arial" w:hAnsi="Arial" w:cs="Arial"/>
          <w:color w:val="000000" w:themeColor="text1"/>
        </w:rPr>
        <w:t xml:space="preserve"> be the annual screening capacity of one mammography unit, </w:t>
      </w:r>
      <m:oMath>
        <m:sSub>
          <m:sSubPr>
            <m:ctrlPr>
              <w:rPr>
                <w:rFonts w:ascii="Cambria Math" w:hAnsi="Cambria Math" w:cs="Arial"/>
                <w:i/>
                <w:color w:val="000000" w:themeColor="text1"/>
              </w:rPr>
            </m:ctrlPr>
          </m:sSubPr>
          <m:e>
            <m:r>
              <w:rPr>
                <w:rFonts w:ascii="Cambria Math" w:hAnsi="Cambria Math" w:cs="Arial"/>
                <w:color w:val="000000" w:themeColor="text1"/>
              </w:rPr>
              <m:t>u</m:t>
            </m:r>
          </m:e>
          <m:sub>
            <m:r>
              <w:rPr>
                <w:rFonts w:ascii="Cambria Math" w:hAnsi="Cambria Math" w:cs="Arial"/>
                <w:color w:val="000000" w:themeColor="text1"/>
              </w:rPr>
              <m:t>max</m:t>
            </m:r>
          </m:sub>
        </m:sSub>
      </m:oMath>
      <w:r w:rsidRPr="00B64E05">
        <w:rPr>
          <w:rFonts w:ascii="Arial" w:hAnsi="Arial" w:cs="Arial"/>
          <w:color w:val="000000" w:themeColor="text1"/>
        </w:rPr>
        <w:t xml:space="preserve"> the maximum number of units credited to one facility, and </w:t>
      </w:r>
      <m:oMath>
        <m:r>
          <w:rPr>
            <w:rFonts w:ascii="Cambria Math" w:hAnsi="Cambria Math" w:cs="Arial"/>
            <w:color w:val="000000" w:themeColor="text1"/>
          </w:rPr>
          <m:t>ρ</m:t>
        </m:r>
      </m:oMath>
      <w:r w:rsidRPr="00B64E05">
        <w:rPr>
          <w:rFonts w:ascii="Arial" w:hAnsi="Arial" w:cs="Arial"/>
          <w:color w:val="000000" w:themeColor="text1"/>
        </w:rPr>
        <w:t xml:space="preserve"> the assumed per-unit utilization. The credited number of units was inferred as the smallest number able to produce </w:t>
      </w:r>
      <m:oMath>
        <m:sSub>
          <m:sSubPr>
            <m:ctrlPr>
              <w:rPr>
                <w:rFonts w:ascii="Cambria Math" w:hAnsi="Cambria Math" w:cs="Arial"/>
                <w:i/>
                <w:color w:val="000000" w:themeColor="text1"/>
              </w:rPr>
            </m:ctrlPr>
          </m:sSubPr>
          <m:e>
            <m:r>
              <w:rPr>
                <w:rFonts w:ascii="Cambria Math" w:hAnsi="Cambria Math" w:cs="Arial"/>
                <w:color w:val="000000" w:themeColor="text1"/>
              </w:rPr>
              <m:t>v</m:t>
            </m:r>
          </m:e>
          <m:sub>
            <m:r>
              <w:rPr>
                <w:rFonts w:ascii="Cambria Math" w:hAnsi="Cambria Math" w:cs="Arial"/>
                <w:color w:val="000000" w:themeColor="text1"/>
              </w:rPr>
              <m:t>j</m:t>
            </m:r>
          </m:sub>
        </m:sSub>
      </m:oMath>
      <w:r w:rsidRPr="00B64E05">
        <w:rPr>
          <w:rFonts w:ascii="Arial" w:hAnsi="Arial" w:cs="Arial"/>
          <w:color w:val="000000" w:themeColor="text1"/>
        </w:rPr>
        <w:t xml:space="preserve"> at utilization </w:t>
      </w:r>
      <m:oMath>
        <m:r>
          <w:rPr>
            <w:rFonts w:ascii="Cambria Math" w:hAnsi="Cambria Math" w:cs="Arial"/>
            <w:color w:val="000000" w:themeColor="text1"/>
          </w:rPr>
          <m:t>ρ</m:t>
        </m:r>
      </m:oMath>
      <w:r w:rsidRPr="00B64E05">
        <w:rPr>
          <w:rFonts w:ascii="Arial" w:hAnsi="Arial" w:cs="Arial"/>
          <w:color w:val="000000" w:themeColor="text1"/>
        </w:rPr>
        <w:t xml:space="preserve">, capped at </w:t>
      </w:r>
      <m:oMath>
        <m:sSub>
          <m:sSubPr>
            <m:ctrlPr>
              <w:rPr>
                <w:rFonts w:ascii="Cambria Math" w:hAnsi="Cambria Math" w:cs="Arial"/>
                <w:i/>
                <w:color w:val="000000" w:themeColor="text1"/>
              </w:rPr>
            </m:ctrlPr>
          </m:sSubPr>
          <m:e>
            <m:r>
              <w:rPr>
                <w:rFonts w:ascii="Cambria Math" w:hAnsi="Cambria Math" w:cs="Arial"/>
                <w:color w:val="000000" w:themeColor="text1"/>
              </w:rPr>
              <m:t>u</m:t>
            </m:r>
          </m:e>
          <m:sub>
            <m:r>
              <w:rPr>
                <w:rFonts w:ascii="Cambria Math" w:hAnsi="Cambria Math" w:cs="Arial"/>
                <w:color w:val="000000" w:themeColor="text1"/>
              </w:rPr>
              <m:t>max</m:t>
            </m:r>
          </m:sub>
        </m:sSub>
      </m:oMath>
      <w:r w:rsidRPr="00B64E05">
        <w:rPr>
          <w:rFonts w:ascii="Arial" w:hAnsi="Arial" w:cs="Arial"/>
          <w:color w:val="000000" w:themeColor="text1"/>
        </w:rPr>
        <w:t xml:space="preserve">, and the estimated annual screening capacity </w:t>
      </w:r>
      <m:oMath>
        <m:sSub>
          <m:sSubPr>
            <m:ctrlPr>
              <w:rPr>
                <w:rFonts w:ascii="Cambria Math" w:hAnsi="Cambria Math" w:cs="Arial"/>
                <w:color w:val="000000" w:themeColor="text1"/>
              </w:rPr>
            </m:ctrlPr>
          </m:sSubPr>
          <m:e>
            <m:r>
              <w:rPr>
                <w:rFonts w:ascii="Cambria Math" w:hAnsi="Cambria Math" w:cs="Arial"/>
                <w:color w:val="000000" w:themeColor="text1"/>
              </w:rPr>
              <m:t>κ</m:t>
            </m:r>
          </m:e>
          <m:sub>
            <m:r>
              <w:rPr>
                <w:rFonts w:ascii="Cambria Math" w:hAnsi="Cambria Math" w:cs="Arial"/>
                <w:color w:val="000000" w:themeColor="text1"/>
              </w:rPr>
              <m:t>j</m:t>
            </m:r>
          </m:sub>
        </m:sSub>
        <m:r>
          <w:rPr>
            <w:rFonts w:ascii="Cambria Math" w:hAnsi="Cambria Math" w:cs="Arial"/>
            <w:color w:val="000000" w:themeColor="text1"/>
          </w:rPr>
          <m:t xml:space="preserve"> </m:t>
        </m:r>
      </m:oMath>
      <w:r w:rsidRPr="00B64E05">
        <w:rPr>
          <w:rFonts w:ascii="Arial" w:hAnsi="Arial" w:cs="Arial"/>
          <w:color w:val="000000" w:themeColor="text1"/>
        </w:rPr>
        <w:t xml:space="preserve">is that unit count multiplied by </w:t>
      </w:r>
      <m:oMath>
        <m:r>
          <w:rPr>
            <w:rFonts w:ascii="Cambria Math" w:hAnsi="Cambria Math" w:cs="Arial"/>
            <w:color w:val="000000" w:themeColor="text1"/>
          </w:rPr>
          <m:t>C</m:t>
        </m:r>
      </m:oMath>
      <w:r w:rsidRPr="00B64E05">
        <w:rPr>
          <w:rFonts w:ascii="Arial" w:hAnsi="Arial" w:cs="Arial"/>
          <w:color w:val="000000" w:themeColor="text1"/>
        </w:rPr>
        <w:t>, as given in the main-text Methods.</w:t>
      </w:r>
      <w:r w:rsidR="00B64E05">
        <w:rPr>
          <w:rFonts w:ascii="Arial" w:hAnsi="Arial" w:cs="Arial"/>
          <w:color w:val="000000" w:themeColor="text1"/>
        </w:rPr>
        <w:t xml:space="preserve"> </w:t>
      </w:r>
      <m:oMath>
        <m:r>
          <w:rPr>
            <w:rFonts w:ascii="Cambria Math" w:hAnsi="Cambria Math" w:cs="Arial"/>
            <w:color w:val="000000" w:themeColor="text1"/>
          </w:rPr>
          <m:t>ρ = 1.0</m:t>
        </m:r>
      </m:oMath>
      <w:r w:rsidRPr="00B64E05">
        <w:rPr>
          <w:rFonts w:ascii="Arial" w:hAnsi="Arial" w:cs="Arial"/>
          <w:color w:val="000000" w:themeColor="text1"/>
        </w:rPr>
        <w:t xml:space="preserve"> represents the conservative assumption that the observed volume was produced using the fewest, nearly fully utilized units; lower </w:t>
      </w:r>
      <m:oMath>
        <m:r>
          <w:rPr>
            <w:rFonts w:ascii="Cambria Math" w:hAnsi="Cambria Math" w:cs="Arial"/>
            <w:color w:val="000000" w:themeColor="text1"/>
          </w:rPr>
          <m:t>ρ</m:t>
        </m:r>
      </m:oMath>
      <w:r w:rsidRPr="00B64E05">
        <w:rPr>
          <w:rFonts w:ascii="Arial" w:hAnsi="Arial" w:cs="Arial"/>
          <w:color w:val="000000" w:themeColor="text1"/>
        </w:rPr>
        <w:t xml:space="preserve"> implies lower utilization and therefore more installed units to explain the same observed volume. The utilization parameter is used only to infer the unit count; the estimated capacity is not subsequently multiplied by </w:t>
      </w:r>
      <m:oMath>
        <m:r>
          <w:rPr>
            <w:rFonts w:ascii="Cambria Math" w:hAnsi="Cambria Math" w:cs="Arial"/>
            <w:color w:val="000000" w:themeColor="text1"/>
          </w:rPr>
          <m:t>ρ</m:t>
        </m:r>
      </m:oMath>
      <w:r w:rsidRPr="00B64E05">
        <w:rPr>
          <w:rFonts w:ascii="Arial" w:hAnsi="Arial" w:cs="Arial"/>
          <w:color w:val="000000" w:themeColor="text1"/>
        </w:rPr>
        <w:t xml:space="preserve">. For an unmeasured facility, the unit count was assigned by facility class (imaging centers, breast centers, and "other" received the dedicated-imaging prior; hospitals and clinics received the general-facility </w:t>
      </w:r>
      <w:r w:rsidRPr="00B64E05">
        <w:rPr>
          <w:rFonts w:ascii="Arial" w:hAnsi="Arial" w:cs="Arial"/>
          <w:color w:val="000000" w:themeColor="text1"/>
        </w:rPr>
        <w:lastRenderedPageBreak/>
        <w:t xml:space="preserve">prior), with </w:t>
      </w:r>
      <m:oMath>
        <m:sSub>
          <m:sSubPr>
            <m:ctrlPr>
              <w:rPr>
                <w:rFonts w:ascii="Cambria Math" w:hAnsi="Cambria Math" w:cs="Arial"/>
                <w:color w:val="000000" w:themeColor="text1"/>
              </w:rPr>
            </m:ctrlPr>
          </m:sSubPr>
          <m:e>
            <m:r>
              <w:rPr>
                <w:rFonts w:ascii="Cambria Math" w:hAnsi="Cambria Math" w:cs="Arial"/>
                <w:color w:val="000000" w:themeColor="text1"/>
              </w:rPr>
              <m:t>κ</m:t>
            </m:r>
          </m:e>
          <m:sub>
            <m:r>
              <w:rPr>
                <w:rFonts w:ascii="Cambria Math" w:hAnsi="Cambria Math" w:cs="Arial"/>
                <w:color w:val="000000" w:themeColor="text1"/>
              </w:rPr>
              <m:t>j</m:t>
            </m:r>
          </m:sub>
        </m:sSub>
        <m:r>
          <w:rPr>
            <w:rFonts w:ascii="Cambria Math" w:hAnsi="Cambria Math" w:cs="Arial"/>
            <w:color w:val="000000" w:themeColor="text1"/>
          </w:rPr>
          <m:t xml:space="preserve"> </m:t>
        </m:r>
      </m:oMath>
      <w:r w:rsidRPr="00B64E05">
        <w:rPr>
          <w:rFonts w:ascii="Arial" w:hAnsi="Arial" w:cs="Arial"/>
          <w:color w:val="000000" w:themeColor="text1"/>
        </w:rPr>
        <w:t>equal to the class prior and therefore constant across utilization states. Class priors were selected with reference to the median inferred unit counts among measured facilities (Table S1).</w:t>
      </w:r>
    </w:p>
    <w:p w14:paraId="59763EA8" w14:textId="25BAB571" w:rsidR="00566BB7" w:rsidRPr="00B64E05" w:rsidRDefault="00000000" w:rsidP="00406C78">
      <w:pPr>
        <w:spacing w:after="0"/>
        <w:jc w:val="both"/>
        <w:rPr>
          <w:rFonts w:ascii="Arial" w:hAnsi="Arial" w:cs="Arial"/>
          <w:color w:val="000000" w:themeColor="text1"/>
        </w:rPr>
      </w:pPr>
      <w:r w:rsidRPr="00B64E05">
        <w:rPr>
          <w:rFonts w:ascii="Arial" w:hAnsi="Arial" w:cs="Arial"/>
          <w:b/>
          <w:bCs/>
          <w:i/>
          <w:color w:val="000000" w:themeColor="text1"/>
        </w:rPr>
        <w:t xml:space="preserve">Table S1. </w:t>
      </w:r>
      <w:r w:rsidRPr="00B64E05">
        <w:rPr>
          <w:rFonts w:ascii="Arial" w:hAnsi="Arial" w:cs="Arial"/>
          <w:i/>
          <w:color w:val="000000" w:themeColor="text1"/>
        </w:rPr>
        <w:t>Facility-class priors used for facilities without observed THCIC screening volume.</w:t>
      </w:r>
    </w:p>
    <w:tbl>
      <w:tblPr>
        <w:tblStyle w:val="TableGrid"/>
        <w:tblW w:w="0" w:type="auto"/>
        <w:tblInd w:w="378" w:type="dxa"/>
        <w:tblLook w:val="04A0" w:firstRow="1" w:lastRow="0" w:firstColumn="1" w:lastColumn="0" w:noHBand="0" w:noVBand="1"/>
      </w:tblPr>
      <w:tblGrid>
        <w:gridCol w:w="2610"/>
        <w:gridCol w:w="1980"/>
        <w:gridCol w:w="1512"/>
        <w:gridCol w:w="2160"/>
      </w:tblGrid>
      <w:tr w:rsidR="00566BB7" w:rsidRPr="00B64E05" w14:paraId="001FB443" w14:textId="77777777" w:rsidTr="00B64E05">
        <w:tc>
          <w:tcPr>
            <w:tcW w:w="2610" w:type="dxa"/>
          </w:tcPr>
          <w:p w14:paraId="284E89BA" w14:textId="77777777" w:rsidR="00566BB7" w:rsidRPr="00B64E05" w:rsidRDefault="00000000" w:rsidP="00406C78">
            <w:pPr>
              <w:spacing w:line="276" w:lineRule="auto"/>
              <w:jc w:val="both"/>
              <w:rPr>
                <w:rFonts w:ascii="Arial" w:hAnsi="Arial" w:cs="Arial"/>
                <w:b/>
                <w:bCs/>
                <w:color w:val="000000" w:themeColor="text1"/>
              </w:rPr>
            </w:pPr>
            <w:r w:rsidRPr="00B64E05">
              <w:rPr>
                <w:rFonts w:ascii="Arial" w:hAnsi="Arial" w:cs="Arial"/>
                <w:b/>
                <w:bCs/>
                <w:color w:val="000000" w:themeColor="text1"/>
              </w:rPr>
              <w:t>Facility class</w:t>
            </w:r>
          </w:p>
        </w:tc>
        <w:tc>
          <w:tcPr>
            <w:tcW w:w="1980" w:type="dxa"/>
          </w:tcPr>
          <w:p w14:paraId="68065E1D" w14:textId="77777777" w:rsidR="00566BB7" w:rsidRPr="00B64E05" w:rsidRDefault="00000000" w:rsidP="00406C78">
            <w:pPr>
              <w:spacing w:line="276" w:lineRule="auto"/>
              <w:jc w:val="both"/>
              <w:rPr>
                <w:rFonts w:ascii="Arial" w:hAnsi="Arial" w:cs="Arial"/>
                <w:b/>
                <w:bCs/>
                <w:color w:val="000000" w:themeColor="text1"/>
              </w:rPr>
            </w:pPr>
            <w:r w:rsidRPr="00B64E05">
              <w:rPr>
                <w:rFonts w:ascii="Arial" w:hAnsi="Arial" w:cs="Arial"/>
                <w:b/>
                <w:bCs/>
                <w:color w:val="000000" w:themeColor="text1"/>
              </w:rPr>
              <w:t>Measured facilities</w:t>
            </w:r>
          </w:p>
        </w:tc>
        <w:tc>
          <w:tcPr>
            <w:tcW w:w="1512" w:type="dxa"/>
          </w:tcPr>
          <w:p w14:paraId="57556B8E" w14:textId="77777777" w:rsidR="00566BB7" w:rsidRPr="00B64E05" w:rsidRDefault="00000000" w:rsidP="00406C78">
            <w:pPr>
              <w:spacing w:line="276" w:lineRule="auto"/>
              <w:jc w:val="both"/>
              <w:rPr>
                <w:rFonts w:ascii="Arial" w:hAnsi="Arial" w:cs="Arial"/>
                <w:b/>
                <w:bCs/>
                <w:color w:val="000000" w:themeColor="text1"/>
              </w:rPr>
            </w:pPr>
            <w:r w:rsidRPr="00B64E05">
              <w:rPr>
                <w:rFonts w:ascii="Arial" w:hAnsi="Arial" w:cs="Arial"/>
                <w:b/>
                <w:bCs/>
                <w:color w:val="000000" w:themeColor="text1"/>
              </w:rPr>
              <w:t>Median units</w:t>
            </w:r>
          </w:p>
        </w:tc>
        <w:tc>
          <w:tcPr>
            <w:tcW w:w="2160" w:type="dxa"/>
          </w:tcPr>
          <w:p w14:paraId="030C0B72" w14:textId="77777777" w:rsidR="00566BB7" w:rsidRPr="00B64E05" w:rsidRDefault="00000000" w:rsidP="00406C78">
            <w:pPr>
              <w:spacing w:line="276" w:lineRule="auto"/>
              <w:jc w:val="both"/>
              <w:rPr>
                <w:rFonts w:ascii="Arial" w:hAnsi="Arial" w:cs="Arial"/>
                <w:b/>
                <w:bCs/>
                <w:color w:val="000000" w:themeColor="text1"/>
              </w:rPr>
            </w:pPr>
            <w:r w:rsidRPr="00B64E05">
              <w:rPr>
                <w:rFonts w:ascii="Arial" w:hAnsi="Arial" w:cs="Arial"/>
                <w:b/>
                <w:bCs/>
                <w:color w:val="000000" w:themeColor="text1"/>
              </w:rPr>
              <w:t>Prior units for unmeasured</w:t>
            </w:r>
          </w:p>
        </w:tc>
      </w:tr>
      <w:tr w:rsidR="00566BB7" w:rsidRPr="00B64E05" w14:paraId="67E39D8D" w14:textId="77777777" w:rsidTr="00B64E05">
        <w:tc>
          <w:tcPr>
            <w:tcW w:w="2610" w:type="dxa"/>
          </w:tcPr>
          <w:p w14:paraId="5B532962"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Hospital</w:t>
            </w:r>
          </w:p>
        </w:tc>
        <w:tc>
          <w:tcPr>
            <w:tcW w:w="1980" w:type="dxa"/>
          </w:tcPr>
          <w:p w14:paraId="20678A89" w14:textId="77777777" w:rsidR="00566BB7" w:rsidRPr="00B64E05" w:rsidRDefault="00000000" w:rsidP="00406C78">
            <w:pPr>
              <w:spacing w:line="276" w:lineRule="auto"/>
              <w:jc w:val="center"/>
              <w:rPr>
                <w:rFonts w:ascii="Arial" w:hAnsi="Arial" w:cs="Arial"/>
                <w:color w:val="000000" w:themeColor="text1"/>
              </w:rPr>
            </w:pPr>
            <w:r w:rsidRPr="00B64E05">
              <w:rPr>
                <w:rFonts w:ascii="Arial" w:hAnsi="Arial" w:cs="Arial"/>
                <w:color w:val="000000" w:themeColor="text1"/>
              </w:rPr>
              <w:t>116</w:t>
            </w:r>
          </w:p>
        </w:tc>
        <w:tc>
          <w:tcPr>
            <w:tcW w:w="1512" w:type="dxa"/>
          </w:tcPr>
          <w:p w14:paraId="3F3A6F9A" w14:textId="77777777" w:rsidR="00566BB7" w:rsidRPr="00B64E05" w:rsidRDefault="00000000" w:rsidP="00406C78">
            <w:pPr>
              <w:spacing w:line="276" w:lineRule="auto"/>
              <w:jc w:val="center"/>
              <w:rPr>
                <w:rFonts w:ascii="Arial" w:hAnsi="Arial" w:cs="Arial"/>
                <w:color w:val="000000" w:themeColor="text1"/>
              </w:rPr>
            </w:pPr>
            <w:r w:rsidRPr="00B64E05">
              <w:rPr>
                <w:rFonts w:ascii="Arial" w:hAnsi="Arial" w:cs="Arial"/>
                <w:color w:val="000000" w:themeColor="text1"/>
              </w:rPr>
              <w:t>1</w:t>
            </w:r>
          </w:p>
        </w:tc>
        <w:tc>
          <w:tcPr>
            <w:tcW w:w="2160" w:type="dxa"/>
          </w:tcPr>
          <w:p w14:paraId="3FD84BE0" w14:textId="77777777" w:rsidR="00566BB7" w:rsidRPr="00B64E05" w:rsidRDefault="00000000" w:rsidP="00406C78">
            <w:pPr>
              <w:spacing w:line="276" w:lineRule="auto"/>
              <w:jc w:val="center"/>
              <w:rPr>
                <w:rFonts w:ascii="Arial" w:hAnsi="Arial" w:cs="Arial"/>
                <w:color w:val="000000" w:themeColor="text1"/>
              </w:rPr>
            </w:pPr>
            <w:r w:rsidRPr="00B64E05">
              <w:rPr>
                <w:rFonts w:ascii="Arial" w:hAnsi="Arial" w:cs="Arial"/>
                <w:color w:val="000000" w:themeColor="text1"/>
              </w:rPr>
              <w:t>1</w:t>
            </w:r>
          </w:p>
        </w:tc>
      </w:tr>
      <w:tr w:rsidR="00566BB7" w:rsidRPr="00B64E05" w14:paraId="1900C2BD" w14:textId="77777777" w:rsidTr="00B64E05">
        <w:tc>
          <w:tcPr>
            <w:tcW w:w="2610" w:type="dxa"/>
          </w:tcPr>
          <w:p w14:paraId="22200783"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Imaging center, breast center, or other</w:t>
            </w:r>
          </w:p>
        </w:tc>
        <w:tc>
          <w:tcPr>
            <w:tcW w:w="1980" w:type="dxa"/>
          </w:tcPr>
          <w:p w14:paraId="41CCE589" w14:textId="77777777" w:rsidR="00566BB7" w:rsidRPr="00B64E05" w:rsidRDefault="00000000" w:rsidP="00406C78">
            <w:pPr>
              <w:spacing w:line="276" w:lineRule="auto"/>
              <w:jc w:val="center"/>
              <w:rPr>
                <w:rFonts w:ascii="Arial" w:hAnsi="Arial" w:cs="Arial"/>
                <w:color w:val="000000" w:themeColor="text1"/>
              </w:rPr>
            </w:pPr>
            <w:r w:rsidRPr="00B64E05">
              <w:rPr>
                <w:rFonts w:ascii="Arial" w:hAnsi="Arial" w:cs="Arial"/>
                <w:color w:val="000000" w:themeColor="text1"/>
              </w:rPr>
              <w:t>9</w:t>
            </w:r>
          </w:p>
        </w:tc>
        <w:tc>
          <w:tcPr>
            <w:tcW w:w="1512" w:type="dxa"/>
          </w:tcPr>
          <w:p w14:paraId="6C8E9468" w14:textId="77777777" w:rsidR="00566BB7" w:rsidRPr="00B64E05" w:rsidRDefault="00000000" w:rsidP="00406C78">
            <w:pPr>
              <w:spacing w:line="276" w:lineRule="auto"/>
              <w:jc w:val="center"/>
              <w:rPr>
                <w:rFonts w:ascii="Arial" w:hAnsi="Arial" w:cs="Arial"/>
                <w:color w:val="000000" w:themeColor="text1"/>
              </w:rPr>
            </w:pPr>
            <w:r w:rsidRPr="00B64E05">
              <w:rPr>
                <w:rFonts w:ascii="Arial" w:hAnsi="Arial" w:cs="Arial"/>
                <w:color w:val="000000" w:themeColor="text1"/>
              </w:rPr>
              <w:t>2</w:t>
            </w:r>
          </w:p>
        </w:tc>
        <w:tc>
          <w:tcPr>
            <w:tcW w:w="2160" w:type="dxa"/>
          </w:tcPr>
          <w:p w14:paraId="34E0393E" w14:textId="77777777" w:rsidR="00566BB7" w:rsidRPr="00B64E05" w:rsidRDefault="00000000" w:rsidP="00406C78">
            <w:pPr>
              <w:spacing w:line="276" w:lineRule="auto"/>
              <w:jc w:val="center"/>
              <w:rPr>
                <w:rFonts w:ascii="Arial" w:hAnsi="Arial" w:cs="Arial"/>
                <w:color w:val="000000" w:themeColor="text1"/>
              </w:rPr>
            </w:pPr>
            <w:r w:rsidRPr="00B64E05">
              <w:rPr>
                <w:rFonts w:ascii="Arial" w:hAnsi="Arial" w:cs="Arial"/>
                <w:color w:val="000000" w:themeColor="text1"/>
              </w:rPr>
              <w:t>2</w:t>
            </w:r>
          </w:p>
        </w:tc>
      </w:tr>
      <w:tr w:rsidR="00566BB7" w:rsidRPr="00B64E05" w14:paraId="14588E5C" w14:textId="77777777" w:rsidTr="00B64E05">
        <w:tc>
          <w:tcPr>
            <w:tcW w:w="2610" w:type="dxa"/>
          </w:tcPr>
          <w:p w14:paraId="4D3B7D83"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Clinic</w:t>
            </w:r>
          </w:p>
        </w:tc>
        <w:tc>
          <w:tcPr>
            <w:tcW w:w="1980" w:type="dxa"/>
          </w:tcPr>
          <w:p w14:paraId="7E4AF4E9" w14:textId="77777777" w:rsidR="00566BB7" w:rsidRPr="00B64E05" w:rsidRDefault="00000000" w:rsidP="00406C78">
            <w:pPr>
              <w:spacing w:line="276" w:lineRule="auto"/>
              <w:jc w:val="center"/>
              <w:rPr>
                <w:rFonts w:ascii="Arial" w:hAnsi="Arial" w:cs="Arial"/>
                <w:color w:val="000000" w:themeColor="text1"/>
              </w:rPr>
            </w:pPr>
            <w:r w:rsidRPr="00B64E05">
              <w:rPr>
                <w:rFonts w:ascii="Arial" w:hAnsi="Arial" w:cs="Arial"/>
                <w:color w:val="000000" w:themeColor="text1"/>
              </w:rPr>
              <w:t>8</w:t>
            </w:r>
          </w:p>
        </w:tc>
        <w:tc>
          <w:tcPr>
            <w:tcW w:w="1512" w:type="dxa"/>
          </w:tcPr>
          <w:p w14:paraId="1CA2852F" w14:textId="77777777" w:rsidR="00566BB7" w:rsidRPr="00B64E05" w:rsidRDefault="00000000" w:rsidP="00406C78">
            <w:pPr>
              <w:spacing w:line="276" w:lineRule="auto"/>
              <w:jc w:val="center"/>
              <w:rPr>
                <w:rFonts w:ascii="Arial" w:hAnsi="Arial" w:cs="Arial"/>
                <w:color w:val="000000" w:themeColor="text1"/>
              </w:rPr>
            </w:pPr>
            <w:r w:rsidRPr="00B64E05">
              <w:rPr>
                <w:rFonts w:ascii="Arial" w:hAnsi="Arial" w:cs="Arial"/>
                <w:color w:val="000000" w:themeColor="text1"/>
              </w:rPr>
              <w:t>1</w:t>
            </w:r>
          </w:p>
        </w:tc>
        <w:tc>
          <w:tcPr>
            <w:tcW w:w="2160" w:type="dxa"/>
          </w:tcPr>
          <w:p w14:paraId="21DC1D30" w14:textId="77777777" w:rsidR="00566BB7" w:rsidRPr="00B64E05" w:rsidRDefault="00000000" w:rsidP="00406C78">
            <w:pPr>
              <w:spacing w:line="276" w:lineRule="auto"/>
              <w:jc w:val="center"/>
              <w:rPr>
                <w:rFonts w:ascii="Arial" w:hAnsi="Arial" w:cs="Arial"/>
                <w:color w:val="000000" w:themeColor="text1"/>
              </w:rPr>
            </w:pPr>
            <w:r w:rsidRPr="00B64E05">
              <w:rPr>
                <w:rFonts w:ascii="Arial" w:hAnsi="Arial" w:cs="Arial"/>
                <w:color w:val="000000" w:themeColor="text1"/>
              </w:rPr>
              <w:t>1</w:t>
            </w:r>
          </w:p>
        </w:tc>
      </w:tr>
    </w:tbl>
    <w:p w14:paraId="245A23AF" w14:textId="77777777" w:rsidR="00566BB7" w:rsidRPr="00B64E05" w:rsidRDefault="00000000" w:rsidP="00406C78">
      <w:pPr>
        <w:pStyle w:val="Heading1"/>
        <w:jc w:val="both"/>
        <w:rPr>
          <w:rFonts w:ascii="Arial" w:hAnsi="Arial" w:cs="Arial"/>
          <w:color w:val="000000" w:themeColor="text1"/>
          <w:sz w:val="22"/>
          <w:szCs w:val="22"/>
        </w:rPr>
      </w:pPr>
      <w:r w:rsidRPr="00B64E05">
        <w:rPr>
          <w:rFonts w:ascii="Arial" w:hAnsi="Arial" w:cs="Arial"/>
          <w:color w:val="000000" w:themeColor="text1"/>
          <w:sz w:val="22"/>
          <w:szCs w:val="22"/>
        </w:rPr>
        <w:t>S3. Candidate-site generation</w:t>
      </w:r>
    </w:p>
    <w:p w14:paraId="3117B642" w14:textId="77777777" w:rsidR="00566BB7" w:rsidRPr="00B64E05" w:rsidRDefault="00000000" w:rsidP="00406C78">
      <w:pPr>
        <w:spacing w:after="0"/>
        <w:jc w:val="both"/>
        <w:rPr>
          <w:rFonts w:ascii="Arial" w:hAnsi="Arial" w:cs="Arial"/>
          <w:color w:val="000000" w:themeColor="text1"/>
        </w:rPr>
      </w:pPr>
      <w:r w:rsidRPr="00B64E05">
        <w:rPr>
          <w:rFonts w:ascii="Arial" w:hAnsi="Arial" w:cs="Arial"/>
          <w:color w:val="000000" w:themeColor="text1"/>
        </w:rPr>
        <w:t>Candidate sites are inputs to the optimization model and define a finite, need-informed set of neighborhoods in which a new mammography facility could be located; the optimization subsequently determines which candidates are opened. Accessibility was calculated at the census-tract level using full 11-digit GEOIDs, tract centroids, and facility coordinates, preserving within-county heterogeneity and crediting reachable capacity across county boundaries. Candidate coordinates represent tract-centroid planning locations, not specific parcels.</w:t>
      </w:r>
    </w:p>
    <w:p w14:paraId="75B7D8F7" w14:textId="77777777" w:rsidR="00566BB7" w:rsidRPr="00B64E05" w:rsidRDefault="00000000" w:rsidP="00406C78">
      <w:pPr>
        <w:pStyle w:val="Heading2"/>
        <w:jc w:val="both"/>
        <w:rPr>
          <w:rFonts w:ascii="Arial" w:hAnsi="Arial" w:cs="Arial"/>
          <w:color w:val="000000" w:themeColor="text1"/>
          <w:sz w:val="22"/>
          <w:szCs w:val="22"/>
        </w:rPr>
      </w:pPr>
      <w:r w:rsidRPr="00B64E05">
        <w:rPr>
          <w:rFonts w:ascii="Arial" w:hAnsi="Arial" w:cs="Arial"/>
          <w:color w:val="000000" w:themeColor="text1"/>
          <w:sz w:val="22"/>
          <w:szCs w:val="22"/>
        </w:rPr>
        <w:t>S3.1 Spatial accessibility and gap identification</w:t>
      </w:r>
    </w:p>
    <w:p w14:paraId="339FE34E" w14:textId="548F9730" w:rsidR="00566BB7" w:rsidRPr="00B64E05" w:rsidRDefault="00000000" w:rsidP="00406C78">
      <w:pPr>
        <w:spacing w:after="0"/>
        <w:jc w:val="both"/>
        <w:rPr>
          <w:rFonts w:ascii="Arial" w:hAnsi="Arial" w:cs="Arial"/>
          <w:color w:val="000000" w:themeColor="text1"/>
        </w:rPr>
      </w:pPr>
      <w:r w:rsidRPr="00B64E05">
        <w:rPr>
          <w:rFonts w:ascii="Arial" w:hAnsi="Arial" w:cs="Arial"/>
          <w:color w:val="000000" w:themeColor="text1"/>
        </w:rPr>
        <w:t xml:space="preserve">Let L denote the set of tracts, </w:t>
      </w:r>
      <m:oMath>
        <m:sSub>
          <m:sSubPr>
            <m:ctrlPr>
              <w:rPr>
                <w:rFonts w:ascii="Cambria Math" w:hAnsi="Cambria Math" w:cs="Arial"/>
                <w:i/>
                <w:color w:val="000000" w:themeColor="text1"/>
              </w:rPr>
            </m:ctrlPr>
          </m:sSubPr>
          <m:e>
            <m:r>
              <w:rPr>
                <w:rFonts w:ascii="Cambria Math" w:hAnsi="Cambria Math" w:cs="Arial"/>
                <w:color w:val="000000" w:themeColor="text1"/>
              </w:rPr>
              <m:t>P</m:t>
            </m:r>
          </m:e>
          <m:sub>
            <m:r>
              <w:rPr>
                <w:rFonts w:ascii="Cambria Math" w:hAnsi="Cambria Math" w:cs="Arial"/>
                <w:color w:val="000000" w:themeColor="text1"/>
              </w:rPr>
              <m:t>i</m:t>
            </m:r>
          </m:sub>
        </m:sSub>
      </m:oMath>
      <w:r w:rsidRPr="00B64E05">
        <w:rPr>
          <w:rFonts w:ascii="Arial" w:hAnsi="Arial" w:cs="Arial"/>
          <w:color w:val="000000" w:themeColor="text1"/>
        </w:rPr>
        <w:t xml:space="preserve"> the number of screening-eligible women (aged 40–74) in tract </w:t>
      </w:r>
      <m:oMath>
        <m:r>
          <w:rPr>
            <w:rFonts w:ascii="Cambria Math" w:hAnsi="Cambria Math" w:cs="Arial"/>
            <w:color w:val="000000" w:themeColor="text1"/>
          </w:rPr>
          <m:t>i</m:t>
        </m:r>
      </m:oMath>
      <w:r w:rsidRPr="00B64E05">
        <w:rPr>
          <w:rFonts w:ascii="Arial" w:hAnsi="Arial" w:cs="Arial"/>
          <w:color w:val="000000" w:themeColor="text1"/>
        </w:rPr>
        <w:t xml:space="preserve">, </w:t>
      </w:r>
      <m:oMath>
        <m:sSup>
          <m:sSupPr>
            <m:ctrlPr>
              <w:rPr>
                <w:rFonts w:ascii="Cambria Math" w:hAnsi="Cambria Math" w:cs="Arial"/>
                <w:i/>
                <w:color w:val="000000" w:themeColor="text1"/>
              </w:rPr>
            </m:ctrlPr>
          </m:sSupPr>
          <m:e>
            <m:r>
              <w:rPr>
                <w:rFonts w:ascii="Cambria Math" w:hAnsi="Cambria Math" w:cs="Arial"/>
                <w:color w:val="000000" w:themeColor="text1"/>
              </w:rPr>
              <m:t>J</m:t>
            </m:r>
          </m:e>
          <m:sup>
            <m:r>
              <w:rPr>
                <w:rFonts w:ascii="Cambria Math" w:hAnsi="Cambria Math" w:cs="Arial"/>
                <w:color w:val="000000" w:themeColor="text1"/>
              </w:rPr>
              <m:t>E</m:t>
            </m:r>
          </m:sup>
        </m:sSup>
      </m:oMath>
      <w:r w:rsidRPr="00B64E05">
        <w:rPr>
          <w:rFonts w:ascii="Arial" w:hAnsi="Arial" w:cs="Arial"/>
          <w:color w:val="000000" w:themeColor="text1"/>
        </w:rPr>
        <w:t xml:space="preserve"> the set of existing facilities, </w:t>
      </w:r>
      <m:oMath>
        <m:sSub>
          <m:sSubPr>
            <m:ctrlPr>
              <w:rPr>
                <w:rFonts w:ascii="Cambria Math" w:hAnsi="Cambria Math" w:cs="Arial"/>
                <w:color w:val="000000" w:themeColor="text1"/>
              </w:rPr>
            </m:ctrlPr>
          </m:sSubPr>
          <m:e>
            <m:r>
              <w:rPr>
                <w:rFonts w:ascii="Cambria Math" w:hAnsi="Cambria Math" w:cs="Arial"/>
                <w:color w:val="000000" w:themeColor="text1"/>
              </w:rPr>
              <m:t>κ</m:t>
            </m:r>
          </m:e>
          <m:sub>
            <m:r>
              <w:rPr>
                <w:rFonts w:ascii="Cambria Math" w:hAnsi="Cambria Math" w:cs="Arial"/>
                <w:color w:val="000000" w:themeColor="text1"/>
              </w:rPr>
              <m:t>j</m:t>
            </m:r>
          </m:sub>
        </m:sSub>
      </m:oMath>
      <w:r w:rsidR="00B64E05">
        <w:rPr>
          <w:rFonts w:ascii="Arial" w:hAnsi="Arial" w:cs="Arial"/>
          <w:color w:val="000000" w:themeColor="text1"/>
        </w:rPr>
        <w:t xml:space="preserve"> </w:t>
      </w:r>
      <w:r w:rsidRPr="00B64E05">
        <w:rPr>
          <w:rFonts w:ascii="Arial" w:hAnsi="Arial" w:cs="Arial"/>
          <w:color w:val="000000" w:themeColor="text1"/>
        </w:rPr>
        <w:t xml:space="preserve">the annual screening capacity of facility </w:t>
      </w:r>
      <m:oMath>
        <m:r>
          <w:rPr>
            <w:rFonts w:ascii="Cambria Math" w:hAnsi="Cambria Math" w:cs="Arial"/>
            <w:color w:val="000000" w:themeColor="text1"/>
          </w:rPr>
          <m:t>j</m:t>
        </m:r>
      </m:oMath>
      <w:r w:rsidRPr="00B64E05">
        <w:rPr>
          <w:rFonts w:ascii="Arial" w:hAnsi="Arial" w:cs="Arial"/>
          <w:color w:val="000000" w:themeColor="text1"/>
        </w:rPr>
        <w:t xml:space="preserve">, and </w:t>
      </w:r>
      <m:oMath>
        <m:sSub>
          <m:sSubPr>
            <m:ctrlPr>
              <w:rPr>
                <w:rFonts w:ascii="Cambria Math" w:hAnsi="Cambria Math" w:cs="Arial"/>
                <w:i/>
                <w:color w:val="000000" w:themeColor="text1"/>
              </w:rPr>
            </m:ctrlPr>
          </m:sSubPr>
          <m:e>
            <m:r>
              <w:rPr>
                <w:rFonts w:ascii="Cambria Math" w:hAnsi="Cambria Math" w:cs="Arial"/>
                <w:color w:val="000000" w:themeColor="text1"/>
              </w:rPr>
              <m:t>d</m:t>
            </m:r>
          </m:e>
          <m:sub>
            <m:r>
              <w:rPr>
                <w:rFonts w:ascii="Cambria Math" w:hAnsi="Cambria Math" w:cs="Arial"/>
                <w:color w:val="000000" w:themeColor="text1"/>
              </w:rPr>
              <m:t>ij</m:t>
            </m:r>
          </m:sub>
        </m:sSub>
        <m:r>
          <w:rPr>
            <w:rFonts w:ascii="Cambria Math" w:hAnsi="Cambria Math" w:cs="Arial"/>
            <w:color w:val="000000" w:themeColor="text1"/>
          </w:rPr>
          <m:t xml:space="preserve"> </m:t>
        </m:r>
      </m:oMath>
      <w:r w:rsidRPr="00B64E05">
        <w:rPr>
          <w:rFonts w:ascii="Arial" w:hAnsi="Arial" w:cs="Arial"/>
          <w:color w:val="000000" w:themeColor="text1"/>
        </w:rPr>
        <w:t xml:space="preserve">the haversine distance between tract </w:t>
      </w:r>
      <m:oMath>
        <m:r>
          <w:rPr>
            <w:rFonts w:ascii="Cambria Math" w:hAnsi="Cambria Math" w:cs="Arial"/>
            <w:color w:val="000000" w:themeColor="text1"/>
          </w:rPr>
          <m:t>i</m:t>
        </m:r>
      </m:oMath>
      <w:r w:rsidRPr="00B64E05">
        <w:rPr>
          <w:rFonts w:ascii="Arial" w:hAnsi="Arial" w:cs="Arial"/>
          <w:color w:val="000000" w:themeColor="text1"/>
        </w:rPr>
        <w:t xml:space="preserve"> and facility </w:t>
      </w:r>
      <m:oMath>
        <m:r>
          <w:rPr>
            <w:rFonts w:ascii="Cambria Math" w:hAnsi="Cambria Math" w:cs="Arial"/>
            <w:color w:val="000000" w:themeColor="text1"/>
          </w:rPr>
          <m:t>j</m:t>
        </m:r>
      </m:oMath>
      <w:r w:rsidRPr="00B64E05">
        <w:rPr>
          <w:rFonts w:ascii="Arial" w:hAnsi="Arial" w:cs="Arial"/>
          <w:color w:val="000000" w:themeColor="text1"/>
        </w:rPr>
        <w:t>. Accessibility was measured with the enhanced two-step floating catchment area (E2SFCA) method with exponential distance decay, using a straight-line catchment radius of 60 km and decay rate β = 0.025 km</w:t>
      </w:r>
      <w:r w:rsidRPr="00B64E05">
        <w:rPr>
          <w:rFonts w:ascii="Cambria Math" w:hAnsi="Cambria Math" w:cs="Cambria Math"/>
          <w:color w:val="000000" w:themeColor="text1"/>
        </w:rPr>
        <w:t>⁻</w:t>
      </w:r>
      <w:r w:rsidRPr="00B64E05">
        <w:rPr>
          <w:rFonts w:ascii="Arial" w:hAnsi="Arial" w:cs="Arial"/>
          <w:color w:val="000000" w:themeColor="text1"/>
        </w:rPr>
        <w:t xml:space="preserve">¹. </w:t>
      </w:r>
      <w:r w:rsidR="005E1104" w:rsidRPr="005E1104">
        <w:rPr>
          <w:rFonts w:ascii="Arial" w:hAnsi="Arial" w:cs="Arial"/>
          <w:color w:val="000000" w:themeColor="text1"/>
        </w:rPr>
        <w:t xml:space="preserve"> The facility-level capacity-to-demand ratio </w:t>
      </w:r>
      <m:oMath>
        <m:sSub>
          <m:sSubPr>
            <m:ctrlPr>
              <w:rPr>
                <w:rFonts w:ascii="Cambria Math" w:hAnsi="Cambria Math" w:cs="Arial"/>
                <w:i/>
                <w:color w:val="000000" w:themeColor="text1"/>
              </w:rPr>
            </m:ctrlPr>
          </m:sSubPr>
          <m:e>
            <m:r>
              <w:rPr>
                <w:rFonts w:ascii="Cambria Math" w:hAnsi="Cambria Math" w:cs="Arial"/>
                <w:color w:val="000000" w:themeColor="text1"/>
              </w:rPr>
              <m:t>R</m:t>
            </m:r>
          </m:e>
          <m:sub>
            <m:r>
              <w:rPr>
                <w:rFonts w:ascii="Cambria Math" w:hAnsi="Cambria Math" w:cs="Arial"/>
                <w:color w:val="000000" w:themeColor="text1"/>
              </w:rPr>
              <m:t>j</m:t>
            </m:r>
          </m:sub>
        </m:sSub>
      </m:oMath>
      <w:r w:rsidR="005E1104" w:rsidRPr="005E1104">
        <w:rPr>
          <w:rFonts w:ascii="Arial" w:hAnsi="Arial" w:cs="Arial"/>
          <w:color w:val="000000" w:themeColor="text1"/>
        </w:rPr>
        <w:t xml:space="preserve"> and the tract-level accessibility </w:t>
      </w:r>
      <m:oMath>
        <m:sSub>
          <m:sSubPr>
            <m:ctrlPr>
              <w:rPr>
                <w:rFonts w:ascii="Cambria Math" w:hAnsi="Cambria Math" w:cs="Arial"/>
                <w:i/>
                <w:color w:val="000000" w:themeColor="text1"/>
              </w:rPr>
            </m:ctrlPr>
          </m:sSubPr>
          <m:e>
            <m:r>
              <w:rPr>
                <w:rFonts w:ascii="Cambria Math" w:hAnsi="Cambria Math" w:cs="Arial"/>
                <w:color w:val="000000" w:themeColor="text1"/>
              </w:rPr>
              <m:t>A</m:t>
            </m:r>
          </m:e>
          <m:sub>
            <m:r>
              <w:rPr>
                <w:rFonts w:ascii="Cambria Math" w:hAnsi="Cambria Math" w:cs="Arial"/>
                <w:color w:val="000000" w:themeColor="text1"/>
              </w:rPr>
              <m:t>i</m:t>
            </m:r>
          </m:sub>
        </m:sSub>
        <m:r>
          <w:rPr>
            <w:rFonts w:ascii="Cambria Math" w:hAnsi="Cambria Math" w:cs="Arial"/>
            <w:color w:val="000000" w:themeColor="text1"/>
          </w:rPr>
          <m:t xml:space="preserve"> </m:t>
        </m:r>
      </m:oMath>
      <w:r w:rsidR="005E1104" w:rsidRPr="005E1104">
        <w:rPr>
          <w:rFonts w:ascii="Arial" w:hAnsi="Arial" w:cs="Arial"/>
          <w:color w:val="000000" w:themeColor="text1"/>
        </w:rPr>
        <w:t xml:space="preserve">follow the two-step construction given in the main-text Methods, evaluated on straight-line distances: </w:t>
      </w:r>
      <m:oMath>
        <m:sSub>
          <m:sSubPr>
            <m:ctrlPr>
              <w:rPr>
                <w:rFonts w:ascii="Cambria Math" w:hAnsi="Cambria Math" w:cs="Arial"/>
                <w:i/>
                <w:color w:val="000000" w:themeColor="text1"/>
              </w:rPr>
            </m:ctrlPr>
          </m:sSubPr>
          <m:e>
            <m:r>
              <w:rPr>
                <w:rFonts w:ascii="Cambria Math" w:hAnsi="Cambria Math" w:cs="Arial"/>
                <w:color w:val="000000" w:themeColor="text1"/>
              </w:rPr>
              <m:t>R</m:t>
            </m:r>
          </m:e>
          <m:sub>
            <m:r>
              <w:rPr>
                <w:rFonts w:ascii="Cambria Math" w:hAnsi="Cambria Math" w:cs="Arial"/>
                <w:color w:val="000000" w:themeColor="text1"/>
              </w:rPr>
              <m:t>j</m:t>
            </m:r>
          </m:sub>
        </m:sSub>
      </m:oMath>
      <w:r w:rsidR="005E1104" w:rsidRPr="005E1104">
        <w:rPr>
          <w:rFonts w:ascii="Arial" w:hAnsi="Arial" w:cs="Arial"/>
          <w:color w:val="000000" w:themeColor="text1"/>
        </w:rPr>
        <w:t xml:space="preserve"> is the capacity of facility j divided by the decay-weighted demand competing for it, and </w:t>
      </w:r>
      <m:oMath>
        <m:sSub>
          <m:sSubPr>
            <m:ctrlPr>
              <w:rPr>
                <w:rFonts w:ascii="Cambria Math" w:hAnsi="Cambria Math" w:cs="Arial"/>
                <w:i/>
                <w:color w:val="000000" w:themeColor="text1"/>
              </w:rPr>
            </m:ctrlPr>
          </m:sSubPr>
          <m:e>
            <m:r>
              <w:rPr>
                <w:rFonts w:ascii="Cambria Math" w:hAnsi="Cambria Math" w:cs="Arial"/>
                <w:color w:val="000000" w:themeColor="text1"/>
              </w:rPr>
              <m:t>A</m:t>
            </m:r>
          </m:e>
          <m:sub>
            <m:r>
              <w:rPr>
                <w:rFonts w:ascii="Cambria Math" w:hAnsi="Cambria Math" w:cs="Arial"/>
                <w:color w:val="000000" w:themeColor="text1"/>
              </w:rPr>
              <m:t>i</m:t>
            </m:r>
          </m:sub>
        </m:sSub>
        <m:r>
          <w:rPr>
            <w:rFonts w:ascii="Cambria Math" w:hAnsi="Cambria Math" w:cs="Arial"/>
            <w:color w:val="000000" w:themeColor="text1"/>
          </w:rPr>
          <m:t xml:space="preserve"> </m:t>
        </m:r>
      </m:oMath>
      <w:r w:rsidR="005E1104" w:rsidRPr="005E1104">
        <w:rPr>
          <w:rFonts w:ascii="Arial" w:hAnsi="Arial" w:cs="Arial"/>
          <w:color w:val="000000" w:themeColor="text1"/>
        </w:rPr>
        <w:t xml:space="preserve">is the sum of the decayed ratios of all facilities within the catchment of tract </w:t>
      </w:r>
      <m:oMath>
        <m:r>
          <w:rPr>
            <w:rFonts w:ascii="Cambria Math" w:hAnsi="Cambria Math" w:cs="Arial"/>
            <w:color w:val="000000" w:themeColor="text1"/>
          </w:rPr>
          <m:t>i</m:t>
        </m:r>
      </m:oMath>
      <w:r w:rsidR="005E1104" w:rsidRPr="005E1104">
        <w:rPr>
          <w:rFonts w:ascii="Arial" w:hAnsi="Arial" w:cs="Arial"/>
          <w:color w:val="000000" w:themeColor="text1"/>
        </w:rPr>
        <w:t>.</w:t>
      </w:r>
      <w:r w:rsidR="00CC6BC6">
        <w:rPr>
          <w:rFonts w:ascii="Arial" w:hAnsi="Arial" w:cs="Arial"/>
          <w:color w:val="000000" w:themeColor="text1"/>
        </w:rPr>
        <w:t xml:space="preserve"> </w:t>
      </w:r>
      <m:oMath>
        <m:sSub>
          <m:sSubPr>
            <m:ctrlPr>
              <w:rPr>
                <w:rFonts w:ascii="Cambria Math" w:hAnsi="Cambria Math" w:cs="Arial"/>
                <w:i/>
                <w:color w:val="000000" w:themeColor="text1"/>
              </w:rPr>
            </m:ctrlPr>
          </m:sSubPr>
          <m:e>
            <m:r>
              <w:rPr>
                <w:rFonts w:ascii="Cambria Math" w:hAnsi="Cambria Math" w:cs="Arial"/>
                <w:color w:val="000000" w:themeColor="text1"/>
              </w:rPr>
              <m:t>A</m:t>
            </m:r>
          </m:e>
          <m:sub>
            <m:r>
              <w:rPr>
                <w:rFonts w:ascii="Cambria Math" w:hAnsi="Cambria Math" w:cs="Arial"/>
                <w:color w:val="000000" w:themeColor="text1"/>
              </w:rPr>
              <m:t>i</m:t>
            </m:r>
          </m:sub>
        </m:sSub>
        <m:r>
          <w:rPr>
            <w:rFonts w:ascii="Cambria Math" w:hAnsi="Cambria Math" w:cs="Arial"/>
            <w:color w:val="000000" w:themeColor="text1"/>
          </w:rPr>
          <m:t xml:space="preserve"> </m:t>
        </m:r>
      </m:oMath>
      <w:r w:rsidRPr="00B64E05">
        <w:rPr>
          <w:rFonts w:ascii="Arial" w:hAnsi="Arial" w:cs="Arial"/>
          <w:color w:val="000000" w:themeColor="text1"/>
        </w:rPr>
        <w:t xml:space="preserve">is interpreted as effective annual screening slots per eligible woman. The construction conserves aggregate capacity while accounting for competition for shared facilities and access across county lines. Tracts with </w:t>
      </w:r>
      <m:oMath>
        <m:sSub>
          <m:sSubPr>
            <m:ctrlPr>
              <w:rPr>
                <w:rFonts w:ascii="Cambria Math" w:hAnsi="Cambria Math" w:cs="Arial"/>
                <w:i/>
                <w:color w:val="000000" w:themeColor="text1"/>
              </w:rPr>
            </m:ctrlPr>
          </m:sSubPr>
          <m:e>
            <m:r>
              <w:rPr>
                <w:rFonts w:ascii="Cambria Math" w:hAnsi="Cambria Math" w:cs="Arial"/>
                <w:color w:val="000000" w:themeColor="text1"/>
              </w:rPr>
              <m:t>A</m:t>
            </m:r>
          </m:e>
          <m:sub>
            <m:r>
              <w:rPr>
                <w:rFonts w:ascii="Cambria Math" w:hAnsi="Cambria Math" w:cs="Arial"/>
                <w:color w:val="000000" w:themeColor="text1"/>
              </w:rPr>
              <m:t>i</m:t>
            </m:r>
          </m:sub>
        </m:sSub>
        <m:r>
          <w:rPr>
            <w:rFonts w:ascii="Cambria Math" w:hAnsi="Cambria Math" w:cs="Arial"/>
            <w:color w:val="000000" w:themeColor="text1"/>
          </w:rPr>
          <m:t xml:space="preserve"> </m:t>
        </m:r>
      </m:oMath>
      <w:r w:rsidRPr="00B64E05">
        <w:rPr>
          <w:rFonts w:ascii="Arial" w:hAnsi="Arial" w:cs="Arial"/>
          <w:color w:val="000000" w:themeColor="text1"/>
        </w:rPr>
        <w:t>below 0.80 were classified as access-gap tracts.</w:t>
      </w:r>
    </w:p>
    <w:p w14:paraId="17E0030D" w14:textId="77777777" w:rsidR="00566BB7" w:rsidRPr="000809BB" w:rsidRDefault="00000000" w:rsidP="00406C78">
      <w:pPr>
        <w:pStyle w:val="Heading2"/>
        <w:jc w:val="both"/>
        <w:rPr>
          <w:rFonts w:ascii="Arial" w:hAnsi="Arial" w:cs="Arial"/>
          <w:color w:val="000000" w:themeColor="text1"/>
          <w:sz w:val="22"/>
          <w:szCs w:val="22"/>
        </w:rPr>
      </w:pPr>
      <w:r w:rsidRPr="000809BB">
        <w:rPr>
          <w:rFonts w:ascii="Arial" w:hAnsi="Arial" w:cs="Arial"/>
          <w:color w:val="000000" w:themeColor="text1"/>
          <w:sz w:val="22"/>
          <w:szCs w:val="22"/>
        </w:rPr>
        <w:t>S3.2 Number and placement of candidates</w:t>
      </w:r>
    </w:p>
    <w:p w14:paraId="07E1C9CA" w14:textId="2DDDA4EC" w:rsidR="00566BB7" w:rsidRDefault="00000000" w:rsidP="00406C78">
      <w:pPr>
        <w:spacing w:after="0"/>
        <w:jc w:val="both"/>
        <w:rPr>
          <w:rFonts w:ascii="Arial" w:hAnsi="Arial" w:cs="Arial"/>
          <w:color w:val="000000" w:themeColor="text1"/>
        </w:rPr>
      </w:pPr>
      <w:r w:rsidRPr="00B64E05">
        <w:rPr>
          <w:rFonts w:ascii="Arial" w:hAnsi="Arial" w:cs="Arial"/>
          <w:color w:val="000000" w:themeColor="text1"/>
        </w:rPr>
        <w:t xml:space="preserve">For each county c containing one or more access-gap tracts, the aggregate access deficit was quantified as the population-weighted shortfall below the threshold </w:t>
      </w:r>
      <m:oMath>
        <m:sSup>
          <m:sSupPr>
            <m:ctrlPr>
              <w:rPr>
                <w:rFonts w:ascii="Cambria Math" w:hAnsi="Cambria Math" w:cs="Arial"/>
                <w:i/>
                <w:color w:val="000000" w:themeColor="text1"/>
              </w:rPr>
            </m:ctrlPr>
          </m:sSupPr>
          <m:e>
            <m:r>
              <w:rPr>
                <w:rFonts w:ascii="Cambria Math" w:hAnsi="Cambria Math" w:cs="Arial"/>
                <w:color w:val="000000" w:themeColor="text1"/>
              </w:rPr>
              <m:t>A</m:t>
            </m:r>
          </m:e>
          <m:sup>
            <m:r>
              <w:rPr>
                <w:rFonts w:ascii="Cambria Math" w:hAnsi="Cambria Math" w:cs="Arial"/>
                <w:color w:val="000000" w:themeColor="text1"/>
              </w:rPr>
              <m:t>*</m:t>
            </m:r>
          </m:sup>
        </m:sSup>
        <m:r>
          <w:rPr>
            <w:rFonts w:ascii="Cambria Math" w:hAnsi="Cambria Math" w:cs="Arial"/>
            <w:color w:val="000000" w:themeColor="text1"/>
          </w:rPr>
          <m:t>= 0.80</m:t>
        </m:r>
      </m:oMath>
      <w:r w:rsidRPr="00B64E05">
        <w:rPr>
          <w:rFonts w:ascii="Arial" w:hAnsi="Arial" w:cs="Arial"/>
          <w:color w:val="000000" w:themeColor="text1"/>
        </w:rPr>
        <w:t xml:space="preserve">, </w:t>
      </w:r>
      <m:oMath>
        <m:r>
          <w:rPr>
            <w:rFonts w:ascii="Cambria Math" w:hAnsi="Cambria Math" w:cs="Arial"/>
            <w:color w:val="000000" w:themeColor="text1"/>
          </w:rPr>
          <m:t>De</m:t>
        </m:r>
        <m:sSub>
          <m:sSubPr>
            <m:ctrlPr>
              <w:rPr>
                <w:rFonts w:ascii="Cambria Math" w:hAnsi="Cambria Math" w:cs="Arial"/>
                <w:i/>
                <w:color w:val="000000" w:themeColor="text1"/>
              </w:rPr>
            </m:ctrlPr>
          </m:sSubPr>
          <m:e>
            <m:r>
              <w:rPr>
                <w:rFonts w:ascii="Cambria Math" w:hAnsi="Cambria Math" w:cs="Arial"/>
                <w:color w:val="000000" w:themeColor="text1"/>
              </w:rPr>
              <m:t>f</m:t>
            </m:r>
          </m:e>
          <m:sub>
            <m:r>
              <w:rPr>
                <w:rFonts w:ascii="Cambria Math" w:hAnsi="Cambria Math" w:cs="Arial"/>
                <w:color w:val="000000" w:themeColor="text1"/>
              </w:rPr>
              <m:t>c</m:t>
            </m:r>
          </m:sub>
        </m:sSub>
        <m:r>
          <w:rPr>
            <w:rFonts w:ascii="Cambria Math" w:hAnsi="Cambria Math" w:cs="Arial"/>
            <w:color w:val="000000" w:themeColor="text1"/>
          </w:rPr>
          <m:t>=</m:t>
        </m:r>
        <m:nary>
          <m:naryPr>
            <m:chr m:val="∑"/>
            <m:limLoc m:val="undOvr"/>
            <m:supHide m:val="1"/>
            <m:ctrlPr>
              <w:rPr>
                <w:rFonts w:ascii="Cambria Math" w:hAnsi="Cambria Math" w:cs="Arial"/>
                <w:i/>
                <w:color w:val="000000" w:themeColor="text1"/>
              </w:rPr>
            </m:ctrlPr>
          </m:naryPr>
          <m:sub>
            <m:r>
              <w:rPr>
                <w:rFonts w:ascii="Cambria Math" w:hAnsi="Cambria Math" w:cs="Arial"/>
                <w:color w:val="000000" w:themeColor="text1"/>
              </w:rPr>
              <m:t>i∈C</m:t>
            </m:r>
          </m:sub>
          <m:sup/>
          <m:e>
            <m:sSub>
              <m:sSubPr>
                <m:ctrlPr>
                  <w:rPr>
                    <w:rFonts w:ascii="Cambria Math" w:hAnsi="Cambria Math" w:cs="Arial"/>
                    <w:i/>
                    <w:color w:val="000000" w:themeColor="text1"/>
                  </w:rPr>
                </m:ctrlPr>
              </m:sSubPr>
              <m:e>
                <m:r>
                  <w:rPr>
                    <w:rFonts w:ascii="Cambria Math" w:hAnsi="Cambria Math" w:cs="Arial"/>
                    <w:color w:val="000000" w:themeColor="text1"/>
                  </w:rPr>
                  <m:t>P</m:t>
                </m:r>
              </m:e>
              <m:sub>
                <m:r>
                  <w:rPr>
                    <w:rFonts w:ascii="Cambria Math" w:hAnsi="Cambria Math" w:cs="Arial"/>
                    <w:color w:val="000000" w:themeColor="text1"/>
                  </w:rPr>
                  <m:t>i</m:t>
                </m:r>
              </m:sub>
            </m:sSub>
            <m:r>
              <w:rPr>
                <w:rFonts w:ascii="Cambria Math" w:hAnsi="Cambria Math" w:cs="Arial"/>
                <w:color w:val="000000" w:themeColor="text1"/>
              </w:rPr>
              <m:t>⋅</m:t>
            </m:r>
            <m:func>
              <m:funcPr>
                <m:ctrlPr>
                  <w:rPr>
                    <w:rFonts w:ascii="Cambria Math" w:hAnsi="Cambria Math" w:cs="Arial"/>
                    <w:i/>
                    <w:color w:val="000000" w:themeColor="text1"/>
                  </w:rPr>
                </m:ctrlPr>
              </m:funcPr>
              <m:fName>
                <m:r>
                  <m:rPr>
                    <m:sty m:val="p"/>
                  </m:rPr>
                  <w:rPr>
                    <w:rFonts w:ascii="Cambria Math" w:hAnsi="Cambria Math" w:cs="Arial"/>
                    <w:color w:val="000000" w:themeColor="text1"/>
                  </w:rPr>
                  <m:t>max</m:t>
                </m:r>
              </m:fName>
              <m:e>
                <m:r>
                  <w:rPr>
                    <w:rFonts w:ascii="Cambria Math" w:hAnsi="Cambria Math" w:cs="Arial"/>
                    <w:color w:val="000000" w:themeColor="text1"/>
                  </w:rPr>
                  <m:t>(</m:t>
                </m:r>
                <m:sSup>
                  <m:sSupPr>
                    <m:ctrlPr>
                      <w:rPr>
                        <w:rFonts w:ascii="Cambria Math" w:hAnsi="Cambria Math" w:cs="Arial"/>
                        <w:i/>
                        <w:color w:val="000000" w:themeColor="text1"/>
                      </w:rPr>
                    </m:ctrlPr>
                  </m:sSupPr>
                  <m:e>
                    <m:r>
                      <w:rPr>
                        <w:rFonts w:ascii="Cambria Math" w:hAnsi="Cambria Math" w:cs="Arial"/>
                        <w:color w:val="000000" w:themeColor="text1"/>
                      </w:rPr>
                      <m:t>A</m:t>
                    </m:r>
                  </m:e>
                  <m:sup>
                    <m:r>
                      <w:rPr>
                        <w:rFonts w:ascii="Cambria Math" w:hAnsi="Cambria Math" w:cs="Arial"/>
                        <w:color w:val="000000" w:themeColor="text1"/>
                      </w:rPr>
                      <m:t>*</m:t>
                    </m:r>
                  </m:sup>
                </m:sSup>
                <m:r>
                  <w:rPr>
                    <w:rFonts w:ascii="Cambria Math" w:hAnsi="Cambria Math" w:cs="Arial"/>
                    <w:color w:val="000000" w:themeColor="text1"/>
                  </w:rPr>
                  <m:t>-</m:t>
                </m:r>
                <m:sSub>
                  <m:sSubPr>
                    <m:ctrlPr>
                      <w:rPr>
                        <w:rFonts w:ascii="Cambria Math" w:hAnsi="Cambria Math" w:cs="Arial"/>
                        <w:i/>
                        <w:color w:val="000000" w:themeColor="text1"/>
                      </w:rPr>
                    </m:ctrlPr>
                  </m:sSubPr>
                  <m:e>
                    <m:r>
                      <w:rPr>
                        <w:rFonts w:ascii="Cambria Math" w:hAnsi="Cambria Math" w:cs="Arial"/>
                        <w:color w:val="000000" w:themeColor="text1"/>
                      </w:rPr>
                      <m:t>A</m:t>
                    </m:r>
                  </m:e>
                  <m:sub>
                    <m:r>
                      <w:rPr>
                        <w:rFonts w:ascii="Cambria Math" w:hAnsi="Cambria Math" w:cs="Arial"/>
                        <w:color w:val="000000" w:themeColor="text1"/>
                      </w:rPr>
                      <m:t>i</m:t>
                    </m:r>
                  </m:sub>
                </m:sSub>
                <m:r>
                  <w:rPr>
                    <w:rFonts w:ascii="Cambria Math" w:hAnsi="Cambria Math" w:cs="Arial"/>
                    <w:color w:val="000000" w:themeColor="text1"/>
                  </w:rPr>
                  <m:t>,0)</m:t>
                </m:r>
              </m:e>
            </m:func>
          </m:e>
        </m:nary>
      </m:oMath>
      <w:r w:rsidRPr="00B64E05">
        <w:rPr>
          <w:rFonts w:ascii="Arial" w:hAnsi="Arial" w:cs="Arial"/>
          <w:color w:val="000000" w:themeColor="text1"/>
        </w:rPr>
        <w:t>. The number of candidate sites generated for county c was</w:t>
      </w:r>
    </w:p>
    <w:p w14:paraId="7C070978" w14:textId="05E2661E" w:rsidR="00566BB7" w:rsidRPr="00B64E05" w:rsidRDefault="00000000" w:rsidP="00AE1F36">
      <w:pPr>
        <w:spacing w:after="0"/>
        <w:jc w:val="center"/>
        <w:rPr>
          <w:rFonts w:ascii="Arial" w:hAnsi="Arial" w:cs="Arial"/>
          <w:color w:val="000000" w:themeColor="text1"/>
        </w:rPr>
      </w:pPr>
      <m:oMath>
        <m:sSub>
          <m:sSubPr>
            <m:ctrlPr>
              <w:rPr>
                <w:rFonts w:ascii="Cambria Math" w:hAnsi="Cambria Math" w:cs="Arial"/>
                <w:i/>
                <w:color w:val="000000" w:themeColor="text1"/>
              </w:rPr>
            </m:ctrlPr>
          </m:sSubPr>
          <m:e>
            <m:r>
              <w:rPr>
                <w:rFonts w:ascii="Cambria Math" w:hAnsi="Cambria Math" w:cs="Arial"/>
                <w:color w:val="000000" w:themeColor="text1"/>
              </w:rPr>
              <m:t>n</m:t>
            </m:r>
          </m:e>
          <m:sub>
            <m:r>
              <w:rPr>
                <w:rFonts w:ascii="Cambria Math" w:hAnsi="Cambria Math" w:cs="Arial"/>
                <w:color w:val="000000" w:themeColor="text1"/>
              </w:rPr>
              <m:t>c</m:t>
            </m:r>
          </m:sub>
        </m:sSub>
        <m:r>
          <w:rPr>
            <w:rFonts w:ascii="Cambria Math" w:hAnsi="Cambria Math" w:cs="Arial"/>
            <w:color w:val="000000" w:themeColor="text1"/>
          </w:rPr>
          <m:t>=</m:t>
        </m:r>
        <m:func>
          <m:funcPr>
            <m:ctrlPr>
              <w:rPr>
                <w:rFonts w:ascii="Cambria Math" w:hAnsi="Cambria Math" w:cs="Arial"/>
                <w:i/>
                <w:color w:val="000000" w:themeColor="text1"/>
              </w:rPr>
            </m:ctrlPr>
          </m:funcPr>
          <m:fName>
            <m:r>
              <m:rPr>
                <m:sty m:val="p"/>
              </m:rPr>
              <w:rPr>
                <w:rFonts w:ascii="Cambria Math" w:hAnsi="Cambria Math" w:cs="Arial"/>
                <w:color w:val="000000" w:themeColor="text1"/>
              </w:rPr>
              <m:t>min(</m:t>
            </m:r>
          </m:fName>
          <m:e>
            <m:f>
              <m:fPr>
                <m:ctrlPr>
                  <w:rPr>
                    <w:rFonts w:ascii="Cambria Math" w:hAnsi="Cambria Math" w:cs="Arial"/>
                    <w:i/>
                    <w:color w:val="000000" w:themeColor="text1"/>
                  </w:rPr>
                </m:ctrlPr>
              </m:fPr>
              <m:num>
                <m:r>
                  <w:rPr>
                    <w:rFonts w:ascii="Cambria Math" w:hAnsi="Cambria Math" w:cs="Arial"/>
                    <w:color w:val="000000" w:themeColor="text1"/>
                  </w:rPr>
                  <m:t>De</m:t>
                </m:r>
                <m:sSub>
                  <m:sSubPr>
                    <m:ctrlPr>
                      <w:rPr>
                        <w:rFonts w:ascii="Cambria Math" w:hAnsi="Cambria Math" w:cs="Arial"/>
                        <w:i/>
                        <w:color w:val="000000" w:themeColor="text1"/>
                      </w:rPr>
                    </m:ctrlPr>
                  </m:sSubPr>
                  <m:e>
                    <m:r>
                      <w:rPr>
                        <w:rFonts w:ascii="Cambria Math" w:hAnsi="Cambria Math" w:cs="Arial"/>
                        <w:color w:val="000000" w:themeColor="text1"/>
                      </w:rPr>
                      <m:t>f</m:t>
                    </m:r>
                  </m:e>
                  <m:sub>
                    <m:r>
                      <w:rPr>
                        <w:rFonts w:ascii="Cambria Math" w:hAnsi="Cambria Math" w:cs="Arial"/>
                        <w:color w:val="000000" w:themeColor="text1"/>
                      </w:rPr>
                      <m:t>c</m:t>
                    </m:r>
                  </m:sub>
                </m:sSub>
              </m:num>
              <m:den>
                <m:r>
                  <w:rPr>
                    <w:rFonts w:ascii="Cambria Math" w:hAnsi="Cambria Math" w:cs="Arial"/>
                    <w:color w:val="000000" w:themeColor="text1"/>
                  </w:rPr>
                  <m:t>7,500</m:t>
                </m:r>
              </m:den>
            </m:f>
            <m:r>
              <w:rPr>
                <w:rFonts w:ascii="Cambria Math" w:hAnsi="Cambria Math" w:cs="Arial"/>
                <w:color w:val="000000" w:themeColor="text1"/>
              </w:rPr>
              <m:t xml:space="preserve">, </m:t>
            </m:r>
            <m:sSub>
              <m:sSubPr>
                <m:ctrlPr>
                  <w:rPr>
                    <w:rFonts w:ascii="Cambria Math" w:hAnsi="Cambria Math" w:cs="Arial"/>
                    <w:i/>
                    <w:color w:val="000000" w:themeColor="text1"/>
                  </w:rPr>
                </m:ctrlPr>
              </m:sSubPr>
              <m:e>
                <m:r>
                  <w:rPr>
                    <w:rFonts w:ascii="Cambria Math" w:hAnsi="Cambria Math" w:cs="Arial"/>
                    <w:color w:val="000000" w:themeColor="text1"/>
                  </w:rPr>
                  <m:t>n</m:t>
                </m:r>
              </m:e>
              <m:sub>
                <m:r>
                  <w:rPr>
                    <w:rFonts w:ascii="Cambria Math" w:hAnsi="Cambria Math" w:cs="Arial"/>
                    <w:color w:val="000000" w:themeColor="text1"/>
                  </w:rPr>
                  <m:t>max</m:t>
                </m:r>
              </m:sub>
            </m:sSub>
            <m:r>
              <w:rPr>
                <w:rFonts w:ascii="Cambria Math" w:hAnsi="Cambria Math" w:cs="Arial"/>
                <w:color w:val="000000" w:themeColor="text1"/>
              </w:rPr>
              <m:t xml:space="preserve">, </m:t>
            </m:r>
            <m:sSub>
              <m:sSubPr>
                <m:ctrlPr>
                  <w:rPr>
                    <w:rFonts w:ascii="Cambria Math" w:hAnsi="Cambria Math" w:cs="Arial"/>
                    <w:i/>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c</m:t>
                </m:r>
              </m:sub>
            </m:sSub>
            <m:r>
              <w:rPr>
                <w:rFonts w:ascii="Cambria Math" w:hAnsi="Cambria Math" w:cs="Arial"/>
                <w:color w:val="000000" w:themeColor="text1"/>
              </w:rPr>
              <m:t>)</m:t>
            </m:r>
          </m:e>
        </m:func>
      </m:oMath>
      <w:r w:rsidR="00CC6BC6">
        <w:rPr>
          <w:rFonts w:ascii="Arial" w:hAnsi="Arial" w:cs="Arial"/>
          <w:color w:val="000000" w:themeColor="text1"/>
        </w:rPr>
        <w:t xml:space="preserve">   </w:t>
      </w:r>
      <w:r w:rsidR="00AE1F36">
        <w:rPr>
          <w:rFonts w:ascii="Arial" w:hAnsi="Arial" w:cs="Arial"/>
          <w:color w:val="000000" w:themeColor="text1"/>
        </w:rPr>
        <w:tab/>
      </w:r>
      <w:r w:rsidR="00AE1F36">
        <w:rPr>
          <w:rFonts w:ascii="Arial" w:hAnsi="Arial" w:cs="Arial"/>
          <w:color w:val="000000" w:themeColor="text1"/>
        </w:rPr>
        <w:tab/>
      </w:r>
      <w:r w:rsidR="00CC6BC6">
        <w:rPr>
          <w:rFonts w:ascii="Arial" w:hAnsi="Arial" w:cs="Arial"/>
          <w:color w:val="000000" w:themeColor="text1"/>
        </w:rPr>
        <w:t>(S1)</w:t>
      </w:r>
    </w:p>
    <w:p w14:paraId="35033E8D" w14:textId="731AF0AE" w:rsidR="00566BB7" w:rsidRPr="00B64E05" w:rsidRDefault="00000000" w:rsidP="00406C78">
      <w:pPr>
        <w:spacing w:after="0"/>
        <w:jc w:val="both"/>
        <w:rPr>
          <w:rFonts w:ascii="Arial" w:hAnsi="Arial" w:cs="Arial"/>
          <w:color w:val="000000" w:themeColor="text1"/>
        </w:rPr>
      </w:pPr>
      <w:r w:rsidRPr="00B64E05">
        <w:rPr>
          <w:rFonts w:ascii="Arial" w:hAnsi="Arial" w:cs="Arial"/>
          <w:color w:val="000000" w:themeColor="text1"/>
        </w:rPr>
        <w:t xml:space="preserve">where </w:t>
      </w:r>
      <m:oMath>
        <m:sSub>
          <m:sSubPr>
            <m:ctrlPr>
              <w:rPr>
                <w:rFonts w:ascii="Cambria Math" w:hAnsi="Cambria Math" w:cs="Arial"/>
                <w:i/>
                <w:color w:val="000000" w:themeColor="text1"/>
              </w:rPr>
            </m:ctrlPr>
          </m:sSubPr>
          <m:e>
            <m:r>
              <w:rPr>
                <w:rFonts w:ascii="Cambria Math" w:hAnsi="Cambria Math" w:cs="Arial"/>
                <w:color w:val="000000" w:themeColor="text1"/>
              </w:rPr>
              <m:t>n</m:t>
            </m:r>
          </m:e>
          <m:sub>
            <m:r>
              <w:rPr>
                <w:rFonts w:ascii="Cambria Math" w:hAnsi="Cambria Math" w:cs="Arial"/>
                <w:color w:val="000000" w:themeColor="text1"/>
              </w:rPr>
              <m:t>max</m:t>
            </m:r>
          </m:sub>
        </m:sSub>
        <m:r>
          <w:rPr>
            <w:rFonts w:ascii="Cambria Math" w:hAnsi="Cambria Math" w:cs="Arial"/>
            <w:color w:val="000000" w:themeColor="text1"/>
          </w:rPr>
          <m:t xml:space="preserve"> </m:t>
        </m:r>
      </m:oMath>
      <w:r w:rsidRPr="00B64E05">
        <w:rPr>
          <w:rFonts w:ascii="Arial" w:hAnsi="Arial" w:cs="Arial"/>
          <w:color w:val="000000" w:themeColor="text1"/>
        </w:rPr>
        <w:t xml:space="preserve">is the maximum number of candidates permitted in a county (six) and </w:t>
      </w:r>
      <m:oMath>
        <m:sSub>
          <m:sSubPr>
            <m:ctrlPr>
              <w:rPr>
                <w:rFonts w:ascii="Cambria Math" w:hAnsi="Cambria Math" w:cs="Arial"/>
                <w:i/>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c</m:t>
            </m:r>
          </m:sub>
        </m:sSub>
      </m:oMath>
      <w:r w:rsidRPr="00B64E05">
        <w:rPr>
          <w:rFonts w:ascii="Arial" w:hAnsi="Arial" w:cs="Arial"/>
          <w:color w:val="000000" w:themeColor="text1"/>
        </w:rPr>
        <w:t xml:space="preserve"> is the number of access-gap tracts in the county. Dividing the deficit by the assumed annual design capacity of 7,500 screening examinations translated the estimated access shortfall into an approximate number of candidate facilities, generating more candidates where deficits were larger while limiting concentration within any single county. An accessibility-based shortfall was used rather than a raw county capacity deficit because residents may obtain screening across county boundaries.</w:t>
      </w:r>
    </w:p>
    <w:p w14:paraId="588367BC" w14:textId="596B85CB" w:rsidR="00566BB7" w:rsidRPr="00B64E05" w:rsidRDefault="00000000" w:rsidP="00406C78">
      <w:pPr>
        <w:spacing w:after="0"/>
        <w:jc w:val="both"/>
        <w:rPr>
          <w:rFonts w:ascii="Arial" w:hAnsi="Arial" w:cs="Arial"/>
          <w:color w:val="000000" w:themeColor="text1"/>
        </w:rPr>
      </w:pPr>
      <w:r w:rsidRPr="00B64E05">
        <w:rPr>
          <w:rFonts w:ascii="Arial" w:hAnsi="Arial" w:cs="Arial"/>
          <w:color w:val="000000" w:themeColor="text1"/>
        </w:rPr>
        <w:lastRenderedPageBreak/>
        <w:t xml:space="preserve">Within each county, gap tracts were partitioned into spatial clusters using population-weighted k-means with tract-centroid latitude and longitude as features and </w:t>
      </w:r>
      <m:oMath>
        <m:sSub>
          <m:sSubPr>
            <m:ctrlPr>
              <w:rPr>
                <w:rFonts w:ascii="Cambria Math" w:hAnsi="Cambria Math" w:cs="Arial"/>
                <w:i/>
                <w:color w:val="000000" w:themeColor="text1"/>
              </w:rPr>
            </m:ctrlPr>
          </m:sSubPr>
          <m:e>
            <m:r>
              <w:rPr>
                <w:rFonts w:ascii="Cambria Math" w:hAnsi="Cambria Math" w:cs="Arial"/>
                <w:color w:val="000000" w:themeColor="text1"/>
              </w:rPr>
              <m:t>P</m:t>
            </m:r>
          </m:e>
          <m:sub>
            <m:r>
              <w:rPr>
                <w:rFonts w:ascii="Cambria Math" w:hAnsi="Cambria Math" w:cs="Arial"/>
                <w:color w:val="000000" w:themeColor="text1"/>
              </w:rPr>
              <m:t>i</m:t>
            </m:r>
          </m:sub>
        </m:sSub>
      </m:oMath>
      <w:r w:rsidRPr="00B64E05">
        <w:rPr>
          <w:rFonts w:ascii="Arial" w:hAnsi="Arial" w:cs="Arial"/>
          <w:color w:val="000000" w:themeColor="text1"/>
        </w:rPr>
        <w:t>as the weight. Each cluster was snapped to an observed tract by selecting the gap tract with the largest screening-eligible population and using its centroid as the provisional candidate location, avoiding placement at an abstract centroid in an unpopulated area. A provisional site was retained only if at least 2,500 eligible women lived within the 60-km catchment radius; catchment demand, existing catchment capacity, local net deficit, and distance to the nearest existing facility were recorded. No minimum-distance exclusion was imposed, because proximity to an existing facility can still indicate inadequate capacity relative to competing demand. Geographic sufficiency of the finalized pool was verified by temporarily making all existing and candidate facilities available in a maximum-coverage assignment.</w:t>
      </w:r>
    </w:p>
    <w:p w14:paraId="442F8032" w14:textId="77777777" w:rsidR="00566BB7" w:rsidRPr="00B64E05" w:rsidRDefault="00000000" w:rsidP="00406C78">
      <w:pPr>
        <w:pStyle w:val="Heading1"/>
        <w:jc w:val="both"/>
        <w:rPr>
          <w:rFonts w:ascii="Arial" w:hAnsi="Arial" w:cs="Arial"/>
          <w:color w:val="000000" w:themeColor="text1"/>
          <w:sz w:val="22"/>
          <w:szCs w:val="22"/>
        </w:rPr>
      </w:pPr>
      <w:r w:rsidRPr="00B64E05">
        <w:rPr>
          <w:rFonts w:ascii="Arial" w:hAnsi="Arial" w:cs="Arial"/>
          <w:color w:val="000000" w:themeColor="text1"/>
          <w:sz w:val="22"/>
          <w:szCs w:val="22"/>
        </w:rPr>
        <w:t>S4. Scenario construction, notation, and computational implementation</w:t>
      </w:r>
    </w:p>
    <w:p w14:paraId="6D55E364" w14:textId="77777777" w:rsidR="00566BB7" w:rsidRDefault="00000000" w:rsidP="00406C78">
      <w:pPr>
        <w:spacing w:after="0"/>
        <w:jc w:val="both"/>
        <w:rPr>
          <w:rFonts w:ascii="Arial" w:hAnsi="Arial" w:cs="Arial"/>
          <w:color w:val="000000" w:themeColor="text1"/>
        </w:rPr>
      </w:pPr>
      <w:r w:rsidRPr="00B64E05">
        <w:rPr>
          <w:rFonts w:ascii="Arial" w:hAnsi="Arial" w:cs="Arial"/>
          <w:color w:val="000000" w:themeColor="text1"/>
        </w:rPr>
        <w:t>The complete two-stage stochastic formulation, with its lexicographic objective, is given in the main-text Methods and is not repeated here. This section provides the scenario construction (S4.1), the model notation (Tables S2 and S3), and the computational implementation (S4.2).</w:t>
      </w:r>
    </w:p>
    <w:p w14:paraId="5B2FBC0C" w14:textId="77777777" w:rsidR="00AE1F36" w:rsidRPr="00B64E05" w:rsidRDefault="00AE1F36" w:rsidP="00406C78">
      <w:pPr>
        <w:spacing w:after="0"/>
        <w:jc w:val="both"/>
        <w:rPr>
          <w:rFonts w:ascii="Arial" w:hAnsi="Arial" w:cs="Arial"/>
          <w:color w:val="000000" w:themeColor="text1"/>
        </w:rPr>
      </w:pPr>
    </w:p>
    <w:p w14:paraId="13015C61" w14:textId="77777777" w:rsidR="00566BB7" w:rsidRPr="00B64E05" w:rsidRDefault="00000000" w:rsidP="00406C78">
      <w:pPr>
        <w:spacing w:after="0"/>
        <w:jc w:val="both"/>
        <w:rPr>
          <w:rFonts w:ascii="Arial" w:hAnsi="Arial" w:cs="Arial"/>
          <w:color w:val="000000" w:themeColor="text1"/>
        </w:rPr>
      </w:pPr>
      <w:r w:rsidRPr="00AE1F36">
        <w:rPr>
          <w:rFonts w:ascii="Arial" w:hAnsi="Arial" w:cs="Arial"/>
          <w:b/>
          <w:bCs/>
          <w:i/>
          <w:color w:val="000000" w:themeColor="text1"/>
        </w:rPr>
        <w:t>Table S2.</w:t>
      </w:r>
      <w:r w:rsidRPr="00B64E05">
        <w:rPr>
          <w:rFonts w:ascii="Arial" w:hAnsi="Arial" w:cs="Arial"/>
          <w:i/>
          <w:color w:val="000000" w:themeColor="text1"/>
        </w:rPr>
        <w:t xml:space="preserve"> Model sets and parameters.</w:t>
      </w:r>
    </w:p>
    <w:tbl>
      <w:tblPr>
        <w:tblStyle w:val="TableGrid"/>
        <w:tblW w:w="0" w:type="auto"/>
        <w:tblLook w:val="04A0" w:firstRow="1" w:lastRow="0" w:firstColumn="1" w:lastColumn="0" w:noHBand="0" w:noVBand="1"/>
      </w:tblPr>
      <w:tblGrid>
        <w:gridCol w:w="1011"/>
        <w:gridCol w:w="8428"/>
      </w:tblGrid>
      <w:tr w:rsidR="00566BB7" w:rsidRPr="00B64E05" w14:paraId="7571EE99" w14:textId="77777777" w:rsidTr="00406C78">
        <w:tc>
          <w:tcPr>
            <w:tcW w:w="950" w:type="dxa"/>
          </w:tcPr>
          <w:p w14:paraId="3641C20A" w14:textId="77777777" w:rsidR="00566BB7" w:rsidRPr="00AE1F36" w:rsidRDefault="00000000" w:rsidP="00406C78">
            <w:pPr>
              <w:spacing w:line="276" w:lineRule="auto"/>
              <w:jc w:val="both"/>
              <w:rPr>
                <w:rFonts w:ascii="Arial" w:hAnsi="Arial" w:cs="Arial"/>
                <w:b/>
                <w:bCs/>
                <w:color w:val="000000" w:themeColor="text1"/>
              </w:rPr>
            </w:pPr>
            <w:r w:rsidRPr="00AE1F36">
              <w:rPr>
                <w:rFonts w:ascii="Arial" w:hAnsi="Arial" w:cs="Arial"/>
                <w:b/>
                <w:bCs/>
                <w:color w:val="000000" w:themeColor="text1"/>
              </w:rPr>
              <w:t>Symbol</w:t>
            </w:r>
          </w:p>
        </w:tc>
        <w:tc>
          <w:tcPr>
            <w:tcW w:w="8428" w:type="dxa"/>
          </w:tcPr>
          <w:p w14:paraId="13BDDA71" w14:textId="77777777" w:rsidR="00566BB7" w:rsidRPr="00AE1F36" w:rsidRDefault="00000000" w:rsidP="00406C78">
            <w:pPr>
              <w:spacing w:line="276" w:lineRule="auto"/>
              <w:jc w:val="both"/>
              <w:rPr>
                <w:rFonts w:ascii="Arial" w:hAnsi="Arial" w:cs="Arial"/>
                <w:b/>
                <w:bCs/>
                <w:color w:val="000000" w:themeColor="text1"/>
              </w:rPr>
            </w:pPr>
            <w:r w:rsidRPr="00AE1F36">
              <w:rPr>
                <w:rFonts w:ascii="Arial" w:hAnsi="Arial" w:cs="Arial"/>
                <w:b/>
                <w:bCs/>
                <w:color w:val="000000" w:themeColor="text1"/>
              </w:rPr>
              <w:t>Definition</w:t>
            </w:r>
          </w:p>
        </w:tc>
      </w:tr>
      <w:tr w:rsidR="00566BB7" w:rsidRPr="00B64E05" w14:paraId="0A71E0CE" w14:textId="77777777" w:rsidTr="00406C78">
        <w:tc>
          <w:tcPr>
            <w:tcW w:w="950" w:type="dxa"/>
          </w:tcPr>
          <w:p w14:paraId="2EDB63B6" w14:textId="77777777" w:rsidR="00566BB7" w:rsidRPr="00B64E05" w:rsidRDefault="00000000" w:rsidP="00406C78">
            <w:pPr>
              <w:spacing w:line="276" w:lineRule="auto"/>
              <w:jc w:val="both"/>
              <w:rPr>
                <w:rFonts w:ascii="Arial" w:hAnsi="Arial" w:cs="Arial"/>
                <w:color w:val="000000" w:themeColor="text1"/>
              </w:rPr>
            </w:pPr>
            <m:oMathPara>
              <m:oMath>
                <m:r>
                  <w:rPr>
                    <w:rFonts w:ascii="Cambria Math" w:hAnsi="Cambria Math" w:cs="Arial"/>
                    <w:color w:val="000000" w:themeColor="text1"/>
                  </w:rPr>
                  <m:t>I</m:t>
                </m:r>
              </m:oMath>
            </m:oMathPara>
          </w:p>
        </w:tc>
        <w:tc>
          <w:tcPr>
            <w:tcW w:w="8428" w:type="dxa"/>
          </w:tcPr>
          <w:p w14:paraId="318D07D2" w14:textId="7D130EF1"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Texas counties represented by county centroids (|</w:t>
            </w:r>
            <m:oMath>
              <m:r>
                <w:rPr>
                  <w:rFonts w:ascii="Cambria Math" w:hAnsi="Cambria Math" w:cs="Arial"/>
                  <w:color w:val="000000" w:themeColor="text1"/>
                </w:rPr>
                <m:t>I</m:t>
              </m:r>
            </m:oMath>
            <w:r w:rsidRPr="00B64E05">
              <w:rPr>
                <w:rFonts w:ascii="Arial" w:hAnsi="Arial" w:cs="Arial"/>
                <w:color w:val="000000" w:themeColor="text1"/>
              </w:rPr>
              <w:t>| = 254).</w:t>
            </w:r>
          </w:p>
        </w:tc>
      </w:tr>
      <w:tr w:rsidR="00566BB7" w:rsidRPr="00B64E05" w14:paraId="6EF6AF2D" w14:textId="77777777" w:rsidTr="00406C78">
        <w:tc>
          <w:tcPr>
            <w:tcW w:w="950" w:type="dxa"/>
          </w:tcPr>
          <w:p w14:paraId="4DC9E653" w14:textId="77777777" w:rsidR="00566BB7" w:rsidRPr="00B64E05" w:rsidRDefault="00000000" w:rsidP="00406C78">
            <w:pPr>
              <w:spacing w:line="276" w:lineRule="auto"/>
              <w:jc w:val="both"/>
              <w:rPr>
                <w:rFonts w:ascii="Arial" w:hAnsi="Arial" w:cs="Arial"/>
                <w:color w:val="000000" w:themeColor="text1"/>
              </w:rPr>
            </w:pPr>
            <m:oMathPara>
              <m:oMath>
                <m:sSup>
                  <m:sSupPr>
                    <m:ctrlPr>
                      <w:rPr>
                        <w:rFonts w:ascii="Cambria Math" w:hAnsi="Cambria Math" w:cs="Arial"/>
                        <w:color w:val="000000" w:themeColor="text1"/>
                      </w:rPr>
                    </m:ctrlPr>
                  </m:sSupPr>
                  <m:e>
                    <m:r>
                      <w:rPr>
                        <w:rFonts w:ascii="Cambria Math" w:hAnsi="Cambria Math" w:cs="Arial"/>
                        <w:color w:val="000000" w:themeColor="text1"/>
                      </w:rPr>
                      <m:t>J</m:t>
                    </m:r>
                  </m:e>
                  <m:sup>
                    <m:r>
                      <w:rPr>
                        <w:rFonts w:ascii="Cambria Math" w:hAnsi="Cambria Math" w:cs="Arial"/>
                        <w:color w:val="000000" w:themeColor="text1"/>
                      </w:rPr>
                      <m:t>E</m:t>
                    </m:r>
                  </m:sup>
                </m:sSup>
              </m:oMath>
            </m:oMathPara>
          </w:p>
        </w:tc>
        <w:tc>
          <w:tcPr>
            <w:tcW w:w="8428" w:type="dxa"/>
          </w:tcPr>
          <w:p w14:paraId="5595CD6D" w14:textId="18C077FB"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Existing MQSA-certified facilities, always open (|</w:t>
            </w:r>
            <w:r w:rsidR="000B3CEB">
              <w:rPr>
                <w:rFonts w:ascii="Cambria Math" w:hAnsi="Cambria Math" w:cs="Arial"/>
                <w:color w:val="000000" w:themeColor="text1"/>
              </w:rPr>
              <w:br/>
            </w:r>
            <m:oMath>
              <m:sSup>
                <m:sSupPr>
                  <m:ctrlPr>
                    <w:rPr>
                      <w:rFonts w:ascii="Cambria Math" w:hAnsi="Cambria Math" w:cs="Arial"/>
                      <w:color w:val="000000" w:themeColor="text1"/>
                    </w:rPr>
                  </m:ctrlPr>
                </m:sSupPr>
                <m:e>
                  <m:r>
                    <w:rPr>
                      <w:rFonts w:ascii="Cambria Math" w:hAnsi="Cambria Math" w:cs="Arial"/>
                      <w:color w:val="000000" w:themeColor="text1"/>
                    </w:rPr>
                    <m:t>J</m:t>
                  </m:r>
                </m:e>
                <m:sup>
                  <m:r>
                    <w:rPr>
                      <w:rFonts w:ascii="Cambria Math" w:hAnsi="Cambria Math" w:cs="Arial"/>
                      <w:color w:val="000000" w:themeColor="text1"/>
                    </w:rPr>
                    <m:t>E</m:t>
                  </m:r>
                </m:sup>
              </m:sSup>
            </m:oMath>
            <w:r w:rsidRPr="00B64E05">
              <w:rPr>
                <w:rFonts w:ascii="Arial" w:hAnsi="Arial" w:cs="Arial"/>
                <w:color w:val="000000" w:themeColor="text1"/>
              </w:rPr>
              <w:t>| = 615).</w:t>
            </w:r>
          </w:p>
        </w:tc>
      </w:tr>
      <w:tr w:rsidR="00566BB7" w:rsidRPr="00B64E05" w14:paraId="71BA3809" w14:textId="77777777" w:rsidTr="00406C78">
        <w:tc>
          <w:tcPr>
            <w:tcW w:w="950" w:type="dxa"/>
          </w:tcPr>
          <w:p w14:paraId="08AB56B9" w14:textId="77777777" w:rsidR="00566BB7" w:rsidRPr="00B64E05" w:rsidRDefault="00000000" w:rsidP="00406C78">
            <w:pPr>
              <w:spacing w:line="276" w:lineRule="auto"/>
              <w:jc w:val="both"/>
              <w:rPr>
                <w:rFonts w:ascii="Arial" w:hAnsi="Arial" w:cs="Arial"/>
                <w:color w:val="000000" w:themeColor="text1"/>
              </w:rPr>
            </w:pPr>
            <m:oMathPara>
              <m:oMath>
                <m:sSup>
                  <m:sSupPr>
                    <m:ctrlPr>
                      <w:rPr>
                        <w:rFonts w:ascii="Cambria Math" w:hAnsi="Cambria Math" w:cs="Arial"/>
                        <w:color w:val="000000" w:themeColor="text1"/>
                      </w:rPr>
                    </m:ctrlPr>
                  </m:sSupPr>
                  <m:e>
                    <m:r>
                      <w:rPr>
                        <w:rFonts w:ascii="Cambria Math" w:hAnsi="Cambria Math" w:cs="Arial"/>
                        <w:color w:val="000000" w:themeColor="text1"/>
                      </w:rPr>
                      <m:t>J</m:t>
                    </m:r>
                  </m:e>
                  <m:sup>
                    <m:r>
                      <w:rPr>
                        <w:rFonts w:ascii="Cambria Math" w:hAnsi="Cambria Math" w:cs="Arial"/>
                        <w:color w:val="000000" w:themeColor="text1"/>
                      </w:rPr>
                      <m:t>C</m:t>
                    </m:r>
                  </m:sup>
                </m:sSup>
              </m:oMath>
            </m:oMathPara>
          </w:p>
        </w:tc>
        <w:tc>
          <w:tcPr>
            <w:tcW w:w="8428" w:type="dxa"/>
          </w:tcPr>
          <w:p w14:paraId="302AB6F9"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Candidate facility locations generated in S3 (|Jᶜ| = 222).</w:t>
            </w:r>
          </w:p>
        </w:tc>
      </w:tr>
      <w:tr w:rsidR="00566BB7" w:rsidRPr="00B64E05" w14:paraId="7242E8F4" w14:textId="77777777" w:rsidTr="00406C78">
        <w:tc>
          <w:tcPr>
            <w:tcW w:w="950" w:type="dxa"/>
          </w:tcPr>
          <w:p w14:paraId="10049959" w14:textId="77777777" w:rsidR="00566BB7" w:rsidRPr="00B64E05" w:rsidRDefault="00000000" w:rsidP="00406C78">
            <w:pPr>
              <w:spacing w:line="276" w:lineRule="auto"/>
              <w:jc w:val="both"/>
              <w:rPr>
                <w:rFonts w:ascii="Arial" w:hAnsi="Arial" w:cs="Arial"/>
                <w:color w:val="000000" w:themeColor="text1"/>
              </w:rPr>
            </w:pPr>
            <m:oMathPara>
              <m:oMath>
                <m:r>
                  <w:rPr>
                    <w:rFonts w:ascii="Cambria Math" w:hAnsi="Cambria Math" w:cs="Arial"/>
                    <w:color w:val="000000" w:themeColor="text1"/>
                  </w:rPr>
                  <m:t>K</m:t>
                </m:r>
              </m:oMath>
            </m:oMathPara>
          </w:p>
        </w:tc>
        <w:tc>
          <w:tcPr>
            <w:tcW w:w="8428" w:type="dxa"/>
          </w:tcPr>
          <w:p w14:paraId="1B7BAA59"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Eight mutually exclusive race/ethnicity groups (NH White, NH Black, NH Native American, NH Asian, NH Pacific Islander, NH Other, NH Two-or-more, Hispanic).</w:t>
            </w:r>
          </w:p>
        </w:tc>
      </w:tr>
      <w:tr w:rsidR="00566BB7" w:rsidRPr="00B64E05" w14:paraId="734AAD63" w14:textId="77777777" w:rsidTr="00406C78">
        <w:tc>
          <w:tcPr>
            <w:tcW w:w="950" w:type="dxa"/>
          </w:tcPr>
          <w:p w14:paraId="0BEFC391" w14:textId="77777777" w:rsidR="00566BB7" w:rsidRPr="00B64E05" w:rsidRDefault="00000000" w:rsidP="00406C78">
            <w:pPr>
              <w:spacing w:line="276" w:lineRule="auto"/>
              <w:jc w:val="both"/>
              <w:rPr>
                <w:rFonts w:ascii="Arial" w:hAnsi="Arial" w:cs="Arial"/>
                <w:color w:val="000000" w:themeColor="text1"/>
              </w:rPr>
            </w:pPr>
            <m:oMathPara>
              <m:oMath>
                <m:r>
                  <w:rPr>
                    <w:rFonts w:ascii="Cambria Math" w:hAnsi="Cambria Math" w:cs="Arial"/>
                    <w:color w:val="000000" w:themeColor="text1"/>
                  </w:rPr>
                  <m:t>S</m:t>
                </m:r>
              </m:oMath>
            </m:oMathPara>
          </w:p>
        </w:tc>
        <w:tc>
          <w:tcPr>
            <w:tcW w:w="8428" w:type="dxa"/>
          </w:tcPr>
          <w:p w14:paraId="082E4CF3"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Set of nine demand–capacity scenarios.</w:t>
            </w:r>
          </w:p>
        </w:tc>
      </w:tr>
      <w:tr w:rsidR="00566BB7" w:rsidRPr="00B64E05" w14:paraId="7DA7D2C8" w14:textId="77777777" w:rsidTr="00406C78">
        <w:tc>
          <w:tcPr>
            <w:tcW w:w="950" w:type="dxa"/>
          </w:tcPr>
          <w:p w14:paraId="12EAA821" w14:textId="77777777" w:rsidR="00566BB7" w:rsidRPr="00B64E05" w:rsidRDefault="00000000" w:rsidP="00406C78">
            <w:pPr>
              <w:spacing w:line="276" w:lineRule="auto"/>
              <w:jc w:val="both"/>
              <w:rPr>
                <w:rFonts w:ascii="Arial" w:hAnsi="Arial" w:cs="Arial"/>
                <w:color w:val="000000" w:themeColor="text1"/>
              </w:rPr>
            </w:pPr>
            <m:oMathPara>
              <m:oMath>
                <m:r>
                  <m:rPr>
                    <m:scr m:val="script"/>
                  </m:rPr>
                  <w:rPr>
                    <w:rFonts w:ascii="Cambria Math" w:hAnsi="Cambria Math" w:cs="Arial"/>
                    <w:color w:val="000000" w:themeColor="text1"/>
                  </w:rPr>
                  <m:t>P</m:t>
                </m:r>
              </m:oMath>
            </m:oMathPara>
          </w:p>
        </w:tc>
        <w:tc>
          <w:tcPr>
            <w:tcW w:w="8428" w:type="dxa"/>
          </w:tcPr>
          <w:p w14:paraId="4F40A286"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Accessible county–facility pairs (|</w:t>
            </w:r>
            <w:r w:rsidRPr="00B64E05">
              <w:rPr>
                <w:rFonts w:ascii="Cambria Math" w:hAnsi="Cambria Math" w:cs="Cambria Math"/>
                <w:color w:val="000000" w:themeColor="text1"/>
              </w:rPr>
              <w:t>𝒫</w:t>
            </w:r>
            <w:r w:rsidRPr="00B64E05">
              <w:rPr>
                <w:rFonts w:ascii="Arial" w:hAnsi="Arial" w:cs="Arial"/>
                <w:color w:val="000000" w:themeColor="text1"/>
              </w:rPr>
              <w:t>| = 3,920).</w:t>
            </w:r>
          </w:p>
        </w:tc>
      </w:tr>
      <w:tr w:rsidR="00566BB7" w:rsidRPr="00B64E05" w14:paraId="2494D9D9" w14:textId="77777777" w:rsidTr="00406C78">
        <w:tc>
          <w:tcPr>
            <w:tcW w:w="950" w:type="dxa"/>
          </w:tcPr>
          <w:p w14:paraId="2A4E3646" w14:textId="77777777" w:rsidR="00566BB7" w:rsidRPr="00B64E05" w:rsidRDefault="00000000" w:rsidP="00406C78">
            <w:pPr>
              <w:spacing w:line="276" w:lineRule="auto"/>
              <w:jc w:val="both"/>
              <w:rPr>
                <w:rFonts w:ascii="Arial" w:hAnsi="Arial" w:cs="Arial"/>
                <w:color w:val="000000" w:themeColor="text1"/>
              </w:rPr>
            </w:pPr>
            <m:oMathPara>
              <m:oMath>
                <m:sSubSup>
                  <m:sSubSupPr>
                    <m:ctrlPr>
                      <w:rPr>
                        <w:rFonts w:ascii="Cambria Math" w:hAnsi="Cambria Math" w:cs="Arial"/>
                        <w:color w:val="000000" w:themeColor="text1"/>
                      </w:rPr>
                    </m:ctrlPr>
                  </m:sSubSupPr>
                  <m:e>
                    <m:r>
                      <w:rPr>
                        <w:rFonts w:ascii="Cambria Math" w:hAnsi="Cambria Math" w:cs="Arial"/>
                        <w:color w:val="000000" w:themeColor="text1"/>
                      </w:rPr>
                      <m:t>D</m:t>
                    </m:r>
                  </m:e>
                  <m:sub>
                    <m:r>
                      <w:rPr>
                        <w:rFonts w:ascii="Cambria Math" w:hAnsi="Cambria Math" w:cs="Arial"/>
                        <w:color w:val="000000" w:themeColor="text1"/>
                      </w:rPr>
                      <m:t>i</m:t>
                    </m:r>
                  </m:sub>
                  <m:sup>
                    <m:r>
                      <w:rPr>
                        <w:rFonts w:ascii="Cambria Math" w:hAnsi="Cambria Math" w:cs="Arial"/>
                        <w:color w:val="000000" w:themeColor="text1"/>
                      </w:rPr>
                      <m:t>s</m:t>
                    </m:r>
                  </m:sup>
                </m:sSubSup>
              </m:oMath>
            </m:oMathPara>
          </w:p>
        </w:tc>
        <w:tc>
          <w:tcPr>
            <w:tcW w:w="8428" w:type="dxa"/>
          </w:tcPr>
          <w:p w14:paraId="1584D966" w14:textId="77777777" w:rsidR="00566BB7" w:rsidRPr="00B64E05" w:rsidRDefault="00000000" w:rsidP="00406C78">
            <w:pPr>
              <w:spacing w:line="276" w:lineRule="auto"/>
              <w:jc w:val="both"/>
              <w:rPr>
                <w:rFonts w:ascii="Arial" w:hAnsi="Arial" w:cs="Arial"/>
                <w:color w:val="000000" w:themeColor="text1"/>
              </w:rPr>
            </w:pPr>
            <w:proofErr w:type="gramStart"/>
            <w:r w:rsidRPr="00B64E05">
              <w:rPr>
                <w:rFonts w:ascii="Arial" w:hAnsi="Arial" w:cs="Arial"/>
                <w:color w:val="000000" w:themeColor="text1"/>
              </w:rPr>
              <w:t>Eligible-woman</w:t>
            </w:r>
            <w:proofErr w:type="gramEnd"/>
            <w:r w:rsidRPr="00B64E05">
              <w:rPr>
                <w:rFonts w:ascii="Arial" w:hAnsi="Arial" w:cs="Arial"/>
                <w:color w:val="000000" w:themeColor="text1"/>
              </w:rPr>
              <w:t xml:space="preserve"> demand in county i under scenario s.</w:t>
            </w:r>
          </w:p>
        </w:tc>
      </w:tr>
      <w:tr w:rsidR="00566BB7" w:rsidRPr="00B64E05" w14:paraId="51F659C3" w14:textId="77777777" w:rsidTr="00406C78">
        <w:tc>
          <w:tcPr>
            <w:tcW w:w="950" w:type="dxa"/>
          </w:tcPr>
          <w:p w14:paraId="7D7631B8" w14:textId="77777777" w:rsidR="00566BB7" w:rsidRPr="00B64E05" w:rsidRDefault="00000000" w:rsidP="00406C78">
            <w:pPr>
              <w:spacing w:line="276" w:lineRule="auto"/>
              <w:jc w:val="both"/>
              <w:rPr>
                <w:rFonts w:ascii="Arial" w:hAnsi="Arial" w:cs="Arial"/>
                <w:color w:val="000000" w:themeColor="text1"/>
              </w:rPr>
            </w:pPr>
            <m:oMathPara>
              <m:oMath>
                <m:sSubSup>
                  <m:sSubSupPr>
                    <m:ctrlPr>
                      <w:rPr>
                        <w:rFonts w:ascii="Cambria Math" w:hAnsi="Cambria Math" w:cs="Arial"/>
                        <w:color w:val="000000" w:themeColor="text1"/>
                      </w:rPr>
                    </m:ctrlPr>
                  </m:sSubSupPr>
                  <m:e>
                    <m:r>
                      <w:rPr>
                        <w:rFonts w:ascii="Cambria Math" w:hAnsi="Cambria Math" w:cs="Arial"/>
                        <w:color w:val="000000" w:themeColor="text1"/>
                      </w:rPr>
                      <m:t>κ</m:t>
                    </m:r>
                  </m:e>
                  <m:sub>
                    <m:r>
                      <w:rPr>
                        <w:rFonts w:ascii="Cambria Math" w:hAnsi="Cambria Math" w:cs="Arial"/>
                        <w:color w:val="000000" w:themeColor="text1"/>
                      </w:rPr>
                      <m:t>j</m:t>
                    </m:r>
                  </m:sub>
                  <m:sup>
                    <m:r>
                      <w:rPr>
                        <w:rFonts w:ascii="Cambria Math" w:hAnsi="Cambria Math" w:cs="Arial"/>
                        <w:color w:val="000000" w:themeColor="text1"/>
                      </w:rPr>
                      <m:t>s</m:t>
                    </m:r>
                  </m:sup>
                </m:sSubSup>
              </m:oMath>
            </m:oMathPara>
          </w:p>
        </w:tc>
        <w:tc>
          <w:tcPr>
            <w:tcW w:w="8428" w:type="dxa"/>
          </w:tcPr>
          <w:p w14:paraId="3A5E6285" w14:textId="137BB0F9"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 xml:space="preserve">Available annual screening capacity of facility </w:t>
            </w:r>
            <m:oMath>
              <m:r>
                <w:rPr>
                  <w:rFonts w:ascii="Cambria Math" w:hAnsi="Cambria Math" w:cs="Arial"/>
                  <w:color w:val="000000" w:themeColor="text1"/>
                </w:rPr>
                <m:t>j</m:t>
              </m:r>
            </m:oMath>
            <w:r w:rsidRPr="00B64E05">
              <w:rPr>
                <w:rFonts w:ascii="Arial" w:hAnsi="Arial" w:cs="Arial"/>
                <w:color w:val="000000" w:themeColor="text1"/>
              </w:rPr>
              <w:t xml:space="preserve"> under scenario </w:t>
            </w:r>
            <w:r w:rsidRPr="000B3CEB">
              <w:rPr>
                <w:rFonts w:ascii="Cambria Math" w:hAnsi="Cambria Math" w:cs="Arial"/>
                <w:i/>
                <w:color w:val="000000" w:themeColor="text1"/>
              </w:rPr>
              <w:t>s</w:t>
            </w:r>
            <w:r w:rsidRPr="00B64E05">
              <w:rPr>
                <w:rFonts w:ascii="Arial" w:hAnsi="Arial" w:cs="Arial"/>
                <w:color w:val="000000" w:themeColor="text1"/>
              </w:rPr>
              <w:t>.</w:t>
            </w:r>
          </w:p>
        </w:tc>
      </w:tr>
      <w:tr w:rsidR="00566BB7" w:rsidRPr="00B64E05" w14:paraId="42414FBF" w14:textId="77777777" w:rsidTr="00406C78">
        <w:tc>
          <w:tcPr>
            <w:tcW w:w="950" w:type="dxa"/>
          </w:tcPr>
          <w:p w14:paraId="72DE78AF" w14:textId="77777777" w:rsidR="00566BB7" w:rsidRPr="00B64E05" w:rsidRDefault="00000000" w:rsidP="00406C78">
            <w:pPr>
              <w:spacing w:line="276" w:lineRule="auto"/>
              <w:jc w:val="both"/>
              <w:rPr>
                <w:rFonts w:ascii="Arial" w:hAnsi="Arial" w:cs="Arial"/>
                <w:color w:val="000000" w:themeColor="text1"/>
              </w:rPr>
            </w:pPr>
            <m:oMathPara>
              <m:oMath>
                <m:sSup>
                  <m:sSupPr>
                    <m:ctrlPr>
                      <w:rPr>
                        <w:rFonts w:ascii="Cambria Math" w:hAnsi="Cambria Math" w:cs="Arial"/>
                        <w:color w:val="000000" w:themeColor="text1"/>
                      </w:rPr>
                    </m:ctrlPr>
                  </m:sSupPr>
                  <m:e>
                    <m:r>
                      <w:rPr>
                        <w:rFonts w:ascii="Cambria Math" w:hAnsi="Cambria Math" w:cs="Arial"/>
                        <w:color w:val="000000" w:themeColor="text1"/>
                      </w:rPr>
                      <m:t>π</m:t>
                    </m:r>
                  </m:e>
                  <m:sup>
                    <m:r>
                      <w:rPr>
                        <w:rFonts w:ascii="Cambria Math" w:hAnsi="Cambria Math" w:cs="Arial"/>
                        <w:color w:val="000000" w:themeColor="text1"/>
                      </w:rPr>
                      <m:t>s</m:t>
                    </m:r>
                  </m:sup>
                </m:sSup>
              </m:oMath>
            </m:oMathPara>
          </w:p>
        </w:tc>
        <w:tc>
          <w:tcPr>
            <w:tcW w:w="8428" w:type="dxa"/>
          </w:tcPr>
          <w:p w14:paraId="5BC8D286"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 xml:space="preserve">Probability of scenario </w:t>
            </w:r>
            <w:r w:rsidRPr="000B3CEB">
              <w:rPr>
                <w:rFonts w:ascii="Cambria Math" w:hAnsi="Cambria Math" w:cs="Arial"/>
                <w:i/>
                <w:color w:val="000000" w:themeColor="text1"/>
              </w:rPr>
              <w:t>s</w:t>
            </w:r>
            <w:r w:rsidRPr="00B64E05">
              <w:rPr>
                <w:rFonts w:ascii="Arial" w:hAnsi="Arial" w:cs="Arial"/>
                <w:color w:val="000000" w:themeColor="text1"/>
              </w:rPr>
              <w:t>.</w:t>
            </w:r>
          </w:p>
        </w:tc>
      </w:tr>
      <w:tr w:rsidR="00566BB7" w:rsidRPr="00B64E05" w14:paraId="65A35D0E" w14:textId="77777777" w:rsidTr="00406C78">
        <w:tc>
          <w:tcPr>
            <w:tcW w:w="950" w:type="dxa"/>
          </w:tcPr>
          <w:p w14:paraId="5E9D2FE5" w14:textId="77777777" w:rsidR="00566BB7" w:rsidRPr="00B64E05" w:rsidRDefault="00000000" w:rsidP="00406C78">
            <w:pPr>
              <w:spacing w:line="276" w:lineRule="auto"/>
              <w:jc w:val="both"/>
              <w:rPr>
                <w:rFonts w:ascii="Arial" w:hAnsi="Arial" w:cs="Arial"/>
                <w:color w:val="000000" w:themeColor="text1"/>
              </w:rPr>
            </w:pPr>
            <m:oMathPara>
              <m:oMath>
                <m:sSub>
                  <m:sSubPr>
                    <m:ctrlPr>
                      <w:rPr>
                        <w:rFonts w:ascii="Cambria Math" w:hAnsi="Cambria Math" w:cs="Arial"/>
                        <w:color w:val="000000" w:themeColor="text1"/>
                      </w:rPr>
                    </m:ctrlPr>
                  </m:sSubPr>
                  <m:e>
                    <m:r>
                      <w:rPr>
                        <w:rFonts w:ascii="Cambria Math" w:hAnsi="Cambria Math" w:cs="Arial"/>
                        <w:color w:val="000000" w:themeColor="text1"/>
                      </w:rPr>
                      <m:t>φ</m:t>
                    </m:r>
                  </m:e>
                  <m:sub>
                    <m:r>
                      <w:rPr>
                        <w:rFonts w:ascii="Cambria Math" w:hAnsi="Cambria Math" w:cs="Arial"/>
                        <w:color w:val="000000" w:themeColor="text1"/>
                      </w:rPr>
                      <m:t>ik</m:t>
                    </m:r>
                  </m:sub>
                </m:sSub>
              </m:oMath>
            </m:oMathPara>
          </w:p>
        </w:tc>
        <w:tc>
          <w:tcPr>
            <w:tcW w:w="8428" w:type="dxa"/>
          </w:tcPr>
          <w:p w14:paraId="4F435868" w14:textId="4844C0CA"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 xml:space="preserve">Share of county i eligible women in group </w:t>
            </w:r>
            <m:oMath>
              <m:r>
                <w:rPr>
                  <w:rFonts w:ascii="Cambria Math" w:hAnsi="Cambria Math" w:cs="Arial"/>
                  <w:color w:val="000000" w:themeColor="text1"/>
                </w:rPr>
                <m:t>k</m:t>
              </m:r>
            </m:oMath>
            <w:r w:rsidRPr="00B64E05">
              <w:rPr>
                <w:rFonts w:ascii="Arial" w:hAnsi="Arial" w:cs="Arial"/>
                <w:color w:val="000000" w:themeColor="text1"/>
              </w:rPr>
              <w:t>.</w:t>
            </w:r>
          </w:p>
        </w:tc>
      </w:tr>
      <w:tr w:rsidR="00566BB7" w:rsidRPr="00B64E05" w14:paraId="06574D1F" w14:textId="77777777" w:rsidTr="00406C78">
        <w:tc>
          <w:tcPr>
            <w:tcW w:w="950" w:type="dxa"/>
          </w:tcPr>
          <w:p w14:paraId="4735C2AB" w14:textId="77777777" w:rsidR="00566BB7" w:rsidRPr="00B64E05" w:rsidRDefault="00000000" w:rsidP="00406C78">
            <w:pPr>
              <w:spacing w:line="276" w:lineRule="auto"/>
              <w:jc w:val="both"/>
              <w:rPr>
                <w:rFonts w:ascii="Arial" w:hAnsi="Arial" w:cs="Arial"/>
                <w:color w:val="000000" w:themeColor="text1"/>
              </w:rPr>
            </w:pPr>
            <m:oMathPara>
              <m:oMath>
                <m:sSub>
                  <m:sSubPr>
                    <m:ctrlPr>
                      <w:rPr>
                        <w:rFonts w:ascii="Cambria Math" w:hAnsi="Cambria Math" w:cs="Arial"/>
                        <w:color w:val="000000" w:themeColor="text1"/>
                      </w:rPr>
                    </m:ctrlPr>
                  </m:sSubPr>
                  <m:e>
                    <m:r>
                      <w:rPr>
                        <w:rFonts w:ascii="Cambria Math" w:hAnsi="Cambria Math" w:cs="Arial"/>
                        <w:color w:val="000000" w:themeColor="text1"/>
                      </w:rPr>
                      <m:t>d</m:t>
                    </m:r>
                  </m:e>
                  <m:sub>
                    <m:r>
                      <w:rPr>
                        <w:rFonts w:ascii="Cambria Math" w:hAnsi="Cambria Math" w:cs="Arial"/>
                        <w:color w:val="000000" w:themeColor="text1"/>
                      </w:rPr>
                      <m:t>ij</m:t>
                    </m:r>
                  </m:sub>
                </m:sSub>
              </m:oMath>
            </m:oMathPara>
          </w:p>
        </w:tc>
        <w:tc>
          <w:tcPr>
            <w:tcW w:w="8428" w:type="dxa"/>
          </w:tcPr>
          <w:p w14:paraId="7479F921" w14:textId="36B01878"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 xml:space="preserve">OSRM driving time from county </w:t>
            </w:r>
            <m:oMath>
              <m:r>
                <w:rPr>
                  <w:rFonts w:ascii="Cambria Math" w:hAnsi="Cambria Math" w:cs="Arial"/>
                  <w:color w:val="000000" w:themeColor="text1"/>
                </w:rPr>
                <m:t>i</m:t>
              </m:r>
            </m:oMath>
            <w:r w:rsidRPr="00B64E05">
              <w:rPr>
                <w:rFonts w:ascii="Arial" w:hAnsi="Arial" w:cs="Arial"/>
                <w:color w:val="000000" w:themeColor="text1"/>
              </w:rPr>
              <w:t xml:space="preserve"> to facility </w:t>
            </w:r>
            <m:oMath>
              <m:r>
                <w:rPr>
                  <w:rFonts w:ascii="Cambria Math" w:hAnsi="Cambria Math" w:cs="Arial"/>
                  <w:color w:val="000000" w:themeColor="text1"/>
                </w:rPr>
                <m:t>j</m:t>
              </m:r>
            </m:oMath>
            <w:r w:rsidRPr="00B64E05">
              <w:rPr>
                <w:rFonts w:ascii="Arial" w:hAnsi="Arial" w:cs="Arial"/>
                <w:color w:val="000000" w:themeColor="text1"/>
              </w:rPr>
              <w:t>.</w:t>
            </w:r>
          </w:p>
        </w:tc>
      </w:tr>
      <w:tr w:rsidR="00566BB7" w:rsidRPr="00B64E05" w14:paraId="0A6CEAE4" w14:textId="77777777" w:rsidTr="00406C78">
        <w:tc>
          <w:tcPr>
            <w:tcW w:w="950" w:type="dxa"/>
          </w:tcPr>
          <w:p w14:paraId="5E36418D" w14:textId="2D6CCABC" w:rsidR="00566BB7" w:rsidRPr="00B64E05" w:rsidRDefault="00000000" w:rsidP="00406C78">
            <w:pPr>
              <w:spacing w:line="276" w:lineRule="auto"/>
              <w:jc w:val="both"/>
              <w:rPr>
                <w:rFonts w:ascii="Arial" w:hAnsi="Arial" w:cs="Arial"/>
                <w:color w:val="000000" w:themeColor="text1"/>
              </w:rPr>
            </w:pPr>
            <m:oMathPara>
              <m:oMath>
                <m:r>
                  <w:rPr>
                    <w:rFonts w:ascii="Cambria Math" w:hAnsi="Cambria Math" w:cs="Arial"/>
                    <w:color w:val="000000" w:themeColor="text1"/>
                  </w:rPr>
                  <m:t>T</m:t>
                </m:r>
                <m:r>
                  <m:rPr>
                    <m:sty m:val="p"/>
                  </m:rPr>
                  <w:rPr>
                    <w:rFonts w:ascii="Cambria Math" w:hAnsi="Cambria Math" w:cs="Arial"/>
                    <w:color w:val="000000" w:themeColor="text1"/>
                  </w:rPr>
                  <m:t xml:space="preserve">, </m:t>
                </m:r>
                <m:r>
                  <w:rPr>
                    <w:rFonts w:ascii="Cambria Math" w:hAnsi="Cambria Math" w:cs="Arial"/>
                    <w:color w:val="000000" w:themeColor="text1"/>
                  </w:rPr>
                  <m:t>β</m:t>
                </m:r>
              </m:oMath>
            </m:oMathPara>
          </w:p>
        </w:tc>
        <w:tc>
          <w:tcPr>
            <w:tcW w:w="8428" w:type="dxa"/>
          </w:tcPr>
          <w:p w14:paraId="627DAD44"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60-minute accessibility threshold and decay rate 0.025 per minute.</w:t>
            </w:r>
          </w:p>
        </w:tc>
      </w:tr>
      <w:tr w:rsidR="00566BB7" w:rsidRPr="00B64E05" w14:paraId="6ED9F92F" w14:textId="77777777" w:rsidTr="00406C78">
        <w:tc>
          <w:tcPr>
            <w:tcW w:w="950" w:type="dxa"/>
          </w:tcPr>
          <w:p w14:paraId="0F7BD07F" w14:textId="77777777" w:rsidR="00566BB7" w:rsidRPr="00B64E05" w:rsidRDefault="00000000" w:rsidP="00406C78">
            <w:pPr>
              <w:spacing w:line="276" w:lineRule="auto"/>
              <w:jc w:val="both"/>
              <w:rPr>
                <w:rFonts w:ascii="Arial" w:hAnsi="Arial" w:cs="Arial"/>
                <w:color w:val="000000" w:themeColor="text1"/>
              </w:rPr>
            </w:pPr>
            <m:oMathPara>
              <m:oMath>
                <m:r>
                  <w:rPr>
                    <w:rFonts w:ascii="Cambria Math" w:hAnsi="Cambria Math" w:cs="Arial"/>
                    <w:color w:val="000000" w:themeColor="text1"/>
                  </w:rPr>
                  <m:t>B</m:t>
                </m:r>
              </m:oMath>
            </m:oMathPara>
          </w:p>
        </w:tc>
        <w:tc>
          <w:tcPr>
            <w:tcW w:w="8428" w:type="dxa"/>
          </w:tcPr>
          <w:p w14:paraId="1BFA5D4C"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Statewide budget of 62 new facilities.</w:t>
            </w:r>
          </w:p>
        </w:tc>
      </w:tr>
      <w:tr w:rsidR="00566BB7" w:rsidRPr="00B64E05" w14:paraId="42819FD4" w14:textId="77777777" w:rsidTr="00406C78">
        <w:tc>
          <w:tcPr>
            <w:tcW w:w="950" w:type="dxa"/>
          </w:tcPr>
          <w:p w14:paraId="3B397257" w14:textId="77777777" w:rsidR="00566BB7" w:rsidRPr="00B64E05" w:rsidRDefault="00000000" w:rsidP="00406C78">
            <w:pPr>
              <w:spacing w:line="276" w:lineRule="auto"/>
              <w:jc w:val="both"/>
              <w:rPr>
                <w:rFonts w:ascii="Arial" w:hAnsi="Arial" w:cs="Arial"/>
                <w:color w:val="000000" w:themeColor="text1"/>
              </w:rPr>
            </w:pPr>
            <m:oMathPara>
              <m:oMath>
                <m:sSub>
                  <m:sSubPr>
                    <m:ctrlPr>
                      <w:rPr>
                        <w:rFonts w:ascii="Cambria Math" w:hAnsi="Cambria Math" w:cs="Arial"/>
                        <w:color w:val="000000" w:themeColor="text1"/>
                      </w:rPr>
                    </m:ctrlPr>
                  </m:sSubPr>
                  <m:e>
                    <m:r>
                      <m:rPr>
                        <m:sty m:val="p"/>
                      </m:rPr>
                      <w:rPr>
                        <w:rFonts w:ascii="Cambria Math" w:hAnsi="Cambria Math" w:cs="Arial"/>
                        <w:color w:val="000000" w:themeColor="text1"/>
                      </w:rPr>
                      <m:t>cap</m:t>
                    </m:r>
                  </m:e>
                  <m:sub>
                    <m:r>
                      <w:rPr>
                        <w:rFonts w:ascii="Cambria Math" w:hAnsi="Cambria Math" w:cs="Arial"/>
                        <w:color w:val="000000" w:themeColor="text1"/>
                      </w:rPr>
                      <m:t>c</m:t>
                    </m:r>
                  </m:sub>
                </m:sSub>
              </m:oMath>
            </m:oMathPara>
          </w:p>
        </w:tc>
        <w:tc>
          <w:tcPr>
            <w:tcW w:w="8428" w:type="dxa"/>
          </w:tcPr>
          <w:p w14:paraId="25E44D99" w14:textId="3493CE1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 xml:space="preserve">Maximum of 3 new facilities in county </w:t>
            </w:r>
            <m:oMath>
              <m:r>
                <w:rPr>
                  <w:rFonts w:ascii="Cambria Math" w:hAnsi="Cambria Math" w:cs="Arial"/>
                  <w:color w:val="000000" w:themeColor="text1"/>
                </w:rPr>
                <m:t>c</m:t>
              </m:r>
            </m:oMath>
            <w:r w:rsidRPr="00B64E05">
              <w:rPr>
                <w:rFonts w:ascii="Arial" w:hAnsi="Arial" w:cs="Arial"/>
                <w:color w:val="000000" w:themeColor="text1"/>
              </w:rPr>
              <w:t>.</w:t>
            </w:r>
          </w:p>
        </w:tc>
      </w:tr>
      <w:tr w:rsidR="00B5450B" w:rsidRPr="00B64E05" w14:paraId="554F6B0D" w14:textId="77777777" w:rsidTr="00406C78">
        <w:tc>
          <w:tcPr>
            <w:tcW w:w="950" w:type="dxa"/>
          </w:tcPr>
          <w:p w14:paraId="6485BAD8" w14:textId="6E461019" w:rsidR="00B5450B" w:rsidRPr="00B64E05" w:rsidRDefault="00000000" w:rsidP="00406C78">
            <w:pPr>
              <w:spacing w:line="276" w:lineRule="auto"/>
              <w:jc w:val="both"/>
              <w:rPr>
                <w:rFonts w:ascii="Arial" w:hAnsi="Arial" w:cs="Arial"/>
                <w:color w:val="000000" w:themeColor="text1"/>
              </w:rPr>
            </w:pPr>
            <m:oMathPara>
              <m:oMathParaPr>
                <m:jc m:val="left"/>
              </m:oMathParaPr>
              <m:oMath>
                <m:sSup>
                  <m:sSupPr>
                    <m:ctrlPr>
                      <w:rPr>
                        <w:rFonts w:ascii="Cambria Math" w:hAnsi="Cambria Math" w:cs="Arial"/>
                        <w:i/>
                        <w:color w:val="000000" w:themeColor="text1"/>
                      </w:rPr>
                    </m:ctrlPr>
                  </m:sSupPr>
                  <m:e>
                    <m:r>
                      <m:rPr>
                        <m:sty m:val="bi"/>
                      </m:rPr>
                      <w:rPr>
                        <w:rFonts w:ascii="Cambria Math" w:hAnsi="Cambria Math" w:cs="Arial"/>
                        <w:color w:val="000000" w:themeColor="text1"/>
                      </w:rPr>
                      <m:t>κ</m:t>
                    </m:r>
                  </m:e>
                  <m:sup>
                    <m:r>
                      <m:rPr>
                        <m:sty m:val="bi"/>
                      </m:rPr>
                      <w:rPr>
                        <w:rFonts w:ascii="Cambria Math" w:hAnsi="Cambria Math" w:cs="Arial"/>
                        <w:color w:val="000000" w:themeColor="text1"/>
                      </w:rPr>
                      <m:t>C</m:t>
                    </m:r>
                  </m:sup>
                </m:sSup>
              </m:oMath>
            </m:oMathPara>
          </w:p>
          <w:p w14:paraId="689246B9" w14:textId="50FD4685" w:rsidR="00B5450B" w:rsidRPr="00B64E05" w:rsidRDefault="00B5450B" w:rsidP="00406C78">
            <w:pPr>
              <w:spacing w:line="276" w:lineRule="auto"/>
              <w:jc w:val="both"/>
              <w:rPr>
                <w:rFonts w:ascii="Arial" w:hAnsi="Arial" w:cs="Arial"/>
                <w:color w:val="000000" w:themeColor="text1"/>
              </w:rPr>
            </w:pPr>
          </w:p>
        </w:tc>
        <w:tc>
          <w:tcPr>
            <w:tcW w:w="8428" w:type="dxa"/>
          </w:tcPr>
          <w:p w14:paraId="4EB01CD8" w14:textId="4CCD57FA" w:rsidR="00B5450B" w:rsidRPr="00B64E05" w:rsidRDefault="00B5450B" w:rsidP="00406C78">
            <w:pPr>
              <w:spacing w:line="276" w:lineRule="auto"/>
              <w:jc w:val="both"/>
              <w:rPr>
                <w:rFonts w:ascii="Arial" w:hAnsi="Arial" w:cs="Arial"/>
                <w:color w:val="000000" w:themeColor="text1"/>
              </w:rPr>
            </w:pPr>
            <w:r w:rsidRPr="00B64E05">
              <w:rPr>
                <w:rFonts w:ascii="Arial" w:hAnsi="Arial" w:cs="Arial"/>
                <w:color w:val="000000" w:themeColor="text1"/>
              </w:rPr>
              <w:t>Annual screening capacity of each candidate facility, 7,500 examinations, constant across scenarios.</w:t>
            </w:r>
          </w:p>
        </w:tc>
      </w:tr>
      <w:tr w:rsidR="00566BB7" w:rsidRPr="00B64E05" w14:paraId="0F621583" w14:textId="77777777" w:rsidTr="00406C78">
        <w:tc>
          <w:tcPr>
            <w:tcW w:w="950" w:type="dxa"/>
          </w:tcPr>
          <w:p w14:paraId="01DD592B" w14:textId="77777777" w:rsidR="00566BB7" w:rsidRPr="00B64E05" w:rsidRDefault="00000000" w:rsidP="00406C78">
            <w:pPr>
              <w:spacing w:line="276" w:lineRule="auto"/>
              <w:jc w:val="both"/>
              <w:rPr>
                <w:rFonts w:ascii="Arial" w:hAnsi="Arial" w:cs="Arial"/>
                <w:color w:val="000000" w:themeColor="text1"/>
              </w:rPr>
            </w:pPr>
            <m:oMathPara>
              <m:oMath>
                <m:r>
                  <w:rPr>
                    <w:rFonts w:ascii="Cambria Math" w:hAnsi="Cambria Math" w:cs="Arial"/>
                    <w:color w:val="000000" w:themeColor="text1"/>
                  </w:rPr>
                  <m:t>ε</m:t>
                </m:r>
              </m:oMath>
            </m:oMathPara>
          </w:p>
        </w:tc>
        <w:tc>
          <w:tcPr>
            <w:tcW w:w="8428" w:type="dxa"/>
          </w:tcPr>
          <w:p w14:paraId="23B26F3C" w14:textId="68A10D05" w:rsidR="00566BB7" w:rsidRPr="000B3CEB"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Phase-2 coverage tolerance, 0.01·</w:t>
            </w:r>
            <m:oMath>
              <m:sSup>
                <m:sSupPr>
                  <m:ctrlPr>
                    <w:rPr>
                      <w:rFonts w:ascii="Cambria Math" w:hAnsi="Cambria Math" w:cs="Arial"/>
                      <w:i/>
                      <w:color w:val="000000" w:themeColor="text1"/>
                    </w:rPr>
                  </m:ctrlPr>
                </m:sSupPr>
                <m:e>
                  <m:r>
                    <w:rPr>
                      <w:rFonts w:ascii="Cambria Math" w:hAnsi="Cambria Math" w:cs="Arial"/>
                      <w:color w:val="000000" w:themeColor="text1"/>
                    </w:rPr>
                    <m:t>U</m:t>
                  </m:r>
                </m:e>
                <m:sup>
                  <m:r>
                    <w:rPr>
                      <w:rFonts w:ascii="Cambria Math" w:hAnsi="Cambria Math" w:cs="Arial"/>
                      <w:color w:val="000000" w:themeColor="text1"/>
                    </w:rPr>
                    <m:t>*</m:t>
                  </m:r>
                </m:sup>
              </m:sSup>
            </m:oMath>
            <w:r w:rsidRPr="00B64E05">
              <w:rPr>
                <w:rFonts w:ascii="Arial" w:hAnsi="Arial" w:cs="Arial"/>
                <w:color w:val="000000" w:themeColor="text1"/>
              </w:rPr>
              <w:t xml:space="preserve"> + 1.</w:t>
            </w:r>
          </w:p>
        </w:tc>
      </w:tr>
      <w:tr w:rsidR="00566BB7" w:rsidRPr="00B64E05" w14:paraId="1D7B2D41" w14:textId="77777777" w:rsidTr="00406C78">
        <w:tc>
          <w:tcPr>
            <w:tcW w:w="950" w:type="dxa"/>
          </w:tcPr>
          <w:p w14:paraId="2EAED0D9" w14:textId="77777777" w:rsidR="00566BB7" w:rsidRPr="00B64E05" w:rsidRDefault="00000000" w:rsidP="00406C78">
            <w:pPr>
              <w:spacing w:line="276" w:lineRule="auto"/>
              <w:jc w:val="both"/>
              <w:rPr>
                <w:rFonts w:ascii="Arial" w:hAnsi="Arial" w:cs="Arial"/>
                <w:color w:val="000000" w:themeColor="text1"/>
              </w:rPr>
            </w:pPr>
            <m:oMathPara>
              <m:oMath>
                <m:sSub>
                  <m:sSubPr>
                    <m:ctrlPr>
                      <w:rPr>
                        <w:rFonts w:ascii="Cambria Math" w:hAnsi="Cambria Math" w:cs="Arial"/>
                        <w:color w:val="000000" w:themeColor="text1"/>
                      </w:rPr>
                    </m:ctrlPr>
                  </m:sSubPr>
                  <m:e>
                    <m:r>
                      <w:rPr>
                        <w:rFonts w:ascii="Cambria Math" w:hAnsi="Cambria Math" w:cs="Arial"/>
                        <w:color w:val="000000" w:themeColor="text1"/>
                      </w:rPr>
                      <m:t>w</m:t>
                    </m:r>
                  </m:e>
                  <m:sub>
                    <m:r>
                      <w:rPr>
                        <w:rFonts w:ascii="Cambria Math" w:hAnsi="Cambria Math" w:cs="Arial"/>
                        <w:color w:val="000000" w:themeColor="text1"/>
                      </w:rPr>
                      <m:t>k</m:t>
                    </m:r>
                  </m:sub>
                </m:sSub>
              </m:oMath>
            </m:oMathPara>
          </w:p>
        </w:tc>
        <w:tc>
          <w:tcPr>
            <w:tcW w:w="8428" w:type="dxa"/>
          </w:tcPr>
          <w:p w14:paraId="038EEF33" w14:textId="36FDBB7F"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 xml:space="preserve">Statewide share of eligible women in group </w:t>
            </w:r>
            <m:oMath>
              <m:r>
                <w:rPr>
                  <w:rFonts w:ascii="Cambria Math" w:hAnsi="Cambria Math" w:cs="Arial"/>
                  <w:color w:val="000000" w:themeColor="text1"/>
                </w:rPr>
                <m:t>k</m:t>
              </m:r>
            </m:oMath>
            <w:r w:rsidRPr="00B64E05">
              <w:rPr>
                <w:rFonts w:ascii="Arial" w:hAnsi="Arial" w:cs="Arial"/>
                <w:color w:val="000000" w:themeColor="text1"/>
              </w:rPr>
              <w:t>; group weights in the between-group variance. Because the demand scenarios apply a common multiplier, these weights are scenario-invariant.</w:t>
            </w:r>
          </w:p>
        </w:tc>
      </w:tr>
    </w:tbl>
    <w:p w14:paraId="6A2E3743" w14:textId="77777777" w:rsidR="00886D6C" w:rsidRDefault="00886D6C" w:rsidP="00406C78">
      <w:pPr>
        <w:spacing w:after="0"/>
        <w:jc w:val="both"/>
        <w:rPr>
          <w:rFonts w:ascii="Arial" w:hAnsi="Arial" w:cs="Arial"/>
          <w:i/>
          <w:color w:val="000000" w:themeColor="text1"/>
        </w:rPr>
      </w:pPr>
    </w:p>
    <w:p w14:paraId="74004E9E" w14:textId="77777777" w:rsidR="000B3CEB" w:rsidRDefault="000B3CEB" w:rsidP="00406C78">
      <w:pPr>
        <w:spacing w:after="0"/>
        <w:jc w:val="both"/>
        <w:rPr>
          <w:rFonts w:ascii="Arial" w:hAnsi="Arial" w:cs="Arial"/>
          <w:b/>
          <w:bCs/>
          <w:i/>
          <w:color w:val="000000" w:themeColor="text1"/>
        </w:rPr>
      </w:pPr>
    </w:p>
    <w:p w14:paraId="40DFFC5C" w14:textId="25561F6D" w:rsidR="00566BB7" w:rsidRPr="00B64E05" w:rsidRDefault="00000000" w:rsidP="00406C78">
      <w:pPr>
        <w:spacing w:after="0"/>
        <w:jc w:val="both"/>
        <w:rPr>
          <w:rFonts w:ascii="Arial" w:hAnsi="Arial" w:cs="Arial"/>
          <w:color w:val="000000" w:themeColor="text1"/>
        </w:rPr>
      </w:pPr>
      <w:r w:rsidRPr="00130162">
        <w:rPr>
          <w:rFonts w:ascii="Arial" w:hAnsi="Arial" w:cs="Arial"/>
          <w:b/>
          <w:bCs/>
          <w:i/>
          <w:color w:val="000000" w:themeColor="text1"/>
        </w:rPr>
        <w:lastRenderedPageBreak/>
        <w:t>Table S3.</w:t>
      </w:r>
      <w:r w:rsidRPr="00B64E05">
        <w:rPr>
          <w:rFonts w:ascii="Arial" w:hAnsi="Arial" w:cs="Arial"/>
          <w:i/>
          <w:color w:val="000000" w:themeColor="text1"/>
        </w:rPr>
        <w:t xml:space="preserve"> Decision variables.</w:t>
      </w:r>
    </w:p>
    <w:tbl>
      <w:tblPr>
        <w:tblStyle w:val="TableGrid"/>
        <w:tblW w:w="0" w:type="auto"/>
        <w:tblLook w:val="04A0" w:firstRow="1" w:lastRow="0" w:firstColumn="1" w:lastColumn="0" w:noHBand="0" w:noVBand="1"/>
      </w:tblPr>
      <w:tblGrid>
        <w:gridCol w:w="1638"/>
        <w:gridCol w:w="1620"/>
        <w:gridCol w:w="6210"/>
      </w:tblGrid>
      <w:tr w:rsidR="00566BB7" w:rsidRPr="00B64E05" w14:paraId="42969471" w14:textId="77777777" w:rsidTr="00406C78">
        <w:tc>
          <w:tcPr>
            <w:tcW w:w="1638" w:type="dxa"/>
          </w:tcPr>
          <w:p w14:paraId="6BE130FB" w14:textId="66DD59DB" w:rsidR="00566BB7" w:rsidRPr="00886D6C" w:rsidRDefault="00000000" w:rsidP="00406C78">
            <w:pPr>
              <w:spacing w:line="276" w:lineRule="auto"/>
              <w:jc w:val="both"/>
              <w:rPr>
                <w:rFonts w:ascii="Arial" w:hAnsi="Arial" w:cs="Arial"/>
                <w:b/>
                <w:bCs/>
                <w:color w:val="000000" w:themeColor="text1"/>
              </w:rPr>
            </w:pPr>
            <w:r w:rsidRPr="00886D6C">
              <w:rPr>
                <w:rFonts w:ascii="Arial" w:hAnsi="Arial" w:cs="Arial"/>
                <w:b/>
                <w:bCs/>
                <w:color w:val="000000" w:themeColor="text1"/>
              </w:rPr>
              <w:t>Variable</w:t>
            </w:r>
          </w:p>
        </w:tc>
        <w:tc>
          <w:tcPr>
            <w:tcW w:w="1620" w:type="dxa"/>
          </w:tcPr>
          <w:p w14:paraId="39210C0A" w14:textId="77777777" w:rsidR="00566BB7" w:rsidRPr="00886D6C" w:rsidRDefault="00000000" w:rsidP="00406C78">
            <w:pPr>
              <w:spacing w:line="276" w:lineRule="auto"/>
              <w:jc w:val="both"/>
              <w:rPr>
                <w:rFonts w:ascii="Arial" w:hAnsi="Arial" w:cs="Arial"/>
                <w:b/>
                <w:bCs/>
                <w:color w:val="000000" w:themeColor="text1"/>
              </w:rPr>
            </w:pPr>
            <w:r w:rsidRPr="00886D6C">
              <w:rPr>
                <w:rFonts w:ascii="Arial" w:hAnsi="Arial" w:cs="Arial"/>
                <w:b/>
                <w:bCs/>
                <w:color w:val="000000" w:themeColor="text1"/>
              </w:rPr>
              <w:t>Stage</w:t>
            </w:r>
          </w:p>
        </w:tc>
        <w:tc>
          <w:tcPr>
            <w:tcW w:w="6210" w:type="dxa"/>
          </w:tcPr>
          <w:p w14:paraId="43D7A30A" w14:textId="77777777" w:rsidR="00566BB7" w:rsidRPr="00886D6C" w:rsidRDefault="00000000" w:rsidP="00406C78">
            <w:pPr>
              <w:spacing w:line="276" w:lineRule="auto"/>
              <w:jc w:val="both"/>
              <w:rPr>
                <w:rFonts w:ascii="Arial" w:hAnsi="Arial" w:cs="Arial"/>
                <w:b/>
                <w:bCs/>
                <w:color w:val="000000" w:themeColor="text1"/>
              </w:rPr>
            </w:pPr>
            <w:r w:rsidRPr="00886D6C">
              <w:rPr>
                <w:rFonts w:ascii="Arial" w:hAnsi="Arial" w:cs="Arial"/>
                <w:b/>
                <w:bCs/>
                <w:color w:val="000000" w:themeColor="text1"/>
              </w:rPr>
              <w:t>Definition</w:t>
            </w:r>
          </w:p>
        </w:tc>
      </w:tr>
      <w:tr w:rsidR="00566BB7" w:rsidRPr="00B64E05" w14:paraId="144D870B" w14:textId="77777777" w:rsidTr="00406C78">
        <w:tc>
          <w:tcPr>
            <w:tcW w:w="1638" w:type="dxa"/>
          </w:tcPr>
          <w:p w14:paraId="25C99CC7" w14:textId="5CDC1DF1" w:rsidR="00566BB7" w:rsidRPr="00815BD2" w:rsidRDefault="00000000" w:rsidP="00406C78">
            <w:pPr>
              <w:spacing w:line="276" w:lineRule="auto"/>
              <w:rPr>
                <w:rFonts w:ascii="Arial" w:hAnsi="Arial" w:cs="Arial"/>
                <w:color w:val="000000" w:themeColor="text1"/>
              </w:rPr>
            </w:pPr>
            <m:oMathPara>
              <m:oMathParaPr>
                <m:jc m:val="center"/>
              </m:oMathParaPr>
              <m:oMath>
                <m:sSub>
                  <m:sSubPr>
                    <m:ctrlPr>
                      <w:rPr>
                        <w:rFonts w:ascii="Cambria Math" w:hAnsi="Cambria Math" w:cs="Arial"/>
                        <w:i/>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j</m:t>
                    </m:r>
                  </m:sub>
                </m:sSub>
                <m:r>
                  <w:rPr>
                    <w:rFonts w:ascii="Cambria Math" w:hAnsi="Cambria Math" w:cs="Arial"/>
                    <w:color w:val="000000" w:themeColor="text1"/>
                  </w:rPr>
                  <m:t>∈{0,1}</m:t>
                </m:r>
              </m:oMath>
            </m:oMathPara>
          </w:p>
        </w:tc>
        <w:tc>
          <w:tcPr>
            <w:tcW w:w="1620" w:type="dxa"/>
          </w:tcPr>
          <w:p w14:paraId="42903D15"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First stage</w:t>
            </w:r>
          </w:p>
        </w:tc>
        <w:tc>
          <w:tcPr>
            <w:tcW w:w="6210" w:type="dxa"/>
          </w:tcPr>
          <w:p w14:paraId="328430B6" w14:textId="005117F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 xml:space="preserve">Equals 1 when candidate facility </w:t>
            </w:r>
            <m:oMath>
              <m:r>
                <w:rPr>
                  <w:rFonts w:ascii="Cambria Math" w:hAnsi="Cambria Math" w:cs="Arial"/>
                  <w:color w:val="000000" w:themeColor="text1"/>
                </w:rPr>
                <m:t>j</m:t>
              </m:r>
            </m:oMath>
            <w:r w:rsidRPr="00B64E05">
              <w:rPr>
                <w:rFonts w:ascii="Arial" w:hAnsi="Arial" w:cs="Arial"/>
                <w:color w:val="000000" w:themeColor="text1"/>
              </w:rPr>
              <w:t xml:space="preserve"> is opened.</w:t>
            </w:r>
          </w:p>
        </w:tc>
      </w:tr>
      <w:tr w:rsidR="00566BB7" w:rsidRPr="00B64E05" w14:paraId="44EE4BE2" w14:textId="77777777" w:rsidTr="00406C78">
        <w:tc>
          <w:tcPr>
            <w:tcW w:w="1638" w:type="dxa"/>
          </w:tcPr>
          <w:p w14:paraId="7D426B10" w14:textId="0BC59DC4" w:rsidR="00E615B2" w:rsidRPr="00815BD2" w:rsidRDefault="00000000" w:rsidP="00406C78">
            <w:pPr>
              <w:spacing w:line="276" w:lineRule="auto"/>
              <w:rPr>
                <w:rFonts w:ascii="Arial" w:hAnsi="Arial" w:cs="Arial"/>
                <w:color w:val="000000" w:themeColor="text1"/>
              </w:rPr>
            </w:pPr>
            <m:oMathPara>
              <m:oMathParaPr>
                <m:jc m:val="center"/>
              </m:oMathParaPr>
              <m:oMath>
                <m:sSubSup>
                  <m:sSubSupPr>
                    <m:ctrlPr>
                      <w:rPr>
                        <w:rFonts w:ascii="Cambria Math" w:hAnsi="Cambria Math" w:cs="Arial"/>
                      </w:rPr>
                    </m:ctrlPr>
                  </m:sSubSupPr>
                  <m:e>
                    <m:r>
                      <w:rPr>
                        <w:rFonts w:ascii="Cambria Math" w:hAnsi="Cambria Math" w:cs="Arial"/>
                      </w:rPr>
                      <m:t>x</m:t>
                    </m:r>
                  </m:e>
                  <m:sub>
                    <m:r>
                      <w:rPr>
                        <w:rFonts w:ascii="Cambria Math" w:hAnsi="Cambria Math" w:cs="Arial"/>
                      </w:rPr>
                      <m:t>ij</m:t>
                    </m:r>
                  </m:sub>
                  <m:sup>
                    <m:r>
                      <w:rPr>
                        <w:rFonts w:ascii="Cambria Math" w:hAnsi="Cambria Math" w:cs="Arial"/>
                      </w:rPr>
                      <m:t>s</m:t>
                    </m:r>
                  </m:sup>
                </m:sSubSup>
              </m:oMath>
            </m:oMathPara>
          </w:p>
        </w:tc>
        <w:tc>
          <w:tcPr>
            <w:tcW w:w="1620" w:type="dxa"/>
          </w:tcPr>
          <w:p w14:paraId="78123C3F"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Second stage</w:t>
            </w:r>
          </w:p>
        </w:tc>
        <w:tc>
          <w:tcPr>
            <w:tcW w:w="6210" w:type="dxa"/>
          </w:tcPr>
          <w:p w14:paraId="6E9E2B41" w14:textId="34122AE2"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 xml:space="preserve">Women from county i served at accessible facility </w:t>
            </w:r>
            <m:oMath>
              <m:r>
                <w:rPr>
                  <w:rFonts w:ascii="Cambria Math" w:hAnsi="Cambria Math" w:cs="Arial"/>
                  <w:color w:val="000000" w:themeColor="text1"/>
                </w:rPr>
                <m:t>j</m:t>
              </m:r>
            </m:oMath>
            <w:r w:rsidRPr="00B64E05">
              <w:rPr>
                <w:rFonts w:ascii="Arial" w:hAnsi="Arial" w:cs="Arial"/>
                <w:color w:val="000000" w:themeColor="text1"/>
              </w:rPr>
              <w:t xml:space="preserve"> in scenario </w:t>
            </w:r>
            <m:oMath>
              <m:r>
                <w:rPr>
                  <w:rFonts w:ascii="Cambria Math" w:hAnsi="Cambria Math" w:cs="Arial"/>
                  <w:color w:val="000000" w:themeColor="text1"/>
                </w:rPr>
                <m:t>s</m:t>
              </m:r>
            </m:oMath>
            <w:r w:rsidRPr="00B64E05">
              <w:rPr>
                <w:rFonts w:ascii="Arial" w:hAnsi="Arial" w:cs="Arial"/>
                <w:color w:val="000000" w:themeColor="text1"/>
              </w:rPr>
              <w:t>.</w:t>
            </w:r>
          </w:p>
        </w:tc>
      </w:tr>
      <w:tr w:rsidR="00566BB7" w:rsidRPr="00B64E05" w14:paraId="12345B24" w14:textId="77777777" w:rsidTr="00406C78">
        <w:tc>
          <w:tcPr>
            <w:tcW w:w="1638" w:type="dxa"/>
          </w:tcPr>
          <w:p w14:paraId="04E1ECE7" w14:textId="1A069DA9" w:rsidR="00566BB7" w:rsidRPr="00B64E05" w:rsidRDefault="00000000" w:rsidP="00406C78">
            <w:pPr>
              <w:spacing w:line="276" w:lineRule="auto"/>
              <w:rPr>
                <w:rFonts w:ascii="Arial" w:hAnsi="Arial" w:cs="Arial"/>
                <w:color w:val="000000" w:themeColor="text1"/>
              </w:rPr>
            </w:pPr>
            <m:oMathPara>
              <m:oMath>
                <m:sSubSup>
                  <m:sSubSupPr>
                    <m:ctrlPr>
                      <w:rPr>
                        <w:rFonts w:ascii="Cambria Math" w:hAnsi="Cambria Math" w:cs="Arial"/>
                      </w:rPr>
                    </m:ctrlPr>
                  </m:sSubSupPr>
                  <m:e>
                    <m:r>
                      <w:rPr>
                        <w:rFonts w:ascii="Cambria Math" w:hAnsi="Cambria Math" w:cs="Arial"/>
                      </w:rPr>
                      <m:t>u</m:t>
                    </m:r>
                  </m:e>
                  <m:sub>
                    <m:r>
                      <w:rPr>
                        <w:rFonts w:ascii="Cambria Math" w:hAnsi="Cambria Math" w:cs="Arial"/>
                      </w:rPr>
                      <m:t>i</m:t>
                    </m:r>
                  </m:sub>
                  <m:sup>
                    <m:r>
                      <w:rPr>
                        <w:rFonts w:ascii="Cambria Math" w:hAnsi="Cambria Math" w:cs="Arial"/>
                      </w:rPr>
                      <m:t>s</m:t>
                    </m:r>
                  </m:sup>
                </m:sSubSup>
              </m:oMath>
            </m:oMathPara>
          </w:p>
        </w:tc>
        <w:tc>
          <w:tcPr>
            <w:tcW w:w="1620" w:type="dxa"/>
          </w:tcPr>
          <w:p w14:paraId="6A4A1E8D" w14:textId="77777777"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Second stage</w:t>
            </w:r>
          </w:p>
        </w:tc>
        <w:tc>
          <w:tcPr>
            <w:tcW w:w="6210" w:type="dxa"/>
          </w:tcPr>
          <w:p w14:paraId="3882EFC0" w14:textId="75A7539B" w:rsidR="00566BB7" w:rsidRPr="00B64E05" w:rsidRDefault="00000000" w:rsidP="00406C78">
            <w:pPr>
              <w:spacing w:line="276" w:lineRule="auto"/>
              <w:jc w:val="both"/>
              <w:rPr>
                <w:rFonts w:ascii="Arial" w:hAnsi="Arial" w:cs="Arial"/>
                <w:color w:val="000000" w:themeColor="text1"/>
              </w:rPr>
            </w:pPr>
            <w:r w:rsidRPr="00B64E05">
              <w:rPr>
                <w:rFonts w:ascii="Arial" w:hAnsi="Arial" w:cs="Arial"/>
                <w:color w:val="000000" w:themeColor="text1"/>
              </w:rPr>
              <w:t xml:space="preserve">Unmet screening demand in county </w:t>
            </w:r>
            <m:oMath>
              <m:r>
                <w:rPr>
                  <w:rFonts w:ascii="Cambria Math" w:hAnsi="Cambria Math" w:cs="Arial"/>
                  <w:color w:val="000000" w:themeColor="text1"/>
                </w:rPr>
                <m:t>i</m:t>
              </m:r>
            </m:oMath>
            <w:r w:rsidRPr="00B64E05">
              <w:rPr>
                <w:rFonts w:ascii="Arial" w:hAnsi="Arial" w:cs="Arial"/>
                <w:color w:val="000000" w:themeColor="text1"/>
              </w:rPr>
              <w:t xml:space="preserve"> under scenario </w:t>
            </w:r>
            <m:oMath>
              <m:r>
                <w:rPr>
                  <w:rFonts w:ascii="Cambria Math" w:hAnsi="Cambria Math" w:cs="Arial"/>
                  <w:color w:val="000000" w:themeColor="text1"/>
                </w:rPr>
                <m:t>s</m:t>
              </m:r>
            </m:oMath>
            <w:r w:rsidRPr="00B64E05">
              <w:rPr>
                <w:rFonts w:ascii="Arial" w:hAnsi="Arial" w:cs="Arial"/>
                <w:color w:val="000000" w:themeColor="text1"/>
              </w:rPr>
              <w:t>.</w:t>
            </w:r>
          </w:p>
        </w:tc>
      </w:tr>
    </w:tbl>
    <w:p w14:paraId="379351B7" w14:textId="77777777" w:rsidR="00AE1F36" w:rsidRDefault="00AE1F36" w:rsidP="00406C78">
      <w:pPr>
        <w:pStyle w:val="Heading2"/>
        <w:jc w:val="both"/>
        <w:rPr>
          <w:rFonts w:ascii="Arial" w:hAnsi="Arial" w:cs="Arial"/>
          <w:color w:val="000000" w:themeColor="text1"/>
          <w:sz w:val="22"/>
          <w:szCs w:val="22"/>
        </w:rPr>
      </w:pPr>
    </w:p>
    <w:p w14:paraId="7D992501" w14:textId="514DFA97" w:rsidR="00566BB7" w:rsidRPr="00B64E05" w:rsidRDefault="00000000" w:rsidP="00406C78">
      <w:pPr>
        <w:pStyle w:val="Heading2"/>
        <w:jc w:val="both"/>
        <w:rPr>
          <w:rFonts w:ascii="Arial" w:hAnsi="Arial" w:cs="Arial"/>
          <w:color w:val="000000" w:themeColor="text1"/>
          <w:sz w:val="22"/>
          <w:szCs w:val="22"/>
        </w:rPr>
      </w:pPr>
      <w:r w:rsidRPr="00B64E05">
        <w:rPr>
          <w:rFonts w:ascii="Arial" w:hAnsi="Arial" w:cs="Arial"/>
          <w:color w:val="000000" w:themeColor="text1"/>
          <w:sz w:val="22"/>
          <w:szCs w:val="22"/>
        </w:rPr>
        <w:t>S4.1 Scenarios</w:t>
      </w:r>
    </w:p>
    <w:p w14:paraId="21DCD3D9" w14:textId="06AA5DE1" w:rsidR="00CC6BC6" w:rsidRPr="00CC6BC6" w:rsidRDefault="00000000" w:rsidP="00406C78">
      <w:pPr>
        <w:spacing w:after="0"/>
        <w:jc w:val="both"/>
        <w:rPr>
          <w:rFonts w:ascii="Arial" w:hAnsi="Arial" w:cs="Arial"/>
          <w:color w:val="000000" w:themeColor="text1"/>
        </w:rPr>
      </w:pPr>
      <w:r w:rsidRPr="00B64E05">
        <w:rPr>
          <w:rFonts w:ascii="Arial" w:hAnsi="Arial" w:cs="Arial"/>
          <w:color w:val="000000" w:themeColor="text1"/>
        </w:rPr>
        <w:t xml:space="preserve">Baseline demand was multiplied by 0.9, 1.0, or 1.1 with probabilities 0.25, 0.50, and 0.25. Existing-facility capacity was represented by three unit-inference utilization states, ρ </w:t>
      </w:r>
      <w:r w:rsidRPr="00B64E05">
        <w:rPr>
          <w:rFonts w:ascii="Cambria Math" w:hAnsi="Cambria Math" w:cs="Cambria Math"/>
          <w:color w:val="000000" w:themeColor="text1"/>
        </w:rPr>
        <w:t>∈</w:t>
      </w:r>
      <w:r w:rsidRPr="00B64E05">
        <w:rPr>
          <w:rFonts w:ascii="Arial" w:hAnsi="Arial" w:cs="Arial"/>
          <w:color w:val="000000" w:themeColor="text1"/>
        </w:rPr>
        <w:t xml:space="preserve"> {1.0, 0.8, 0.6}, with weights 0.50, 0.30, and 0.20, placing greatest probability on the conservative minimum-unit state; these are scenario weights rather than empirically estimated probabilities. Lower ρ increases the physical-capacity ceiling. Joint scenario probabilities are the products of the demand and capacity-state marginal weights. A county–facility pair is accessible, </w:t>
      </w:r>
      <m:oMath>
        <m:r>
          <w:rPr>
            <w:rFonts w:ascii="Cambria Math" w:hAnsi="Cambria Math" w:cs="Arial"/>
            <w:color w:val="000000" w:themeColor="text1"/>
          </w:rPr>
          <m:t xml:space="preserve">(i,j) </m:t>
        </m:r>
        <m:r>
          <w:rPr>
            <w:rFonts w:ascii="Cambria Math" w:hAnsi="Cambria Math" w:cs="Cambria Math"/>
            <w:color w:val="000000" w:themeColor="text1"/>
          </w:rPr>
          <m:t>∈</m:t>
        </m:r>
        <m:r>
          <w:rPr>
            <w:rFonts w:ascii="Cambria Math" w:hAnsi="Cambria Math" w:cs="Arial"/>
            <w:color w:val="000000" w:themeColor="text1"/>
          </w:rPr>
          <m:t xml:space="preserve"> </m:t>
        </m:r>
        <m:r>
          <m:rPr>
            <m:scr m:val="script"/>
          </m:rPr>
          <w:rPr>
            <w:rFonts w:ascii="Cambria Math" w:hAnsi="Cambria Math" w:cs="Cambria Math"/>
            <w:color w:val="000000" w:themeColor="text1"/>
          </w:rPr>
          <m:t>P</m:t>
        </m:r>
      </m:oMath>
      <w:r w:rsidRPr="00B64E05">
        <w:rPr>
          <w:rFonts w:ascii="Arial" w:hAnsi="Arial" w:cs="Arial"/>
          <w:color w:val="000000" w:themeColor="text1"/>
        </w:rPr>
        <w:t>, when the drive time is at most 60 minutes or the facility lies in county i (a 45-minute effective time is used for same-county pairs whose centroid route exceeds 60 minutes), with decay weight</w:t>
      </w:r>
      <w:r w:rsidR="00CC6BC6">
        <w:rPr>
          <w:rFonts w:ascii="Arial" w:hAnsi="Arial" w:cs="Arial"/>
          <w:color w:val="000000" w:themeColor="text1"/>
        </w:rPr>
        <w:t xml:space="preserve"> </w:t>
      </w:r>
      <m:oMath>
        <m:sSub>
          <m:sSubPr>
            <m:ctrlPr>
              <w:rPr>
                <w:rFonts w:ascii="Cambria Math" w:hAnsi="Cambria Math" w:cs="Arial"/>
                <w:i/>
                <w:color w:val="000000" w:themeColor="text1"/>
              </w:rPr>
            </m:ctrlPr>
          </m:sSubPr>
          <m:e>
            <m:r>
              <w:rPr>
                <w:rFonts w:ascii="Cambria Math" w:hAnsi="Cambria Math" w:cs="Arial"/>
                <w:color w:val="000000" w:themeColor="text1"/>
              </w:rPr>
              <m:t>e</m:t>
            </m:r>
          </m:e>
          <m:sub>
            <m:r>
              <w:rPr>
                <w:rFonts w:ascii="Cambria Math" w:hAnsi="Cambria Math" w:cs="Arial"/>
                <w:color w:val="000000" w:themeColor="text1"/>
              </w:rPr>
              <m:t>ij</m:t>
            </m:r>
          </m:sub>
        </m:sSub>
        <m:r>
          <w:rPr>
            <w:rFonts w:ascii="Cambria Math" w:hAnsi="Cambria Math" w:cs="Arial"/>
            <w:color w:val="000000" w:themeColor="text1"/>
          </w:rPr>
          <m:t>=</m:t>
        </m:r>
        <m:sSup>
          <m:sSupPr>
            <m:ctrlPr>
              <w:rPr>
                <w:rFonts w:ascii="Cambria Math" w:hAnsi="Cambria Math" w:cs="Arial"/>
                <w:i/>
                <w:color w:val="000000" w:themeColor="text1"/>
              </w:rPr>
            </m:ctrlPr>
          </m:sSupPr>
          <m:e>
            <m:r>
              <w:rPr>
                <w:rFonts w:ascii="Cambria Math" w:hAnsi="Cambria Math" w:cs="Arial"/>
                <w:color w:val="000000" w:themeColor="text1"/>
              </w:rPr>
              <m:t>e</m:t>
            </m:r>
          </m:e>
          <m:sup>
            <m:r>
              <w:rPr>
                <w:rFonts w:ascii="Cambria Math" w:hAnsi="Cambria Math" w:cs="Arial"/>
                <w:color w:val="000000" w:themeColor="text1"/>
              </w:rPr>
              <m:t>-β</m:t>
            </m:r>
            <m:sSub>
              <m:sSubPr>
                <m:ctrlPr>
                  <w:rPr>
                    <w:rFonts w:ascii="Cambria Math" w:hAnsi="Cambria Math" w:cs="Arial"/>
                    <w:i/>
                    <w:color w:val="000000" w:themeColor="text1"/>
                  </w:rPr>
                </m:ctrlPr>
              </m:sSubPr>
              <m:e>
                <m:r>
                  <w:rPr>
                    <w:rFonts w:ascii="Cambria Math" w:hAnsi="Cambria Math" w:cs="Arial"/>
                    <w:color w:val="000000" w:themeColor="text1"/>
                  </w:rPr>
                  <m:t>⋅d</m:t>
                </m:r>
              </m:e>
              <m:sub>
                <m:r>
                  <w:rPr>
                    <w:rFonts w:ascii="Cambria Math" w:hAnsi="Cambria Math" w:cs="Arial"/>
                    <w:color w:val="000000" w:themeColor="text1"/>
                  </w:rPr>
                  <m:t>ij</m:t>
                </m:r>
              </m:sub>
            </m:sSub>
          </m:sup>
        </m:sSup>
      </m:oMath>
      <w:r w:rsidR="00CC6BC6">
        <w:rPr>
          <w:rFonts w:ascii="Arial" w:hAnsi="Arial" w:cs="Arial"/>
          <w:color w:val="000000" w:themeColor="text1"/>
        </w:rPr>
        <w:t>.</w:t>
      </w:r>
    </w:p>
    <w:p w14:paraId="666A368D" w14:textId="77777777" w:rsidR="00566BB7" w:rsidRPr="00B64E05" w:rsidRDefault="00000000" w:rsidP="00406C78">
      <w:pPr>
        <w:pStyle w:val="Heading2"/>
        <w:jc w:val="both"/>
        <w:rPr>
          <w:rFonts w:ascii="Arial" w:hAnsi="Arial" w:cs="Arial"/>
          <w:color w:val="000000" w:themeColor="text1"/>
          <w:sz w:val="22"/>
          <w:szCs w:val="22"/>
        </w:rPr>
      </w:pPr>
      <w:r w:rsidRPr="00B64E05">
        <w:rPr>
          <w:rFonts w:ascii="Arial" w:hAnsi="Arial" w:cs="Arial"/>
          <w:color w:val="000000" w:themeColor="text1"/>
          <w:sz w:val="22"/>
          <w:szCs w:val="22"/>
        </w:rPr>
        <w:t>S4.2 Computational implementation</w:t>
      </w:r>
    </w:p>
    <w:p w14:paraId="4756E54E" w14:textId="77777777" w:rsidR="00AE1F36" w:rsidRDefault="00000000" w:rsidP="00406C78">
      <w:pPr>
        <w:spacing w:after="0"/>
        <w:jc w:val="both"/>
        <w:rPr>
          <w:rFonts w:ascii="Arial" w:hAnsi="Arial" w:cs="Arial"/>
          <w:color w:val="000000" w:themeColor="text1"/>
        </w:rPr>
      </w:pPr>
      <w:r w:rsidRPr="00B64E05">
        <w:rPr>
          <w:rFonts w:ascii="Arial" w:hAnsi="Arial" w:cs="Arial"/>
          <w:color w:val="000000" w:themeColor="text1"/>
        </w:rPr>
        <w:t>The extensive-form model contained 37,824 variables (including 222 binary opening variables</w:t>
      </w:r>
      <m:oMath>
        <m:sSub>
          <m:sSubPr>
            <m:ctrlPr>
              <w:rPr>
                <w:rFonts w:ascii="Cambria Math" w:hAnsi="Cambria Math" w:cs="Arial"/>
                <w:i/>
                <w:color w:val="000000" w:themeColor="text1"/>
              </w:rPr>
            </m:ctrlPr>
          </m:sSubPr>
          <m:e>
            <m:r>
              <w:rPr>
                <w:rFonts w:ascii="Cambria Math" w:hAnsi="Cambria Math" w:cs="Arial"/>
                <w:color w:val="000000" w:themeColor="text1"/>
              </w:rPr>
              <m:t>y</m:t>
            </m:r>
          </m:e>
          <m:sub>
            <m:r>
              <w:rPr>
                <w:rFonts w:ascii="Cambria Math" w:hAnsi="Cambria Math" w:cs="Arial"/>
                <w:color w:val="000000" w:themeColor="text1"/>
              </w:rPr>
              <m:t>j</m:t>
            </m:r>
          </m:sub>
        </m:sSub>
      </m:oMath>
      <w:r w:rsidRPr="00B64E05">
        <w:rPr>
          <w:rFonts w:ascii="Arial" w:hAnsi="Arial" w:cs="Arial"/>
          <w:color w:val="000000" w:themeColor="text1"/>
        </w:rPr>
        <w:t>), 9,893 linear constraints, and 90,624 nonzero coefficients, defined over 3,920 accessible county–facility pairs. The model was implemented in Python and solved as a convex mixed-integer quadratic program with Gurobi Optimizer 12.0.3, using 14 threads on an Apple M4 Pro workstation with 48 GB RAM. Phase 1 (coverage) was solved with a relative MIP-gap tolerance of 5×10</w:t>
      </w:r>
      <w:r w:rsidRPr="00B64E05">
        <w:rPr>
          <w:rFonts w:ascii="Cambria Math" w:hAnsi="Cambria Math" w:cs="Cambria Math"/>
          <w:color w:val="000000" w:themeColor="text1"/>
        </w:rPr>
        <w:t>⁻</w:t>
      </w:r>
      <w:r w:rsidRPr="00B64E05">
        <w:rPr>
          <w:rFonts w:ascii="Arial" w:hAnsi="Arial" w:cs="Arial"/>
          <w:color w:val="000000" w:themeColor="text1"/>
        </w:rPr>
        <w:t xml:space="preserve">⁴ (0.05%) and a 1,200-second time limit; on the reported instance it terminated at the time limit with a 0.071% gap—within approximately 0.07% of the best achievable bound and therefore effectively optimal. Phase 2 (between-group variance) was solved with a 600-second time limit and reached a 0.0000% gap at the root node in approximately 2 seconds. Default Gurobi parameter settings were used otherwise. </w:t>
      </w:r>
    </w:p>
    <w:p w14:paraId="13BBB40A" w14:textId="29B2B1AC" w:rsidR="00566BB7" w:rsidRPr="00B64E05" w:rsidRDefault="00000000" w:rsidP="00406C78">
      <w:pPr>
        <w:spacing w:after="0"/>
        <w:jc w:val="both"/>
        <w:rPr>
          <w:rFonts w:ascii="Arial" w:hAnsi="Arial" w:cs="Arial"/>
          <w:color w:val="000000" w:themeColor="text1"/>
        </w:rPr>
      </w:pPr>
      <w:r w:rsidRPr="00B64E05">
        <w:rPr>
          <w:rFonts w:ascii="Arial" w:hAnsi="Arial" w:cs="Arial"/>
          <w:color w:val="000000" w:themeColor="text1"/>
        </w:rPr>
        <w:t>Value-of-information measures (VSS and EVPI) were computed for the Phase-1 coverage objective only and were not applied to the Phase-2 equity objective.</w:t>
      </w:r>
    </w:p>
    <w:sectPr w:rsidR="00566BB7" w:rsidRPr="00B64E05" w:rsidSect="00406C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7309271">
    <w:abstractNumId w:val="8"/>
  </w:num>
  <w:num w:numId="2" w16cid:durableId="2001734161">
    <w:abstractNumId w:val="6"/>
  </w:num>
  <w:num w:numId="3" w16cid:durableId="932738834">
    <w:abstractNumId w:val="5"/>
  </w:num>
  <w:num w:numId="4" w16cid:durableId="1602297605">
    <w:abstractNumId w:val="4"/>
  </w:num>
  <w:num w:numId="5" w16cid:durableId="805050425">
    <w:abstractNumId w:val="7"/>
  </w:num>
  <w:num w:numId="6" w16cid:durableId="741415468">
    <w:abstractNumId w:val="3"/>
  </w:num>
  <w:num w:numId="7" w16cid:durableId="821118021">
    <w:abstractNumId w:val="2"/>
  </w:num>
  <w:num w:numId="8" w16cid:durableId="578564224">
    <w:abstractNumId w:val="1"/>
  </w:num>
  <w:num w:numId="9" w16cid:durableId="8859448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9BB"/>
    <w:rsid w:val="000B3CEB"/>
    <w:rsid w:val="00130162"/>
    <w:rsid w:val="0015074B"/>
    <w:rsid w:val="0029639D"/>
    <w:rsid w:val="00326F90"/>
    <w:rsid w:val="00406C78"/>
    <w:rsid w:val="004318E5"/>
    <w:rsid w:val="00566BB7"/>
    <w:rsid w:val="005E1104"/>
    <w:rsid w:val="006718B4"/>
    <w:rsid w:val="00815BD2"/>
    <w:rsid w:val="00886D6C"/>
    <w:rsid w:val="00AA1D8D"/>
    <w:rsid w:val="00AE1F36"/>
    <w:rsid w:val="00B47730"/>
    <w:rsid w:val="00B5450B"/>
    <w:rsid w:val="00B64E05"/>
    <w:rsid w:val="00CB0664"/>
    <w:rsid w:val="00CC6BC6"/>
    <w:rsid w:val="00CF0D45"/>
    <w:rsid w:val="00E615B2"/>
    <w:rsid w:val="00F53E89"/>
    <w:rsid w:val="00FC693F"/>
    <w:rsid w:val="00FF64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C7317C"/>
  <w14:defaultImageDpi w14:val="300"/>
  <w15:docId w15:val="{DB2288F0-56B0-0043-A96C-CAF9028FD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12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6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B5450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1731</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Madadi, Mahboubeh</cp:lastModifiedBy>
  <cp:revision>18</cp:revision>
  <dcterms:created xsi:type="dcterms:W3CDTF">2013-12-23T23:15:00Z</dcterms:created>
  <dcterms:modified xsi:type="dcterms:W3CDTF">2026-08-27T19:27:00Z</dcterms:modified>
  <cp:category/>
</cp:coreProperties>
</file>