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4DC8B" w14:textId="77777777" w:rsidR="00F2252B" w:rsidRDefault="00F2252B" w:rsidP="0045473D">
      <w:pPr>
        <w:keepNext/>
        <w:spacing w:before="200" w:after="100" w:line="276" w:lineRule="auto"/>
        <w:jc w:val="both"/>
        <w:rPr>
          <w:rFonts w:eastAsia="Times New Roman" w:cs="Times New Roman"/>
          <w:b/>
          <w:sz w:val="28"/>
          <w:lang w:val="en-US"/>
        </w:rPr>
      </w:pPr>
      <w:r w:rsidRPr="006E34D2">
        <w:rPr>
          <w:rFonts w:eastAsia="Times New Roman" w:cs="Times New Roman"/>
          <w:b/>
          <w:sz w:val="28"/>
          <w:lang w:val="en-US"/>
        </w:rPr>
        <w:t>Supplementary Information</w:t>
      </w:r>
    </w:p>
    <w:p w14:paraId="60A854C7" w14:textId="77777777" w:rsidR="00877195" w:rsidRDefault="00877195" w:rsidP="00877195">
      <w:pPr>
        <w:keepNext/>
        <w:spacing w:before="160" w:after="60" w:line="276" w:lineRule="auto"/>
        <w:jc w:val="both"/>
        <w:rPr>
          <w:rFonts w:cs="Times New Roman"/>
          <w:b/>
          <w:bCs/>
        </w:rPr>
      </w:pPr>
      <w:r w:rsidRPr="00223EB8">
        <w:rPr>
          <w:rFonts w:cs="Times New Roman"/>
          <w:b/>
          <w:bCs/>
        </w:rPr>
        <w:t>An integrated framework for public health laboratory, epidemiological, and territorial data supports a denominator-aware approach to RSV surveillance in Minas Gerais, Brazil</w:t>
      </w:r>
    </w:p>
    <w:p w14:paraId="6332F354" w14:textId="78586167" w:rsidR="00F61B66" w:rsidRPr="00842F89" w:rsidRDefault="00F61B66" w:rsidP="00842F89">
      <w:pPr>
        <w:pStyle w:val="PargrafodaLista"/>
        <w:keepNext/>
        <w:numPr>
          <w:ilvl w:val="0"/>
          <w:numId w:val="1"/>
        </w:numPr>
        <w:spacing w:before="200" w:after="100" w:line="276" w:lineRule="auto"/>
        <w:jc w:val="both"/>
        <w:rPr>
          <w:rFonts w:eastAsia="Times New Roman" w:cs="Times New Roman"/>
          <w:b/>
          <w:sz w:val="24"/>
          <w:lang w:val="en-US"/>
        </w:rPr>
      </w:pPr>
      <w:r w:rsidRPr="00842F89">
        <w:rPr>
          <w:rFonts w:eastAsia="Times New Roman" w:cs="Times New Roman"/>
          <w:b/>
          <w:sz w:val="24"/>
          <w:lang w:val="en-US"/>
        </w:rPr>
        <w:t>Supplementary Methods and Tables</w:t>
      </w:r>
    </w:p>
    <w:p w14:paraId="175851C5" w14:textId="1D667DDC" w:rsidR="007417E2" w:rsidRPr="0045473D" w:rsidRDefault="00F61B66" w:rsidP="0045473D">
      <w:pPr>
        <w:keepNext/>
        <w:spacing w:before="160" w:after="60" w:line="276" w:lineRule="auto"/>
        <w:jc w:val="both"/>
        <w:rPr>
          <w:rFonts w:cs="Times New Roman"/>
          <w:lang w:val="en-US"/>
        </w:rPr>
      </w:pPr>
      <w:r w:rsidRPr="006E34D2">
        <w:rPr>
          <w:rFonts w:eastAsia="Times New Roman" w:cs="Times New Roman"/>
          <w:b/>
          <w:lang w:val="en-US"/>
        </w:rPr>
        <w:t>Supplementary Method S1. Analytical dataset construction and positivity denominator definition</w:t>
      </w:r>
    </w:p>
    <w:p w14:paraId="7B67ECFD" w14:textId="63CF00A3" w:rsidR="00531D7B" w:rsidRPr="0045473D" w:rsidRDefault="00531D7B" w:rsidP="006E34D2">
      <w:pPr>
        <w:spacing w:after="0" w:line="360" w:lineRule="auto"/>
        <w:ind w:firstLine="706"/>
        <w:jc w:val="both"/>
        <w:rPr>
          <w:rFonts w:cs="Times New Roman"/>
          <w:lang w:val="en-US"/>
        </w:rPr>
      </w:pPr>
      <w:r w:rsidRPr="006E34D2">
        <w:rPr>
          <w:rFonts w:eastAsia="Times New Roman" w:cs="Times New Roman"/>
          <w:lang w:val="en-US"/>
        </w:rPr>
        <w:t>Routine respiratory syncytial virus (RSV) testing records generated by Funed/Lacen-MG from 2021 through 2025 were organized into a sample-level analytical dataset. The unit of analysis was the individual laboratory sample tested for RSV, rather than the patient, notification, laboratory request, or source-file row.</w:t>
      </w:r>
    </w:p>
    <w:p w14:paraId="3B2C4EC9" w14:textId="0A7B04D0" w:rsidR="00531D7B" w:rsidRPr="0045473D" w:rsidRDefault="00531D7B" w:rsidP="006E34D2">
      <w:pPr>
        <w:spacing w:after="0" w:line="360" w:lineRule="auto"/>
        <w:ind w:firstLine="706"/>
        <w:jc w:val="both"/>
        <w:rPr>
          <w:rFonts w:cs="Times New Roman"/>
          <w:lang w:val="en-US"/>
        </w:rPr>
      </w:pPr>
      <w:r w:rsidRPr="006E34D2">
        <w:rPr>
          <w:rFonts w:eastAsia="Times New Roman" w:cs="Times New Roman"/>
          <w:lang w:val="en-US"/>
        </w:rPr>
        <w:t xml:space="preserve">Data processing comprised extraction from operational exports; harmonization of RSV result categories; standardization of sample identifiers; identification of outcomes ineligible for positivity denominators; derivation of ISO epidemiological variables; territorial enrichment; and construction of linkage indicators. </w:t>
      </w:r>
      <w:r w:rsidR="0072274C" w:rsidRPr="0072274C">
        <w:rPr>
          <w:rFonts w:eastAsia="Times New Roman" w:cs="Times New Roman"/>
          <w:lang w:val="en-US"/>
        </w:rPr>
        <w:t>Centralized configuration files, audit outputs, and reproducibility artifacts maintained traceability from raw exports through intermediate datasets to final analytical tables.</w:t>
      </w:r>
    </w:p>
    <w:p w14:paraId="372D08C7" w14:textId="04E435B6" w:rsidR="00531D7B" w:rsidRPr="0045473D" w:rsidRDefault="007B1137" w:rsidP="006E34D2">
      <w:pPr>
        <w:spacing w:after="0" w:line="360" w:lineRule="auto"/>
        <w:ind w:firstLine="706"/>
        <w:jc w:val="both"/>
        <w:rPr>
          <w:rFonts w:cs="Times New Roman"/>
          <w:lang w:val="en-US"/>
        </w:rPr>
      </w:pPr>
      <w:r w:rsidRPr="006E34D2">
        <w:rPr>
          <w:rFonts w:eastAsia="Times New Roman" w:cs="Times New Roman"/>
          <w:lang w:val="en-US"/>
        </w:rPr>
        <w:t>Within GALAXIS, JANUS generated the JANUS Analytical Core (JAC), the standardized, auditable sample-level dataset used as input for descriptive, linkage, territorial and Bayesian analyses.</w:t>
      </w:r>
      <w:r w:rsidR="00531D7B" w:rsidRPr="006E34D2">
        <w:rPr>
          <w:rFonts w:eastAsia="Times New Roman" w:cs="Times New Roman"/>
          <w:lang w:val="en-US"/>
        </w:rPr>
        <w:t xml:space="preserve"> It contained 134,971 records with harmonized RSV outcomes, epidemiological dates and ISO-week variables, territorial attributes, and surveillance-linkage indicators where available.</w:t>
      </w:r>
    </w:p>
    <w:p w14:paraId="56276780" w14:textId="77777777" w:rsidR="00531D7B" w:rsidRPr="0045473D" w:rsidRDefault="00531D7B" w:rsidP="006E34D2">
      <w:pPr>
        <w:spacing w:after="0" w:line="360" w:lineRule="auto"/>
        <w:ind w:firstLine="706"/>
        <w:jc w:val="both"/>
        <w:rPr>
          <w:rFonts w:cs="Times New Roman"/>
          <w:lang w:val="en-US"/>
        </w:rPr>
      </w:pPr>
      <w:r w:rsidRPr="006E34D2">
        <w:rPr>
          <w:rFonts w:eastAsia="Times New Roman" w:cs="Times New Roman"/>
          <w:lang w:val="en-US"/>
        </w:rPr>
        <w:t>For temporal analyses, records were restricted to the predefined panel of ISO epidemiological years 2021–2025. This retained 134,730 records; 241 boundary records outside the panel were excluded.</w:t>
      </w:r>
    </w:p>
    <w:p w14:paraId="4CC4F852" w14:textId="4DB2F96C" w:rsidR="00531D7B" w:rsidRPr="0045473D" w:rsidRDefault="00531D7B" w:rsidP="006E34D2">
      <w:pPr>
        <w:spacing w:after="0" w:line="360" w:lineRule="auto"/>
        <w:ind w:firstLine="706"/>
        <w:jc w:val="both"/>
        <w:rPr>
          <w:rFonts w:cs="Times New Roman"/>
          <w:lang w:val="en-US"/>
        </w:rPr>
      </w:pPr>
      <w:r w:rsidRPr="006E34D2">
        <w:rPr>
          <w:rFonts w:eastAsia="Times New Roman" w:cs="Times New Roman"/>
          <w:lang w:val="en-US"/>
        </w:rPr>
        <w:t>For positivity analyses, samples were classified by harmonized RSV outcome.</w:t>
      </w:r>
      <w:r w:rsidR="004750E0" w:rsidRPr="006E34D2">
        <w:rPr>
          <w:rFonts w:eastAsia="Times New Roman" w:cs="Times New Roman"/>
          <w:lang w:val="en-US"/>
        </w:rPr>
        <w:t xml:space="preserve"> The valid RSV-tested denominator comprised RSV-detectable and RSV-non-detectable samples. Inconclusive outcomes were excluded from both the numerator and denominator.</w:t>
      </w:r>
    </w:p>
    <w:p w14:paraId="669693E9" w14:textId="77777777" w:rsidR="00531D7B" w:rsidRPr="0045473D" w:rsidRDefault="00531D7B" w:rsidP="006E34D2">
      <w:pPr>
        <w:spacing w:after="0" w:line="360" w:lineRule="auto"/>
        <w:ind w:firstLine="706"/>
        <w:jc w:val="both"/>
        <w:rPr>
          <w:rFonts w:cs="Times New Roman"/>
          <w:lang w:val="en-US"/>
        </w:rPr>
      </w:pPr>
      <w:r w:rsidRPr="006E34D2">
        <w:rPr>
          <w:rFonts w:eastAsia="Times New Roman" w:cs="Times New Roman"/>
          <w:lang w:val="en-US"/>
        </w:rPr>
        <w:t>Among 134,235 valid RSV-tested samples, 11,713 were RSV-detectable and 122,522 were RSV-non-detectable, yielding an observed positivity of 8.7% (11,713/134,235). This measure is the proportion of valid tested samples with RSV detection; it is not an estimate of population incidence, disease burden, or individual risk.</w:t>
      </w:r>
    </w:p>
    <w:p w14:paraId="3918CB03" w14:textId="0EA8B3AE" w:rsidR="006E1EB5" w:rsidRDefault="00C648BA" w:rsidP="006E34D2">
      <w:pPr>
        <w:spacing w:after="0" w:line="360" w:lineRule="auto"/>
        <w:ind w:firstLine="706"/>
        <w:jc w:val="both"/>
        <w:rPr>
          <w:rFonts w:eastAsia="Times New Roman" w:cs="Times New Roman"/>
          <w:lang w:val="en-US"/>
        </w:rPr>
      </w:pPr>
      <w:r w:rsidRPr="006E34D2">
        <w:rPr>
          <w:rFonts w:eastAsia="Times New Roman" w:cs="Times New Roman"/>
          <w:lang w:val="en-US"/>
        </w:rPr>
        <w:t xml:space="preserve">Age was standardized to years using the recorded age value and age unit; values recorded in months, days, or hours were converted to years before assignment to descriptive or Bayesian age groups. </w:t>
      </w:r>
      <w:r w:rsidR="00531D7B" w:rsidRPr="006E34D2">
        <w:rPr>
          <w:rFonts w:eastAsia="Times New Roman" w:cs="Times New Roman"/>
          <w:lang w:val="en-US"/>
        </w:rPr>
        <w:t xml:space="preserve">Sex and age-group distributions were summarized for all samples in the ISO-week analytical panel and separately for RSV-detectable samples. </w:t>
      </w:r>
      <w:r w:rsidR="004D3D01" w:rsidRPr="006E34D2">
        <w:rPr>
          <w:rFonts w:eastAsia="Times New Roman" w:cs="Times New Roman"/>
          <w:lang w:val="en-US"/>
        </w:rPr>
        <w:t xml:space="preserve">Because counts for the ISO-week analytical panel include inconclusive outcomes, Tables S1A and S1B describe the composition of the laboratory-tested sample stream rather than the denominator used to calculate positivity. </w:t>
      </w:r>
      <w:r w:rsidR="00531D7B" w:rsidRPr="006E34D2">
        <w:rPr>
          <w:rFonts w:eastAsia="Times New Roman" w:cs="Times New Roman"/>
          <w:lang w:val="en-US"/>
        </w:rPr>
        <w:t>The positivity denominator remained restricted to RSV-detectable and RSV-non-detectable samples.</w:t>
      </w:r>
      <w:r w:rsidR="004A1BA8" w:rsidRPr="006E34D2">
        <w:rPr>
          <w:rFonts w:eastAsia="Times New Roman" w:cs="Times New Roman"/>
          <w:lang w:val="en-US"/>
        </w:rPr>
        <w:t xml:space="preserve"> </w:t>
      </w:r>
    </w:p>
    <w:p w14:paraId="635C2CEF" w14:textId="6A95AEFE" w:rsidR="00376EC0" w:rsidRPr="006E34D2" w:rsidRDefault="000D342D" w:rsidP="006E34D2">
      <w:pPr>
        <w:spacing w:after="0" w:line="360" w:lineRule="auto"/>
        <w:ind w:firstLine="706"/>
        <w:jc w:val="both"/>
        <w:rPr>
          <w:rFonts w:eastAsia="Times New Roman" w:cs="Times New Roman"/>
          <w:lang w:val="en-US"/>
        </w:rPr>
      </w:pPr>
      <w:r w:rsidRPr="000D342D">
        <w:rPr>
          <w:rFonts w:eastAsia="Times New Roman" w:cs="Times New Roman"/>
          <w:lang w:val="en-US"/>
        </w:rPr>
        <w:t xml:space="preserve">Eight normalized laboratory exports contributed 152,633 source rows. After restriction to records assigned to Minas Gerais, 152,609 rows remained; restriction to the prespecified 2021–2025 </w:t>
      </w:r>
      <w:r w:rsidRPr="000D342D">
        <w:rPr>
          <w:rFonts w:eastAsia="Times New Roman" w:cs="Times New Roman"/>
          <w:lang w:val="en-US"/>
        </w:rPr>
        <w:lastRenderedPageBreak/>
        <w:t>source-data window retained 140,207 rows. Deterministic sample-level consolidation removed 5,236 duplicate source rows across 5,077 duplicate groups, producing 134,971 JAC records. Of these, 134,730 were retained in the primary ISO epidemiological-year 2021–2025 panel, while 241 boundary records were excluded. Positivity analyses used 134,235 valid outcomes, comprising 11,713 RSV-detectable and 122,522 RSV-non-detectable samples. The 495 inconclusive outcomes were retained for testing-volume analyses but excluded from the positivity denominator.</w:t>
      </w:r>
    </w:p>
    <w:p w14:paraId="071EDF3E" w14:textId="5B3128DE" w:rsidR="006C56E7" w:rsidRPr="0045473D" w:rsidRDefault="006E1EB5" w:rsidP="006E34D2">
      <w:pPr>
        <w:spacing w:after="0" w:line="360" w:lineRule="auto"/>
        <w:ind w:firstLine="706"/>
        <w:jc w:val="both"/>
        <w:rPr>
          <w:rFonts w:cs="Times New Roman"/>
          <w:lang w:val="en-US"/>
        </w:rPr>
      </w:pPr>
      <w:r w:rsidRPr="006E34D2">
        <w:rPr>
          <w:rFonts w:eastAsia="Times New Roman" w:cs="Times New Roman"/>
          <w:lang w:val="en-US"/>
        </w:rPr>
        <w:br w:type="column"/>
      </w:r>
      <w:r w:rsidR="006C56E7" w:rsidRPr="006E34D2">
        <w:rPr>
          <w:rFonts w:eastAsia="Times New Roman" w:cs="Times New Roman"/>
          <w:b/>
          <w:lang w:val="en-US"/>
        </w:rPr>
        <w:lastRenderedPageBreak/>
        <w:t xml:space="preserve">Table S1. Flow from the </w:t>
      </w:r>
      <w:r w:rsidR="00A16B85" w:rsidRPr="006E34D2">
        <w:rPr>
          <w:rFonts w:eastAsia="Times New Roman" w:cs="Times New Roman"/>
          <w:b/>
          <w:lang w:val="en-US"/>
        </w:rPr>
        <w:t xml:space="preserve">JANUS Analytical Core (JAC) </w:t>
      </w:r>
      <w:r w:rsidR="006C56E7" w:rsidRPr="006E34D2">
        <w:rPr>
          <w:rFonts w:eastAsia="Times New Roman" w:cs="Times New Roman"/>
          <w:b/>
          <w:lang w:val="en-US"/>
        </w:rPr>
        <w:t>to the RSV positivity denominator.</w:t>
      </w:r>
    </w:p>
    <w:tbl>
      <w:tblPr>
        <w:tblW w:w="9167" w:type="dxa"/>
        <w:tblCellMar>
          <w:left w:w="70" w:type="dxa"/>
          <w:right w:w="70" w:type="dxa"/>
        </w:tblCellMar>
        <w:tblLook w:val="04A0" w:firstRow="1" w:lastRow="0" w:firstColumn="1" w:lastColumn="0" w:noHBand="0" w:noVBand="1"/>
      </w:tblPr>
      <w:tblGrid>
        <w:gridCol w:w="3854"/>
        <w:gridCol w:w="1609"/>
        <w:gridCol w:w="3704"/>
      </w:tblGrid>
      <w:tr w:rsidR="000A5DAE" w:rsidRPr="006E34D2" w14:paraId="28ED2B47" w14:textId="77777777" w:rsidTr="00A750BA">
        <w:trPr>
          <w:cantSplit/>
          <w:trHeight w:val="285"/>
          <w:tblHeader/>
        </w:trPr>
        <w:tc>
          <w:tcPr>
            <w:tcW w:w="3854" w:type="dxa"/>
            <w:vAlign w:val="center"/>
            <w:hideMark/>
          </w:tcPr>
          <w:p w14:paraId="17E295F3" w14:textId="77777777" w:rsidR="000A5DAE" w:rsidRPr="0045473D" w:rsidRDefault="000A5DAE"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Analytical stage</w:t>
            </w:r>
          </w:p>
        </w:tc>
        <w:tc>
          <w:tcPr>
            <w:tcW w:w="1609" w:type="dxa"/>
            <w:vAlign w:val="center"/>
            <w:hideMark/>
          </w:tcPr>
          <w:p w14:paraId="6A9F50A9" w14:textId="77777777" w:rsidR="000A5DAE" w:rsidRPr="0045473D" w:rsidRDefault="000A5DAE"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Records, n</w:t>
            </w:r>
          </w:p>
        </w:tc>
        <w:tc>
          <w:tcPr>
            <w:tcW w:w="3704" w:type="dxa"/>
            <w:vAlign w:val="center"/>
            <w:hideMark/>
          </w:tcPr>
          <w:p w14:paraId="7CE644DF" w14:textId="77777777" w:rsidR="000A5DAE" w:rsidRPr="0045473D" w:rsidRDefault="000A5DAE"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Interpretation</w:t>
            </w:r>
          </w:p>
        </w:tc>
      </w:tr>
      <w:tr w:rsidR="000A5DAE" w:rsidRPr="006E34D2" w14:paraId="47015E02" w14:textId="77777777" w:rsidTr="00A750BA">
        <w:trPr>
          <w:cantSplit/>
          <w:trHeight w:val="571"/>
        </w:trPr>
        <w:tc>
          <w:tcPr>
            <w:tcW w:w="3854" w:type="dxa"/>
            <w:vAlign w:val="center"/>
            <w:hideMark/>
          </w:tcPr>
          <w:p w14:paraId="2DA21DD5"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JANUS analytical core</w:t>
            </w:r>
          </w:p>
        </w:tc>
        <w:tc>
          <w:tcPr>
            <w:tcW w:w="1609" w:type="dxa"/>
            <w:vAlign w:val="center"/>
            <w:hideMark/>
          </w:tcPr>
          <w:p w14:paraId="3F5F4274"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134,971</w:t>
            </w:r>
          </w:p>
        </w:tc>
        <w:tc>
          <w:tcPr>
            <w:tcW w:w="3704" w:type="dxa"/>
            <w:vAlign w:val="center"/>
            <w:hideMark/>
          </w:tcPr>
          <w:p w14:paraId="44854052"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Standardized sample-level analytical dataset</w:t>
            </w:r>
          </w:p>
        </w:tc>
      </w:tr>
      <w:tr w:rsidR="000A5DAE" w:rsidRPr="006E34D2" w14:paraId="130D5378" w14:textId="77777777" w:rsidTr="00A750BA">
        <w:trPr>
          <w:cantSplit/>
          <w:trHeight w:val="1142"/>
        </w:trPr>
        <w:tc>
          <w:tcPr>
            <w:tcW w:w="3854" w:type="dxa"/>
            <w:vAlign w:val="center"/>
            <w:hideMark/>
          </w:tcPr>
          <w:p w14:paraId="1A8052DD"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ISO-week analytical panel</w:t>
            </w:r>
          </w:p>
        </w:tc>
        <w:tc>
          <w:tcPr>
            <w:tcW w:w="1609" w:type="dxa"/>
            <w:vAlign w:val="center"/>
            <w:hideMark/>
          </w:tcPr>
          <w:p w14:paraId="47F79D7C" w14:textId="6E14D193"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134,73</w:t>
            </w:r>
            <w:r w:rsidR="00481643" w:rsidRPr="006E34D2">
              <w:rPr>
                <w:rFonts w:eastAsia="Times New Roman" w:cs="Times New Roman"/>
                <w:color w:val="000000"/>
                <w:kern w:val="0"/>
                <w:sz w:val="20"/>
                <w:szCs w:val="22"/>
                <w:lang w:val="en-US"/>
                <w14:ligatures w14:val="none"/>
              </w:rPr>
              <w:t>0</w:t>
            </w:r>
          </w:p>
        </w:tc>
        <w:tc>
          <w:tcPr>
            <w:tcW w:w="3704" w:type="dxa"/>
            <w:vAlign w:val="center"/>
            <w:hideMark/>
          </w:tcPr>
          <w:p w14:paraId="0161768B"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Records within ISO epidemiological years 2021–2025</w:t>
            </w:r>
          </w:p>
        </w:tc>
      </w:tr>
      <w:tr w:rsidR="000A5DAE" w:rsidRPr="006E34D2" w14:paraId="5FF47B8F" w14:textId="77777777" w:rsidTr="00A750BA">
        <w:trPr>
          <w:cantSplit/>
          <w:trHeight w:val="856"/>
        </w:trPr>
        <w:tc>
          <w:tcPr>
            <w:tcW w:w="3854" w:type="dxa"/>
            <w:vAlign w:val="center"/>
            <w:hideMark/>
          </w:tcPr>
          <w:p w14:paraId="0147D314"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Boundary records excluded from ISO panel</w:t>
            </w:r>
          </w:p>
        </w:tc>
        <w:tc>
          <w:tcPr>
            <w:tcW w:w="1609" w:type="dxa"/>
            <w:vAlign w:val="center"/>
            <w:hideMark/>
          </w:tcPr>
          <w:p w14:paraId="3B7952E3"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241</w:t>
            </w:r>
          </w:p>
        </w:tc>
        <w:tc>
          <w:tcPr>
            <w:tcW w:w="3704" w:type="dxa"/>
            <w:vAlign w:val="center"/>
            <w:hideMark/>
          </w:tcPr>
          <w:p w14:paraId="386D9B88"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Records outside the predefined ISO-year panel</w:t>
            </w:r>
          </w:p>
        </w:tc>
      </w:tr>
      <w:tr w:rsidR="000A5DAE" w:rsidRPr="006E34D2" w14:paraId="16D3A0D0" w14:textId="77777777" w:rsidTr="00A750BA">
        <w:trPr>
          <w:cantSplit/>
          <w:trHeight w:val="1142"/>
        </w:trPr>
        <w:tc>
          <w:tcPr>
            <w:tcW w:w="3854" w:type="dxa"/>
            <w:vAlign w:val="center"/>
            <w:hideMark/>
          </w:tcPr>
          <w:p w14:paraId="4134FDE8"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Valid RSV-tested samples</w:t>
            </w:r>
          </w:p>
        </w:tc>
        <w:tc>
          <w:tcPr>
            <w:tcW w:w="1609" w:type="dxa"/>
            <w:vAlign w:val="center"/>
            <w:hideMark/>
          </w:tcPr>
          <w:p w14:paraId="28FD88C5"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134,235</w:t>
            </w:r>
          </w:p>
        </w:tc>
        <w:tc>
          <w:tcPr>
            <w:tcW w:w="3704" w:type="dxa"/>
            <w:vAlign w:val="center"/>
            <w:hideMark/>
          </w:tcPr>
          <w:p w14:paraId="2174BF17"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RSV-detectable plus RSV-non-detectable outcomes included in the positivity denominator</w:t>
            </w:r>
          </w:p>
        </w:tc>
      </w:tr>
      <w:tr w:rsidR="000A5DAE" w:rsidRPr="006E34D2" w14:paraId="2541EDAC" w14:textId="77777777" w:rsidTr="00A750BA">
        <w:trPr>
          <w:cantSplit/>
          <w:trHeight w:val="285"/>
        </w:trPr>
        <w:tc>
          <w:tcPr>
            <w:tcW w:w="3854" w:type="dxa"/>
            <w:vAlign w:val="center"/>
            <w:hideMark/>
          </w:tcPr>
          <w:p w14:paraId="4FCCFBAA"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RSV-detectable samples</w:t>
            </w:r>
          </w:p>
        </w:tc>
        <w:tc>
          <w:tcPr>
            <w:tcW w:w="1609" w:type="dxa"/>
            <w:vAlign w:val="center"/>
            <w:hideMark/>
          </w:tcPr>
          <w:p w14:paraId="05DF9A21"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11,713</w:t>
            </w:r>
          </w:p>
        </w:tc>
        <w:tc>
          <w:tcPr>
            <w:tcW w:w="3704" w:type="dxa"/>
            <w:vAlign w:val="center"/>
            <w:hideMark/>
          </w:tcPr>
          <w:p w14:paraId="6E2890A5"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Numerator for observed RSV positivity</w:t>
            </w:r>
          </w:p>
        </w:tc>
      </w:tr>
      <w:tr w:rsidR="000A5DAE" w:rsidRPr="006E34D2" w14:paraId="1905D9B5" w14:textId="77777777" w:rsidTr="00A750BA">
        <w:trPr>
          <w:cantSplit/>
          <w:trHeight w:val="571"/>
        </w:trPr>
        <w:tc>
          <w:tcPr>
            <w:tcW w:w="3854" w:type="dxa"/>
            <w:vAlign w:val="center"/>
            <w:hideMark/>
          </w:tcPr>
          <w:p w14:paraId="6D47B054"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RSV-non-detectable samples</w:t>
            </w:r>
          </w:p>
        </w:tc>
        <w:tc>
          <w:tcPr>
            <w:tcW w:w="1609" w:type="dxa"/>
            <w:vAlign w:val="center"/>
            <w:hideMark/>
          </w:tcPr>
          <w:p w14:paraId="72448657"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122,522</w:t>
            </w:r>
          </w:p>
        </w:tc>
        <w:tc>
          <w:tcPr>
            <w:tcW w:w="3704" w:type="dxa"/>
            <w:vAlign w:val="center"/>
            <w:hideMark/>
          </w:tcPr>
          <w:p w14:paraId="49E2B350"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Valid non-detectable outcomes included in the denominator</w:t>
            </w:r>
          </w:p>
        </w:tc>
      </w:tr>
      <w:tr w:rsidR="000A5DAE" w:rsidRPr="006E34D2" w14:paraId="4F974CA0" w14:textId="77777777" w:rsidTr="00A750BA">
        <w:trPr>
          <w:cantSplit/>
          <w:trHeight w:val="571"/>
        </w:trPr>
        <w:tc>
          <w:tcPr>
            <w:tcW w:w="3854" w:type="dxa"/>
            <w:vAlign w:val="center"/>
            <w:hideMark/>
          </w:tcPr>
          <w:p w14:paraId="107DBFD6"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Overall observed RSV positivity</w:t>
            </w:r>
          </w:p>
        </w:tc>
        <w:tc>
          <w:tcPr>
            <w:tcW w:w="1609" w:type="dxa"/>
            <w:vAlign w:val="center"/>
            <w:hideMark/>
          </w:tcPr>
          <w:p w14:paraId="4335285E"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8.7%</w:t>
            </w:r>
          </w:p>
        </w:tc>
        <w:tc>
          <w:tcPr>
            <w:tcW w:w="3704" w:type="dxa"/>
            <w:vAlign w:val="center"/>
            <w:hideMark/>
          </w:tcPr>
          <w:p w14:paraId="695A7DC1" w14:textId="77777777" w:rsidR="000A5DAE" w:rsidRPr="0045473D" w:rsidRDefault="000A5DAE"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11,713/134,235</w:t>
            </w:r>
          </w:p>
        </w:tc>
      </w:tr>
    </w:tbl>
    <w:p w14:paraId="2034C286" w14:textId="77777777" w:rsidR="000462AF" w:rsidRPr="0045473D" w:rsidRDefault="000462AF" w:rsidP="006E34D2">
      <w:pPr>
        <w:spacing w:line="276" w:lineRule="auto"/>
        <w:ind w:firstLine="708"/>
        <w:jc w:val="both"/>
        <w:rPr>
          <w:rFonts w:cs="Times New Roman"/>
          <w:b/>
          <w:bCs/>
          <w:szCs w:val="22"/>
          <w:lang w:val="en-US"/>
        </w:rPr>
      </w:pPr>
    </w:p>
    <w:p w14:paraId="7AFCB361" w14:textId="26287450" w:rsidR="000462AF" w:rsidRPr="0045473D" w:rsidRDefault="006D19F6"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Pr="006E34D2">
        <w:rPr>
          <w:rFonts w:eastAsia="Times New Roman" w:cs="Times New Roman"/>
          <w:sz w:val="20"/>
          <w:lang w:val="en-US"/>
        </w:rPr>
        <w:t xml:space="preserve">RSV positivity was calculated as RSV-detectable samples divided by valid RSV-tested samples. </w:t>
      </w:r>
      <w:r w:rsidR="00496BCA" w:rsidRPr="006E34D2">
        <w:rPr>
          <w:rFonts w:eastAsia="Times New Roman" w:cs="Times New Roman"/>
          <w:sz w:val="20"/>
          <w:lang w:val="en-US"/>
        </w:rPr>
        <w:t>Inconclusive outcomes were excluded from the positivity denominator.</w:t>
      </w:r>
      <w:r w:rsidRPr="006E34D2">
        <w:rPr>
          <w:rFonts w:eastAsia="Times New Roman" w:cs="Times New Roman"/>
          <w:sz w:val="20"/>
          <w:lang w:val="en-US"/>
        </w:rPr>
        <w:t xml:space="preserve"> The denominator is laboratory based and does not represent population incidence, disease burden, transmission intensity, or individual risk.</w:t>
      </w:r>
    </w:p>
    <w:p w14:paraId="121B8E1D" w14:textId="30EEA7AF" w:rsidR="00A750BA" w:rsidRPr="0045473D" w:rsidRDefault="00406F70" w:rsidP="0045473D">
      <w:pPr>
        <w:keepNext/>
        <w:spacing w:before="120" w:after="60" w:line="276" w:lineRule="auto"/>
        <w:jc w:val="both"/>
        <w:rPr>
          <w:rFonts w:cs="Times New Roman"/>
          <w:lang w:val="en-US"/>
        </w:rPr>
      </w:pPr>
      <w:r w:rsidRPr="006E34D2">
        <w:rPr>
          <w:rFonts w:eastAsia="Times New Roman" w:cs="Times New Roman"/>
          <w:b/>
          <w:lang w:val="en-US"/>
        </w:rPr>
        <w:t>Table S1A. Sex distribution of samples in the ISO-week analytical panel and RSV-detectable samples.</w:t>
      </w:r>
    </w:p>
    <w:tbl>
      <w:tblPr>
        <w:tblW w:w="9079" w:type="dxa"/>
        <w:tblCellSpacing w:w="15" w:type="dxa"/>
        <w:tblCellMar>
          <w:top w:w="15" w:type="dxa"/>
          <w:left w:w="15" w:type="dxa"/>
          <w:bottom w:w="15" w:type="dxa"/>
          <w:right w:w="15" w:type="dxa"/>
        </w:tblCellMar>
        <w:tblLook w:val="04A0" w:firstRow="1" w:lastRow="0" w:firstColumn="1" w:lastColumn="0" w:noHBand="0" w:noVBand="1"/>
      </w:tblPr>
      <w:tblGrid>
        <w:gridCol w:w="4392"/>
        <w:gridCol w:w="2717"/>
        <w:gridCol w:w="1970"/>
      </w:tblGrid>
      <w:tr w:rsidR="00A750BA" w:rsidRPr="006E34D2" w14:paraId="71C10785" w14:textId="77777777" w:rsidTr="00B87877">
        <w:trPr>
          <w:cantSplit/>
          <w:trHeight w:val="560"/>
          <w:tblHeader/>
          <w:tblCellSpacing w:w="15" w:type="dxa"/>
        </w:trPr>
        <w:tc>
          <w:tcPr>
            <w:tcW w:w="0" w:type="auto"/>
            <w:vAlign w:val="center"/>
            <w:hideMark/>
          </w:tcPr>
          <w:p w14:paraId="46279FB0" w14:textId="77777777" w:rsidR="00A750BA" w:rsidRPr="0045473D" w:rsidRDefault="00A750BA" w:rsidP="006E34D2">
            <w:pPr>
              <w:spacing w:after="0" w:line="240" w:lineRule="auto"/>
              <w:jc w:val="both"/>
              <w:rPr>
                <w:rFonts w:cs="Times New Roman"/>
                <w:b/>
                <w:bCs/>
                <w:szCs w:val="22"/>
                <w:lang w:val="en-US"/>
              </w:rPr>
            </w:pPr>
            <w:r w:rsidRPr="006E34D2">
              <w:rPr>
                <w:rFonts w:eastAsia="Times New Roman" w:cs="Times New Roman"/>
                <w:b/>
                <w:bCs/>
                <w:sz w:val="20"/>
                <w:szCs w:val="22"/>
                <w:lang w:val="en-US"/>
              </w:rPr>
              <w:t>Status</w:t>
            </w:r>
          </w:p>
        </w:tc>
        <w:tc>
          <w:tcPr>
            <w:tcW w:w="0" w:type="auto"/>
            <w:vAlign w:val="center"/>
            <w:hideMark/>
          </w:tcPr>
          <w:p w14:paraId="792602C5" w14:textId="77777777" w:rsidR="00A750BA" w:rsidRPr="0045473D" w:rsidRDefault="00A750BA" w:rsidP="006E34D2">
            <w:pPr>
              <w:spacing w:after="0" w:line="240" w:lineRule="auto"/>
              <w:jc w:val="both"/>
              <w:rPr>
                <w:rFonts w:cs="Times New Roman"/>
                <w:b/>
                <w:bCs/>
                <w:szCs w:val="22"/>
                <w:lang w:val="en-US"/>
              </w:rPr>
            </w:pPr>
            <w:r w:rsidRPr="006E34D2">
              <w:rPr>
                <w:rFonts w:eastAsia="Times New Roman" w:cs="Times New Roman"/>
                <w:b/>
                <w:bCs/>
                <w:sz w:val="20"/>
                <w:szCs w:val="22"/>
                <w:lang w:val="en-US"/>
              </w:rPr>
              <w:t>Sex</w:t>
            </w:r>
          </w:p>
        </w:tc>
        <w:tc>
          <w:tcPr>
            <w:tcW w:w="0" w:type="auto"/>
            <w:vAlign w:val="center"/>
            <w:hideMark/>
          </w:tcPr>
          <w:p w14:paraId="4245259E" w14:textId="77777777" w:rsidR="00A750BA" w:rsidRPr="0045473D" w:rsidRDefault="00A750BA" w:rsidP="006E34D2">
            <w:pPr>
              <w:spacing w:after="0" w:line="240" w:lineRule="auto"/>
              <w:jc w:val="both"/>
              <w:rPr>
                <w:rFonts w:cs="Times New Roman"/>
                <w:b/>
                <w:bCs/>
                <w:szCs w:val="22"/>
                <w:lang w:val="en-US"/>
              </w:rPr>
            </w:pPr>
            <w:r w:rsidRPr="006E34D2">
              <w:rPr>
                <w:rFonts w:eastAsia="Times New Roman" w:cs="Times New Roman"/>
                <w:b/>
                <w:bCs/>
                <w:sz w:val="20"/>
                <w:szCs w:val="22"/>
                <w:lang w:val="en-US"/>
              </w:rPr>
              <w:t>Samples, n</w:t>
            </w:r>
          </w:p>
        </w:tc>
      </w:tr>
      <w:tr w:rsidR="00A750BA" w:rsidRPr="006E34D2" w14:paraId="2597F68F" w14:textId="77777777" w:rsidTr="00B87877">
        <w:trPr>
          <w:cantSplit/>
          <w:trHeight w:val="552"/>
          <w:tblCellSpacing w:w="15" w:type="dxa"/>
        </w:trPr>
        <w:tc>
          <w:tcPr>
            <w:tcW w:w="0" w:type="auto"/>
            <w:vAlign w:val="center"/>
            <w:hideMark/>
          </w:tcPr>
          <w:p w14:paraId="154A7374" w14:textId="6511BE37" w:rsidR="00A750BA" w:rsidRPr="0045473D" w:rsidRDefault="00AD0C21" w:rsidP="006E34D2">
            <w:pPr>
              <w:spacing w:after="0" w:line="240" w:lineRule="auto"/>
              <w:jc w:val="both"/>
              <w:rPr>
                <w:rFonts w:cs="Times New Roman"/>
                <w:szCs w:val="22"/>
                <w:lang w:val="en-US"/>
              </w:rPr>
            </w:pPr>
            <w:r w:rsidRPr="006E34D2">
              <w:rPr>
                <w:rFonts w:eastAsia="Times New Roman" w:cs="Times New Roman"/>
                <w:sz w:val="20"/>
                <w:szCs w:val="22"/>
                <w:lang w:val="en-US"/>
              </w:rPr>
              <w:t>ISO-week analytical panel</w:t>
            </w:r>
          </w:p>
        </w:tc>
        <w:tc>
          <w:tcPr>
            <w:tcW w:w="0" w:type="auto"/>
            <w:vAlign w:val="center"/>
            <w:hideMark/>
          </w:tcPr>
          <w:p w14:paraId="643BDF9D"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Female</w:t>
            </w:r>
          </w:p>
        </w:tc>
        <w:tc>
          <w:tcPr>
            <w:tcW w:w="0" w:type="auto"/>
            <w:vAlign w:val="center"/>
            <w:hideMark/>
          </w:tcPr>
          <w:p w14:paraId="67FE65E5"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69,806</w:t>
            </w:r>
          </w:p>
        </w:tc>
      </w:tr>
      <w:tr w:rsidR="00A750BA" w:rsidRPr="006E34D2" w14:paraId="5A3FF9DA" w14:textId="77777777" w:rsidTr="00B87877">
        <w:trPr>
          <w:cantSplit/>
          <w:trHeight w:val="552"/>
          <w:tblCellSpacing w:w="15" w:type="dxa"/>
        </w:trPr>
        <w:tc>
          <w:tcPr>
            <w:tcW w:w="0" w:type="auto"/>
            <w:vAlign w:val="center"/>
            <w:hideMark/>
          </w:tcPr>
          <w:p w14:paraId="51DA82CC" w14:textId="7F8C3FFE" w:rsidR="00A750BA" w:rsidRPr="0045473D" w:rsidRDefault="00AD0C21" w:rsidP="006E34D2">
            <w:pPr>
              <w:spacing w:after="0" w:line="240" w:lineRule="auto"/>
              <w:jc w:val="both"/>
              <w:rPr>
                <w:rFonts w:cs="Times New Roman"/>
                <w:szCs w:val="22"/>
                <w:lang w:val="en-US"/>
              </w:rPr>
            </w:pPr>
            <w:r w:rsidRPr="006E34D2">
              <w:rPr>
                <w:rFonts w:eastAsia="Times New Roman" w:cs="Times New Roman"/>
                <w:sz w:val="20"/>
                <w:szCs w:val="22"/>
                <w:lang w:val="en-US"/>
              </w:rPr>
              <w:t>ISO-week analytical panel</w:t>
            </w:r>
          </w:p>
        </w:tc>
        <w:tc>
          <w:tcPr>
            <w:tcW w:w="0" w:type="auto"/>
            <w:vAlign w:val="center"/>
            <w:hideMark/>
          </w:tcPr>
          <w:p w14:paraId="46D8A473"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Male</w:t>
            </w:r>
          </w:p>
        </w:tc>
        <w:tc>
          <w:tcPr>
            <w:tcW w:w="0" w:type="auto"/>
            <w:vAlign w:val="center"/>
            <w:hideMark/>
          </w:tcPr>
          <w:p w14:paraId="0029AF8A"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64,839</w:t>
            </w:r>
          </w:p>
        </w:tc>
      </w:tr>
      <w:tr w:rsidR="00A750BA" w:rsidRPr="006E34D2" w14:paraId="104014E6" w14:textId="77777777" w:rsidTr="00B87877">
        <w:trPr>
          <w:cantSplit/>
          <w:trHeight w:val="552"/>
          <w:tblCellSpacing w:w="15" w:type="dxa"/>
        </w:trPr>
        <w:tc>
          <w:tcPr>
            <w:tcW w:w="0" w:type="auto"/>
            <w:vAlign w:val="center"/>
            <w:hideMark/>
          </w:tcPr>
          <w:p w14:paraId="63610D4A" w14:textId="111659A6" w:rsidR="00A750BA" w:rsidRPr="0045473D" w:rsidRDefault="00AD0C21" w:rsidP="006E34D2">
            <w:pPr>
              <w:spacing w:after="0" w:line="240" w:lineRule="auto"/>
              <w:jc w:val="both"/>
              <w:rPr>
                <w:rFonts w:cs="Times New Roman"/>
                <w:szCs w:val="22"/>
                <w:lang w:val="en-US"/>
              </w:rPr>
            </w:pPr>
            <w:r w:rsidRPr="006E34D2">
              <w:rPr>
                <w:rFonts w:eastAsia="Times New Roman" w:cs="Times New Roman"/>
                <w:sz w:val="20"/>
                <w:szCs w:val="22"/>
                <w:lang w:val="en-US"/>
              </w:rPr>
              <w:t>ISO-week analytical panel</w:t>
            </w:r>
          </w:p>
        </w:tc>
        <w:tc>
          <w:tcPr>
            <w:tcW w:w="0" w:type="auto"/>
            <w:vAlign w:val="center"/>
            <w:hideMark/>
          </w:tcPr>
          <w:p w14:paraId="1D47CA18"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Unknown/Other</w:t>
            </w:r>
          </w:p>
        </w:tc>
        <w:tc>
          <w:tcPr>
            <w:tcW w:w="0" w:type="auto"/>
            <w:vAlign w:val="center"/>
            <w:hideMark/>
          </w:tcPr>
          <w:p w14:paraId="6620B802"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85</w:t>
            </w:r>
          </w:p>
        </w:tc>
      </w:tr>
      <w:tr w:rsidR="00A750BA" w:rsidRPr="006E34D2" w14:paraId="0DDA2E31" w14:textId="77777777" w:rsidTr="00B87877">
        <w:trPr>
          <w:cantSplit/>
          <w:trHeight w:val="560"/>
          <w:tblCellSpacing w:w="15" w:type="dxa"/>
        </w:trPr>
        <w:tc>
          <w:tcPr>
            <w:tcW w:w="0" w:type="auto"/>
            <w:vAlign w:val="center"/>
            <w:hideMark/>
          </w:tcPr>
          <w:p w14:paraId="056E6BD0"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RSV-detectable</w:t>
            </w:r>
          </w:p>
        </w:tc>
        <w:tc>
          <w:tcPr>
            <w:tcW w:w="0" w:type="auto"/>
            <w:vAlign w:val="center"/>
            <w:hideMark/>
          </w:tcPr>
          <w:p w14:paraId="782ABD23"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Female</w:t>
            </w:r>
          </w:p>
        </w:tc>
        <w:tc>
          <w:tcPr>
            <w:tcW w:w="0" w:type="auto"/>
            <w:vAlign w:val="center"/>
            <w:hideMark/>
          </w:tcPr>
          <w:p w14:paraId="1AA6D8DC"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5,596</w:t>
            </w:r>
          </w:p>
        </w:tc>
      </w:tr>
      <w:tr w:rsidR="00A750BA" w:rsidRPr="006E34D2" w14:paraId="1DE2641C" w14:textId="77777777" w:rsidTr="00B87877">
        <w:trPr>
          <w:cantSplit/>
          <w:trHeight w:val="552"/>
          <w:tblCellSpacing w:w="15" w:type="dxa"/>
        </w:trPr>
        <w:tc>
          <w:tcPr>
            <w:tcW w:w="0" w:type="auto"/>
            <w:vAlign w:val="center"/>
            <w:hideMark/>
          </w:tcPr>
          <w:p w14:paraId="062ABF1C"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RSV-detectable</w:t>
            </w:r>
          </w:p>
        </w:tc>
        <w:tc>
          <w:tcPr>
            <w:tcW w:w="0" w:type="auto"/>
            <w:vAlign w:val="center"/>
            <w:hideMark/>
          </w:tcPr>
          <w:p w14:paraId="30F23637"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Male</w:t>
            </w:r>
          </w:p>
        </w:tc>
        <w:tc>
          <w:tcPr>
            <w:tcW w:w="0" w:type="auto"/>
            <w:vAlign w:val="center"/>
            <w:hideMark/>
          </w:tcPr>
          <w:p w14:paraId="5716B9CA"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6,114</w:t>
            </w:r>
          </w:p>
        </w:tc>
      </w:tr>
      <w:tr w:rsidR="00A750BA" w:rsidRPr="006E34D2" w14:paraId="0ED05A77" w14:textId="77777777" w:rsidTr="00B87877">
        <w:trPr>
          <w:cantSplit/>
          <w:trHeight w:val="560"/>
          <w:tblCellSpacing w:w="15" w:type="dxa"/>
        </w:trPr>
        <w:tc>
          <w:tcPr>
            <w:tcW w:w="0" w:type="auto"/>
            <w:vAlign w:val="center"/>
            <w:hideMark/>
          </w:tcPr>
          <w:p w14:paraId="112744F7"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RSV-detectable</w:t>
            </w:r>
          </w:p>
        </w:tc>
        <w:tc>
          <w:tcPr>
            <w:tcW w:w="0" w:type="auto"/>
            <w:vAlign w:val="center"/>
            <w:hideMark/>
          </w:tcPr>
          <w:p w14:paraId="2A8D7373"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Unknown/Other</w:t>
            </w:r>
          </w:p>
        </w:tc>
        <w:tc>
          <w:tcPr>
            <w:tcW w:w="0" w:type="auto"/>
            <w:vAlign w:val="center"/>
            <w:hideMark/>
          </w:tcPr>
          <w:p w14:paraId="0F92D3B4" w14:textId="77777777" w:rsidR="00A750BA" w:rsidRPr="0045473D" w:rsidRDefault="00A750BA" w:rsidP="006E34D2">
            <w:pPr>
              <w:spacing w:after="0" w:line="240" w:lineRule="auto"/>
              <w:jc w:val="both"/>
              <w:rPr>
                <w:rFonts w:cs="Times New Roman"/>
                <w:szCs w:val="22"/>
                <w:lang w:val="en-US"/>
              </w:rPr>
            </w:pPr>
            <w:r w:rsidRPr="006E34D2">
              <w:rPr>
                <w:rFonts w:eastAsia="Times New Roman" w:cs="Times New Roman"/>
                <w:sz w:val="20"/>
                <w:szCs w:val="22"/>
                <w:lang w:val="en-US"/>
              </w:rPr>
              <w:t>3</w:t>
            </w:r>
          </w:p>
        </w:tc>
      </w:tr>
    </w:tbl>
    <w:p w14:paraId="1C8B6EA1" w14:textId="50F0DF39" w:rsidR="00706CED" w:rsidRPr="0045473D" w:rsidRDefault="00706CED" w:rsidP="006E34D2">
      <w:pPr>
        <w:spacing w:before="40" w:after="120" w:line="240" w:lineRule="auto"/>
        <w:jc w:val="both"/>
        <w:rPr>
          <w:rFonts w:cs="Times New Roman"/>
          <w:b/>
          <w:bCs/>
          <w:szCs w:val="22"/>
          <w:lang w:val="en-US"/>
        </w:rPr>
      </w:pPr>
      <w:r w:rsidRPr="006E34D2">
        <w:rPr>
          <w:rFonts w:eastAsia="Times New Roman" w:cs="Times New Roman"/>
          <w:b/>
          <w:sz w:val="20"/>
          <w:lang w:val="en-US"/>
        </w:rPr>
        <w:t xml:space="preserve">Footnote: </w:t>
      </w:r>
      <w:r w:rsidR="00F663B1" w:rsidRPr="006E34D2">
        <w:rPr>
          <w:rFonts w:eastAsia="Times New Roman" w:cs="Times New Roman"/>
          <w:sz w:val="20"/>
          <w:lang w:val="en-US"/>
        </w:rPr>
        <w:t>Counts refer to unique samples in the ISO-week analytical panel. Counts for the ISO-week analytical panel include inconclusive outcomes and are presented only to describe the sample distribution; they do not represent the positivity denominator. Positivity analyses used RSV-detectable plus RSV-non-detectable samples, as defined in Supplementary Method S1.</w:t>
      </w:r>
    </w:p>
    <w:p w14:paraId="6B479E5E" w14:textId="77777777" w:rsidR="00EA3B46" w:rsidRPr="0045473D" w:rsidRDefault="00EA3B46" w:rsidP="0045473D">
      <w:pPr>
        <w:spacing w:line="360" w:lineRule="auto"/>
        <w:ind w:firstLine="708"/>
        <w:jc w:val="both"/>
        <w:rPr>
          <w:rFonts w:cs="Times New Roman"/>
          <w:szCs w:val="22"/>
          <w:lang w:val="en-US"/>
        </w:rPr>
      </w:pPr>
    </w:p>
    <w:p w14:paraId="0BF9E0C8" w14:textId="28CB742C" w:rsidR="00A750BA" w:rsidRPr="0045473D" w:rsidRDefault="00BC46C7" w:rsidP="0045473D">
      <w:pPr>
        <w:keepNext/>
        <w:spacing w:before="120" w:after="60" w:line="276" w:lineRule="auto"/>
        <w:jc w:val="both"/>
        <w:rPr>
          <w:rFonts w:cs="Times New Roman"/>
          <w:szCs w:val="22"/>
          <w:lang w:val="en-US"/>
        </w:rPr>
      </w:pPr>
      <w:r w:rsidRPr="006E34D2">
        <w:rPr>
          <w:rFonts w:eastAsia="Times New Roman" w:cs="Times New Roman"/>
          <w:b/>
          <w:lang w:val="en-US"/>
        </w:rPr>
        <w:lastRenderedPageBreak/>
        <w:t>Table S1B. Age-group distribution of samples in the ISO-week analytical panel and RSV-detectable samples</w:t>
      </w:r>
      <w:r w:rsidR="00A750BA" w:rsidRPr="006E34D2">
        <w:rPr>
          <w:rFonts w:eastAsia="Times New Roman" w:cs="Times New Roman"/>
          <w:b/>
          <w:lang w:val="en-US"/>
        </w:rPr>
        <w:t>.</w:t>
      </w:r>
    </w:p>
    <w:tbl>
      <w:tblPr>
        <w:tblW w:w="9936" w:type="dxa"/>
        <w:tblCellSpacing w:w="15" w:type="dxa"/>
        <w:tblCellMar>
          <w:top w:w="15" w:type="dxa"/>
          <w:left w:w="15" w:type="dxa"/>
          <w:bottom w:w="15" w:type="dxa"/>
          <w:right w:w="15" w:type="dxa"/>
        </w:tblCellMar>
        <w:tblLook w:val="04A0" w:firstRow="1" w:lastRow="0" w:firstColumn="1" w:lastColumn="0" w:noHBand="0" w:noVBand="1"/>
      </w:tblPr>
      <w:tblGrid>
        <w:gridCol w:w="5188"/>
        <w:gridCol w:w="2425"/>
        <w:gridCol w:w="2323"/>
      </w:tblGrid>
      <w:tr w:rsidR="00A750BA" w:rsidRPr="006E34D2" w14:paraId="254C01DA" w14:textId="77777777" w:rsidTr="00B87877">
        <w:trPr>
          <w:cantSplit/>
          <w:trHeight w:val="407"/>
          <w:tblHeader/>
          <w:tblCellSpacing w:w="15" w:type="dxa"/>
        </w:trPr>
        <w:tc>
          <w:tcPr>
            <w:tcW w:w="0" w:type="auto"/>
            <w:vAlign w:val="center"/>
            <w:hideMark/>
          </w:tcPr>
          <w:p w14:paraId="0C31216A" w14:textId="77777777" w:rsidR="00A750BA" w:rsidRPr="0045473D" w:rsidRDefault="00A750BA" w:rsidP="0045473D">
            <w:pPr>
              <w:spacing w:after="0" w:line="240" w:lineRule="auto"/>
              <w:jc w:val="both"/>
              <w:rPr>
                <w:rFonts w:cs="Times New Roman"/>
                <w:b/>
                <w:bCs/>
                <w:szCs w:val="22"/>
                <w:lang w:val="en-US"/>
              </w:rPr>
            </w:pPr>
            <w:r w:rsidRPr="006E34D2">
              <w:rPr>
                <w:rFonts w:eastAsia="Times New Roman" w:cs="Times New Roman"/>
                <w:b/>
                <w:bCs/>
                <w:sz w:val="20"/>
                <w:szCs w:val="22"/>
                <w:lang w:val="en-US"/>
              </w:rPr>
              <w:t>Status</w:t>
            </w:r>
          </w:p>
        </w:tc>
        <w:tc>
          <w:tcPr>
            <w:tcW w:w="0" w:type="auto"/>
            <w:vAlign w:val="center"/>
            <w:hideMark/>
          </w:tcPr>
          <w:p w14:paraId="53DBA14B" w14:textId="77777777" w:rsidR="00A750BA" w:rsidRPr="0045473D" w:rsidRDefault="00A750BA" w:rsidP="0045473D">
            <w:pPr>
              <w:spacing w:after="0" w:line="240" w:lineRule="auto"/>
              <w:jc w:val="both"/>
              <w:rPr>
                <w:rFonts w:cs="Times New Roman"/>
                <w:b/>
                <w:bCs/>
                <w:szCs w:val="22"/>
                <w:lang w:val="en-US"/>
              </w:rPr>
            </w:pPr>
            <w:r w:rsidRPr="006E34D2">
              <w:rPr>
                <w:rFonts w:eastAsia="Times New Roman" w:cs="Times New Roman"/>
                <w:b/>
                <w:bCs/>
                <w:sz w:val="20"/>
                <w:szCs w:val="22"/>
                <w:lang w:val="en-US"/>
              </w:rPr>
              <w:t>Age group</w:t>
            </w:r>
          </w:p>
        </w:tc>
        <w:tc>
          <w:tcPr>
            <w:tcW w:w="0" w:type="auto"/>
            <w:vAlign w:val="center"/>
            <w:hideMark/>
          </w:tcPr>
          <w:p w14:paraId="2BC7A685" w14:textId="77777777" w:rsidR="00A750BA" w:rsidRPr="0045473D" w:rsidRDefault="00A750BA" w:rsidP="0045473D">
            <w:pPr>
              <w:spacing w:after="0" w:line="240" w:lineRule="auto"/>
              <w:jc w:val="both"/>
              <w:rPr>
                <w:rFonts w:cs="Times New Roman"/>
                <w:b/>
                <w:bCs/>
                <w:szCs w:val="22"/>
                <w:lang w:val="en-US"/>
              </w:rPr>
            </w:pPr>
            <w:r w:rsidRPr="006E34D2">
              <w:rPr>
                <w:rFonts w:eastAsia="Times New Roman" w:cs="Times New Roman"/>
                <w:b/>
                <w:bCs/>
                <w:sz w:val="20"/>
                <w:szCs w:val="22"/>
                <w:lang w:val="en-US"/>
              </w:rPr>
              <w:t>Samples, n</w:t>
            </w:r>
          </w:p>
        </w:tc>
      </w:tr>
      <w:tr w:rsidR="00981C37" w:rsidRPr="006E34D2" w14:paraId="451E4019" w14:textId="77777777" w:rsidTr="00EA12D8">
        <w:trPr>
          <w:cantSplit/>
          <w:trHeight w:val="401"/>
          <w:tblCellSpacing w:w="15" w:type="dxa"/>
        </w:trPr>
        <w:tc>
          <w:tcPr>
            <w:tcW w:w="0" w:type="auto"/>
            <w:hideMark/>
          </w:tcPr>
          <w:p w14:paraId="6FEFD13F" w14:textId="4E7D33F5" w:rsidR="00981C37" w:rsidRPr="0045473D" w:rsidRDefault="00D04EB7" w:rsidP="0045473D">
            <w:pPr>
              <w:spacing w:after="0" w:line="240" w:lineRule="auto"/>
              <w:jc w:val="both"/>
              <w:rPr>
                <w:rFonts w:cs="Times New Roman"/>
                <w:sz w:val="20"/>
                <w:szCs w:val="20"/>
                <w:lang w:val="en-US"/>
              </w:rPr>
            </w:pPr>
            <w:r w:rsidRPr="0045473D">
              <w:rPr>
                <w:sz w:val="20"/>
                <w:szCs w:val="20"/>
                <w:lang w:val="en-US"/>
              </w:rPr>
              <w:t>ISO-week analytical panel</w:t>
            </w:r>
          </w:p>
        </w:tc>
        <w:tc>
          <w:tcPr>
            <w:tcW w:w="0" w:type="auto"/>
            <w:hideMark/>
          </w:tcPr>
          <w:p w14:paraId="5E3B61E9" w14:textId="47AE63B2"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&lt;2 years</w:t>
            </w:r>
          </w:p>
        </w:tc>
        <w:tc>
          <w:tcPr>
            <w:tcW w:w="0" w:type="auto"/>
            <w:hideMark/>
          </w:tcPr>
          <w:p w14:paraId="27280395" w14:textId="3AFDC88D"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26.819</w:t>
            </w:r>
          </w:p>
        </w:tc>
      </w:tr>
      <w:tr w:rsidR="00981C37" w:rsidRPr="006E34D2" w14:paraId="67F3B62E" w14:textId="77777777" w:rsidTr="00EA12D8">
        <w:trPr>
          <w:cantSplit/>
          <w:trHeight w:val="401"/>
          <w:tblCellSpacing w:w="15" w:type="dxa"/>
        </w:trPr>
        <w:tc>
          <w:tcPr>
            <w:tcW w:w="0" w:type="auto"/>
            <w:hideMark/>
          </w:tcPr>
          <w:p w14:paraId="348DD82C" w14:textId="4544FF01" w:rsidR="00981C37" w:rsidRPr="0045473D" w:rsidRDefault="00D04EB7" w:rsidP="0045473D">
            <w:pPr>
              <w:spacing w:after="0" w:line="240" w:lineRule="auto"/>
              <w:jc w:val="both"/>
              <w:rPr>
                <w:rFonts w:cs="Times New Roman"/>
                <w:sz w:val="20"/>
                <w:szCs w:val="20"/>
                <w:lang w:val="en-US"/>
              </w:rPr>
            </w:pPr>
            <w:r w:rsidRPr="0045473D">
              <w:rPr>
                <w:rFonts w:cs="Times New Roman"/>
                <w:sz w:val="20"/>
                <w:szCs w:val="20"/>
                <w:lang w:val="en-US"/>
              </w:rPr>
              <w:t>ISO-week analytical panel</w:t>
            </w:r>
          </w:p>
        </w:tc>
        <w:tc>
          <w:tcPr>
            <w:tcW w:w="0" w:type="auto"/>
            <w:hideMark/>
          </w:tcPr>
          <w:p w14:paraId="40AAE8B3" w14:textId="786A19F0"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2–5 years</w:t>
            </w:r>
          </w:p>
        </w:tc>
        <w:tc>
          <w:tcPr>
            <w:tcW w:w="0" w:type="auto"/>
            <w:hideMark/>
          </w:tcPr>
          <w:p w14:paraId="77ADF743" w14:textId="4538A22F"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12.196</w:t>
            </w:r>
          </w:p>
        </w:tc>
      </w:tr>
      <w:tr w:rsidR="00981C37" w:rsidRPr="006E34D2" w14:paraId="497FABF1" w14:textId="77777777" w:rsidTr="00EA12D8">
        <w:trPr>
          <w:cantSplit/>
          <w:trHeight w:val="401"/>
          <w:tblCellSpacing w:w="15" w:type="dxa"/>
        </w:trPr>
        <w:tc>
          <w:tcPr>
            <w:tcW w:w="0" w:type="auto"/>
            <w:hideMark/>
          </w:tcPr>
          <w:p w14:paraId="0BA0F1D5" w14:textId="58756178" w:rsidR="00981C37" w:rsidRPr="0045473D" w:rsidRDefault="00D04EB7" w:rsidP="0045473D">
            <w:pPr>
              <w:spacing w:after="0" w:line="240" w:lineRule="auto"/>
              <w:jc w:val="both"/>
              <w:rPr>
                <w:rFonts w:cs="Times New Roman"/>
                <w:sz w:val="20"/>
                <w:szCs w:val="20"/>
                <w:lang w:val="en-US"/>
              </w:rPr>
            </w:pPr>
            <w:r w:rsidRPr="0045473D">
              <w:rPr>
                <w:rFonts w:cs="Times New Roman"/>
                <w:sz w:val="20"/>
                <w:szCs w:val="20"/>
                <w:lang w:val="en-US"/>
              </w:rPr>
              <w:t>ISO-week analytical panel</w:t>
            </w:r>
          </w:p>
        </w:tc>
        <w:tc>
          <w:tcPr>
            <w:tcW w:w="0" w:type="auto"/>
            <w:hideMark/>
          </w:tcPr>
          <w:p w14:paraId="386A3A2B" w14:textId="106F5657"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6–18 years</w:t>
            </w:r>
          </w:p>
        </w:tc>
        <w:tc>
          <w:tcPr>
            <w:tcW w:w="0" w:type="auto"/>
            <w:hideMark/>
          </w:tcPr>
          <w:p w14:paraId="5E464987" w14:textId="09D32122"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14.072</w:t>
            </w:r>
          </w:p>
        </w:tc>
      </w:tr>
      <w:tr w:rsidR="00981C37" w:rsidRPr="006E34D2" w14:paraId="13159E23" w14:textId="77777777" w:rsidTr="00EA12D8">
        <w:trPr>
          <w:cantSplit/>
          <w:trHeight w:val="407"/>
          <w:tblCellSpacing w:w="15" w:type="dxa"/>
        </w:trPr>
        <w:tc>
          <w:tcPr>
            <w:tcW w:w="0" w:type="auto"/>
            <w:hideMark/>
          </w:tcPr>
          <w:p w14:paraId="41F4059B" w14:textId="4C6D47A0" w:rsidR="00981C37" w:rsidRPr="0045473D" w:rsidRDefault="00D04EB7" w:rsidP="0045473D">
            <w:pPr>
              <w:spacing w:after="0" w:line="240" w:lineRule="auto"/>
              <w:jc w:val="both"/>
              <w:rPr>
                <w:rFonts w:cs="Times New Roman"/>
                <w:sz w:val="20"/>
                <w:szCs w:val="20"/>
                <w:lang w:val="en-US"/>
              </w:rPr>
            </w:pPr>
            <w:r w:rsidRPr="0045473D">
              <w:rPr>
                <w:rFonts w:cs="Times New Roman"/>
                <w:sz w:val="20"/>
                <w:szCs w:val="20"/>
                <w:lang w:val="en-US"/>
              </w:rPr>
              <w:t>ISO-week analytical panel</w:t>
            </w:r>
          </w:p>
        </w:tc>
        <w:tc>
          <w:tcPr>
            <w:tcW w:w="0" w:type="auto"/>
            <w:hideMark/>
          </w:tcPr>
          <w:p w14:paraId="4987E8F8" w14:textId="37E7649A"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19–59 years</w:t>
            </w:r>
          </w:p>
        </w:tc>
        <w:tc>
          <w:tcPr>
            <w:tcW w:w="0" w:type="auto"/>
            <w:hideMark/>
          </w:tcPr>
          <w:p w14:paraId="7E014DE1" w14:textId="22CAA37A"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49.258</w:t>
            </w:r>
          </w:p>
        </w:tc>
      </w:tr>
      <w:tr w:rsidR="00981C37" w:rsidRPr="006E34D2" w14:paraId="1E2790E9" w14:textId="77777777" w:rsidTr="00EA12D8">
        <w:trPr>
          <w:cantSplit/>
          <w:trHeight w:val="401"/>
          <w:tblCellSpacing w:w="15" w:type="dxa"/>
        </w:trPr>
        <w:tc>
          <w:tcPr>
            <w:tcW w:w="0" w:type="auto"/>
            <w:hideMark/>
          </w:tcPr>
          <w:p w14:paraId="3F605FAF" w14:textId="591BDF2B" w:rsidR="00981C37" w:rsidRPr="0045473D" w:rsidRDefault="00D04EB7" w:rsidP="0045473D">
            <w:pPr>
              <w:spacing w:after="0" w:line="240" w:lineRule="auto"/>
              <w:jc w:val="both"/>
              <w:rPr>
                <w:rFonts w:cs="Times New Roman"/>
                <w:sz w:val="20"/>
                <w:szCs w:val="20"/>
                <w:lang w:val="en-US"/>
              </w:rPr>
            </w:pPr>
            <w:r w:rsidRPr="0045473D">
              <w:rPr>
                <w:rFonts w:cs="Times New Roman"/>
                <w:sz w:val="20"/>
                <w:szCs w:val="20"/>
                <w:lang w:val="en-US"/>
              </w:rPr>
              <w:t>ISO-week analytical panel</w:t>
            </w:r>
          </w:p>
        </w:tc>
        <w:tc>
          <w:tcPr>
            <w:tcW w:w="0" w:type="auto"/>
            <w:hideMark/>
          </w:tcPr>
          <w:p w14:paraId="6F43948A" w14:textId="653F58F2"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≥60 years</w:t>
            </w:r>
          </w:p>
        </w:tc>
        <w:tc>
          <w:tcPr>
            <w:tcW w:w="0" w:type="auto"/>
            <w:hideMark/>
          </w:tcPr>
          <w:p w14:paraId="0EA6556B" w14:textId="32341114"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32.385</w:t>
            </w:r>
          </w:p>
        </w:tc>
      </w:tr>
      <w:tr w:rsidR="00981C37" w:rsidRPr="006E34D2" w14:paraId="1251CBFA" w14:textId="77777777" w:rsidTr="00EA12D8">
        <w:trPr>
          <w:cantSplit/>
          <w:trHeight w:val="401"/>
          <w:tblCellSpacing w:w="15" w:type="dxa"/>
        </w:trPr>
        <w:tc>
          <w:tcPr>
            <w:tcW w:w="0" w:type="auto"/>
            <w:hideMark/>
          </w:tcPr>
          <w:p w14:paraId="6EEF0678" w14:textId="522CA5DD"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RSV-detectable</w:t>
            </w:r>
          </w:p>
        </w:tc>
        <w:tc>
          <w:tcPr>
            <w:tcW w:w="0" w:type="auto"/>
            <w:hideMark/>
          </w:tcPr>
          <w:p w14:paraId="62D822E7" w14:textId="62E388C3"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&lt;2 years</w:t>
            </w:r>
          </w:p>
        </w:tc>
        <w:tc>
          <w:tcPr>
            <w:tcW w:w="0" w:type="auto"/>
            <w:hideMark/>
          </w:tcPr>
          <w:p w14:paraId="18BFD4C2" w14:textId="523A1F16"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8.214</w:t>
            </w:r>
          </w:p>
        </w:tc>
      </w:tr>
      <w:tr w:rsidR="00981C37" w:rsidRPr="006E34D2" w14:paraId="48D211DD" w14:textId="77777777" w:rsidTr="00EA12D8">
        <w:trPr>
          <w:cantSplit/>
          <w:trHeight w:val="401"/>
          <w:tblCellSpacing w:w="15" w:type="dxa"/>
        </w:trPr>
        <w:tc>
          <w:tcPr>
            <w:tcW w:w="0" w:type="auto"/>
            <w:hideMark/>
          </w:tcPr>
          <w:p w14:paraId="670B03D2" w14:textId="40341651" w:rsidR="00981C37" w:rsidRPr="0045473D" w:rsidRDefault="00D04EB7" w:rsidP="0045473D">
            <w:pPr>
              <w:spacing w:after="0" w:line="240" w:lineRule="auto"/>
              <w:jc w:val="both"/>
              <w:rPr>
                <w:rFonts w:cs="Times New Roman"/>
                <w:sz w:val="20"/>
                <w:szCs w:val="20"/>
                <w:lang w:val="en-US"/>
              </w:rPr>
            </w:pPr>
            <w:r w:rsidRPr="0045473D">
              <w:rPr>
                <w:sz w:val="20"/>
                <w:szCs w:val="20"/>
                <w:lang w:val="en-US"/>
              </w:rPr>
              <w:t>RSV-detectable</w:t>
            </w:r>
          </w:p>
        </w:tc>
        <w:tc>
          <w:tcPr>
            <w:tcW w:w="0" w:type="auto"/>
            <w:hideMark/>
          </w:tcPr>
          <w:p w14:paraId="2C9E6C80" w14:textId="101144A7"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2–5 years</w:t>
            </w:r>
          </w:p>
        </w:tc>
        <w:tc>
          <w:tcPr>
            <w:tcW w:w="0" w:type="auto"/>
            <w:hideMark/>
          </w:tcPr>
          <w:p w14:paraId="54B542D7" w14:textId="29115F88"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1.298</w:t>
            </w:r>
          </w:p>
        </w:tc>
      </w:tr>
      <w:tr w:rsidR="00981C37" w:rsidRPr="006E34D2" w14:paraId="4980E36B" w14:textId="77777777" w:rsidTr="00EA12D8">
        <w:trPr>
          <w:cantSplit/>
          <w:trHeight w:val="401"/>
          <w:tblCellSpacing w:w="15" w:type="dxa"/>
        </w:trPr>
        <w:tc>
          <w:tcPr>
            <w:tcW w:w="0" w:type="auto"/>
            <w:hideMark/>
          </w:tcPr>
          <w:p w14:paraId="3E042A5F" w14:textId="4EED5957" w:rsidR="00981C37" w:rsidRPr="0045473D" w:rsidRDefault="00D04EB7" w:rsidP="0045473D">
            <w:pPr>
              <w:spacing w:after="0" w:line="240" w:lineRule="auto"/>
              <w:jc w:val="both"/>
              <w:rPr>
                <w:rFonts w:cs="Times New Roman"/>
                <w:sz w:val="20"/>
                <w:szCs w:val="20"/>
                <w:lang w:val="en-US"/>
              </w:rPr>
            </w:pPr>
            <w:r w:rsidRPr="0045473D">
              <w:rPr>
                <w:sz w:val="20"/>
                <w:szCs w:val="20"/>
                <w:lang w:val="en-US"/>
              </w:rPr>
              <w:t>RSV-detectable</w:t>
            </w:r>
          </w:p>
        </w:tc>
        <w:tc>
          <w:tcPr>
            <w:tcW w:w="0" w:type="auto"/>
            <w:hideMark/>
          </w:tcPr>
          <w:p w14:paraId="40DA453F" w14:textId="127A96A2"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6–18 years</w:t>
            </w:r>
          </w:p>
        </w:tc>
        <w:tc>
          <w:tcPr>
            <w:tcW w:w="0" w:type="auto"/>
            <w:hideMark/>
          </w:tcPr>
          <w:p w14:paraId="109F4759" w14:textId="62DB5217"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405</w:t>
            </w:r>
          </w:p>
        </w:tc>
      </w:tr>
      <w:tr w:rsidR="00981C37" w:rsidRPr="006E34D2" w14:paraId="6E0561B8" w14:textId="77777777" w:rsidTr="00EA12D8">
        <w:trPr>
          <w:cantSplit/>
          <w:trHeight w:val="401"/>
          <w:tblCellSpacing w:w="15" w:type="dxa"/>
        </w:trPr>
        <w:tc>
          <w:tcPr>
            <w:tcW w:w="0" w:type="auto"/>
            <w:hideMark/>
          </w:tcPr>
          <w:p w14:paraId="70A161A6" w14:textId="1AC514BB" w:rsidR="00981C37" w:rsidRPr="0045473D" w:rsidRDefault="00D04EB7" w:rsidP="0045473D">
            <w:pPr>
              <w:spacing w:after="0" w:line="240" w:lineRule="auto"/>
              <w:jc w:val="both"/>
              <w:rPr>
                <w:rFonts w:cs="Times New Roman"/>
                <w:sz w:val="20"/>
                <w:szCs w:val="20"/>
                <w:lang w:val="en-US"/>
              </w:rPr>
            </w:pPr>
            <w:r w:rsidRPr="0045473D">
              <w:rPr>
                <w:sz w:val="20"/>
                <w:szCs w:val="20"/>
                <w:lang w:val="en-US"/>
              </w:rPr>
              <w:t>RSV-detectable</w:t>
            </w:r>
          </w:p>
        </w:tc>
        <w:tc>
          <w:tcPr>
            <w:tcW w:w="0" w:type="auto"/>
            <w:hideMark/>
          </w:tcPr>
          <w:p w14:paraId="7A2C1F14" w14:textId="66DD0A7F"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19–59 years</w:t>
            </w:r>
          </w:p>
        </w:tc>
        <w:tc>
          <w:tcPr>
            <w:tcW w:w="0" w:type="auto"/>
            <w:hideMark/>
          </w:tcPr>
          <w:p w14:paraId="09B13330" w14:textId="1BA5D949"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894</w:t>
            </w:r>
          </w:p>
        </w:tc>
      </w:tr>
      <w:tr w:rsidR="00981C37" w:rsidRPr="006E34D2" w14:paraId="5A86F855" w14:textId="77777777" w:rsidTr="00EA12D8">
        <w:trPr>
          <w:cantSplit/>
          <w:trHeight w:val="407"/>
          <w:tblCellSpacing w:w="15" w:type="dxa"/>
        </w:trPr>
        <w:tc>
          <w:tcPr>
            <w:tcW w:w="0" w:type="auto"/>
            <w:hideMark/>
          </w:tcPr>
          <w:p w14:paraId="5F82D344" w14:textId="5B6CD88C" w:rsidR="00981C37" w:rsidRPr="0045473D" w:rsidRDefault="00D04EB7" w:rsidP="0045473D">
            <w:pPr>
              <w:spacing w:after="0" w:line="240" w:lineRule="auto"/>
              <w:jc w:val="both"/>
              <w:rPr>
                <w:rFonts w:cs="Times New Roman"/>
                <w:sz w:val="20"/>
                <w:szCs w:val="20"/>
                <w:lang w:val="en-US"/>
              </w:rPr>
            </w:pPr>
            <w:r w:rsidRPr="0045473D">
              <w:rPr>
                <w:sz w:val="20"/>
                <w:szCs w:val="20"/>
                <w:lang w:val="en-US"/>
              </w:rPr>
              <w:t>RSV-detectable</w:t>
            </w:r>
          </w:p>
        </w:tc>
        <w:tc>
          <w:tcPr>
            <w:tcW w:w="0" w:type="auto"/>
            <w:hideMark/>
          </w:tcPr>
          <w:p w14:paraId="38EFC89F" w14:textId="5DAA0582"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≥60 years</w:t>
            </w:r>
          </w:p>
        </w:tc>
        <w:tc>
          <w:tcPr>
            <w:tcW w:w="0" w:type="auto"/>
            <w:hideMark/>
          </w:tcPr>
          <w:p w14:paraId="61F04B55" w14:textId="12891314" w:rsidR="00981C37" w:rsidRPr="0045473D" w:rsidRDefault="00981C37" w:rsidP="0045473D">
            <w:pPr>
              <w:spacing w:after="0" w:line="240" w:lineRule="auto"/>
              <w:jc w:val="both"/>
              <w:rPr>
                <w:rFonts w:cs="Times New Roman"/>
                <w:sz w:val="20"/>
                <w:szCs w:val="20"/>
                <w:lang w:val="en-US"/>
              </w:rPr>
            </w:pPr>
            <w:r w:rsidRPr="0045473D">
              <w:rPr>
                <w:sz w:val="20"/>
                <w:szCs w:val="20"/>
                <w:lang w:val="en-US"/>
              </w:rPr>
              <w:t>902</w:t>
            </w:r>
          </w:p>
        </w:tc>
      </w:tr>
    </w:tbl>
    <w:p w14:paraId="7E70BD2C" w14:textId="1E528D77" w:rsidR="00706CED" w:rsidRPr="0045473D" w:rsidRDefault="00706CED"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00F663B1" w:rsidRPr="006E34D2">
        <w:rPr>
          <w:rFonts w:eastAsia="Times New Roman" w:cs="Times New Roman"/>
          <w:sz w:val="20"/>
          <w:lang w:val="en-US"/>
        </w:rPr>
        <w:t>Counts refer to unique samples in the ISO-week analytical panel. Counts for the ISO-week analytical panel include inconclusive outcomes and are presented only to describe the sample distribution; they do not represent the positivity denominator. Positivity analyses used RSV-detectable plus RSV-non-detectable samples, as defined in Supplementary Method S1.</w:t>
      </w:r>
    </w:p>
    <w:p w14:paraId="1B2BC15B" w14:textId="77777777" w:rsidR="000462AF" w:rsidRPr="0045473D" w:rsidRDefault="000462AF" w:rsidP="0045473D">
      <w:pPr>
        <w:spacing w:line="276" w:lineRule="auto"/>
        <w:jc w:val="both"/>
        <w:rPr>
          <w:rFonts w:cs="Times New Roman"/>
          <w:b/>
          <w:bCs/>
          <w:szCs w:val="22"/>
          <w:lang w:val="en-US"/>
        </w:rPr>
      </w:pPr>
    </w:p>
    <w:p w14:paraId="719D0B0D" w14:textId="77777777" w:rsidR="00395685" w:rsidRPr="0045473D" w:rsidRDefault="00395685" w:rsidP="0045473D">
      <w:pPr>
        <w:keepNext/>
        <w:spacing w:before="160" w:after="60" w:line="276" w:lineRule="auto"/>
        <w:jc w:val="both"/>
        <w:rPr>
          <w:rFonts w:cs="Times New Roman"/>
          <w:lang w:val="en-US"/>
        </w:rPr>
      </w:pPr>
      <w:r w:rsidRPr="006E34D2">
        <w:rPr>
          <w:rFonts w:eastAsia="Times New Roman" w:cs="Times New Roman"/>
          <w:b/>
          <w:lang w:val="en-US"/>
        </w:rPr>
        <w:t>Supplementary Method S2. SIVEP-Gripe linkage and surveillance-stream indicators</w:t>
      </w:r>
    </w:p>
    <w:p w14:paraId="7DD5126F" w14:textId="052D2211" w:rsidR="00395685" w:rsidRDefault="002C3D43" w:rsidP="006E34D2">
      <w:pPr>
        <w:spacing w:after="0" w:line="360" w:lineRule="auto"/>
        <w:ind w:firstLine="706"/>
        <w:jc w:val="both"/>
        <w:rPr>
          <w:rFonts w:eastAsia="Times New Roman" w:cs="Times New Roman"/>
          <w:lang w:val="en-US"/>
        </w:rPr>
      </w:pPr>
      <w:r w:rsidRPr="006E34D2">
        <w:rPr>
          <w:rFonts w:eastAsia="Times New Roman" w:cs="Times New Roman"/>
          <w:lang w:val="en-US"/>
        </w:rPr>
        <w:t>To add clinical, epidemiological, and surveillance context, records in the ISO-week analytical panel were linked to SIVEP-Gripe notifications. Each laboratory sample was classified as linked to severe acute respiratory infection (SARI) surveillance, influenza-like illness (ILI) surveillance, both streams, or neither under the applied linkage rules.</w:t>
      </w:r>
    </w:p>
    <w:p w14:paraId="4B9B040D" w14:textId="0B47DC9F" w:rsidR="005134C6" w:rsidRPr="0045473D" w:rsidRDefault="007D52B9" w:rsidP="006E34D2">
      <w:pPr>
        <w:spacing w:after="0" w:line="360" w:lineRule="auto"/>
        <w:ind w:firstLine="706"/>
        <w:jc w:val="both"/>
        <w:rPr>
          <w:rFonts w:cs="Times New Roman"/>
          <w:lang w:val="en-US"/>
        </w:rPr>
      </w:pPr>
      <w:r w:rsidRPr="007D52B9">
        <w:rPr>
          <w:rFonts w:cs="Times New Roman"/>
          <w:lang w:val="en-US"/>
        </w:rPr>
        <w:t xml:space="preserve">At the JAC-construction stage, all 134,971 laboratory records had a non-missing normalized laboratory-request identifier; 354 laboratory records shared a requisition identifier with at least one other laboratory record, which did not necessarily indicate duplicate samples. The SARI source contained 392,759 notification rows, of which 99,903 had a valid normalized laboratory-request identifier, representing 98,358 unique linkage keys. Among these, 2,990 candidate rows occurred within 1,445 multiple-candidate key groups, and deterministic resolution excluded 1,545 additional candidate rows. The ILI source contained 64,520 notification rows, of which 62,941 had a valid normalized identifier, representing 62,339 unique linkage keys. Among these, 1,080 candidate rows occurred within 478 multiple-candidate key groups, and 602 additional candidates were excluded through deterministic resolution. Left joins preserved all 134,971 laboratory records. </w:t>
      </w:r>
      <w:r w:rsidR="00B547B5" w:rsidRPr="00B547B5">
        <w:rPr>
          <w:rFonts w:cs="Times New Roman"/>
          <w:lang w:val="en-US"/>
        </w:rPr>
        <w:t>Overall, 890 laboratory records met the composite JANUS conflict-audit flag, which identified records with multiple linkage candidates or inconsistencies in recorded ICU-stay dates; all were retained in the JAC after application of the prespecified resolution and audit rules.</w:t>
      </w:r>
    </w:p>
    <w:p w14:paraId="61CE3CA6" w14:textId="664E1DDF" w:rsidR="00395685" w:rsidRPr="006E34D2" w:rsidRDefault="00395685" w:rsidP="006E34D2">
      <w:pPr>
        <w:spacing w:after="0" w:line="360" w:lineRule="auto"/>
        <w:ind w:firstLine="706"/>
        <w:jc w:val="both"/>
        <w:rPr>
          <w:rFonts w:eastAsia="Times New Roman" w:cs="Times New Roman"/>
          <w:lang w:val="en-US"/>
        </w:rPr>
      </w:pPr>
      <w:r w:rsidRPr="006E34D2">
        <w:rPr>
          <w:rFonts w:eastAsia="Times New Roman" w:cs="Times New Roman"/>
          <w:lang w:val="en-US"/>
        </w:rPr>
        <w:lastRenderedPageBreak/>
        <w:t>These linkage indicators were not mutually exclusive sampling strata: a sample could match ILI, SARI, or both. Dual-linked records were retained as a separate overlap indicator so that multiple surveillance contexts for the same laboratory sample were not obscured.</w:t>
      </w:r>
    </w:p>
    <w:p w14:paraId="3DD42C55" w14:textId="4AE6A018" w:rsidR="00B74416" w:rsidRPr="0045473D" w:rsidRDefault="00056256" w:rsidP="006E34D2">
      <w:pPr>
        <w:spacing w:after="0" w:line="360" w:lineRule="auto"/>
        <w:ind w:firstLine="706"/>
        <w:jc w:val="both"/>
        <w:rPr>
          <w:rFonts w:cs="Times New Roman"/>
          <w:lang w:val="en-US"/>
        </w:rPr>
      </w:pPr>
      <w:r w:rsidRPr="0045473D">
        <w:rPr>
          <w:rFonts w:cs="Times New Roman"/>
          <w:lang w:val="en-US"/>
        </w:rPr>
        <w:t xml:space="preserve">For analyses requiring mutually exclusive surveillance-stream categories, samples linked to both SARI and ILI were assigned to the SARI-linked group to avoid double-counting. </w:t>
      </w:r>
      <w:r w:rsidR="004A5595" w:rsidRPr="0045473D">
        <w:rPr>
          <w:rFonts w:cs="Times New Roman"/>
          <w:lang w:val="en-US"/>
        </w:rPr>
        <w:t>The resulting mutually exclusive categories were SARI-linked, ILI-linked only, and no identified ILI/SARI linkage.</w:t>
      </w:r>
    </w:p>
    <w:p w14:paraId="672556DD" w14:textId="77777777" w:rsidR="00395685" w:rsidRPr="0045473D" w:rsidRDefault="00395685" w:rsidP="006E34D2">
      <w:pPr>
        <w:spacing w:after="0" w:line="360" w:lineRule="auto"/>
        <w:ind w:firstLine="706"/>
        <w:jc w:val="both"/>
        <w:rPr>
          <w:rFonts w:cs="Times New Roman"/>
          <w:lang w:val="en-US"/>
        </w:rPr>
      </w:pPr>
      <w:r w:rsidRPr="006E34D2">
        <w:rPr>
          <w:rFonts w:eastAsia="Times New Roman" w:cs="Times New Roman"/>
          <w:lang w:val="en-US"/>
        </w:rPr>
        <w:t>Linkage status did not alter the laboratory denominator defined in Supplementary Method S1. Linkage counts were calculated within the ISO-week analytical panel, whereas positivity analyses used the valid RSV-tested denominator. Samples with no identified ILI/SARI linkage were retained; this category indicates that no corresponding notification was found under the applied rules, not that the sample lacked clinical relevance.</w:t>
      </w:r>
    </w:p>
    <w:p w14:paraId="6D40A35E" w14:textId="24E95EA4" w:rsidR="005C7F98" w:rsidRPr="0045473D" w:rsidRDefault="00A2635B" w:rsidP="006E34D2">
      <w:pPr>
        <w:spacing w:after="0" w:line="360" w:lineRule="auto"/>
        <w:ind w:firstLine="706"/>
        <w:jc w:val="both"/>
        <w:rPr>
          <w:rFonts w:cs="Times New Roman"/>
          <w:lang w:val="en-US"/>
        </w:rPr>
      </w:pPr>
      <w:r w:rsidRPr="00A2635B">
        <w:rPr>
          <w:rFonts w:eastAsia="Times New Roman" w:cs="Times New Roman"/>
          <w:lang w:val="en-US"/>
        </w:rPr>
        <w:t>Overall, 81,818 of 134,730 records (60.7%) were linked to at least one ILI/SARI surveillance stream, whereas 52,912 records (39.3%) had no identified linkage.</w:t>
      </w:r>
      <w:r>
        <w:rPr>
          <w:rFonts w:eastAsia="Times New Roman" w:cs="Times New Roman"/>
          <w:lang w:val="en-US"/>
        </w:rPr>
        <w:t xml:space="preserve"> </w:t>
      </w:r>
      <w:r w:rsidR="00395685" w:rsidRPr="006E34D2">
        <w:rPr>
          <w:rFonts w:eastAsia="Times New Roman" w:cs="Times New Roman"/>
          <w:lang w:val="en-US"/>
        </w:rPr>
        <w:t xml:space="preserve">Linkage accuracy depended on the completeness and consistency of identifiers and notification fields in both systems. </w:t>
      </w:r>
      <w:r w:rsidR="00952320" w:rsidRPr="006E34D2">
        <w:rPr>
          <w:rFonts w:eastAsia="Times New Roman" w:cs="Times New Roman"/>
          <w:lang w:val="en-US"/>
        </w:rPr>
        <w:t>Incomplete, inconsistent, duplicated, or non-matching identifiers may therefore have reduced linkage completeness or accuracy.</w:t>
      </w:r>
    </w:p>
    <w:p w14:paraId="41FA1442" w14:textId="637727D9" w:rsidR="00FB1EC6" w:rsidRPr="0045473D" w:rsidRDefault="00616E58" w:rsidP="0045473D">
      <w:pPr>
        <w:keepNext/>
        <w:spacing w:before="120" w:after="60" w:line="276" w:lineRule="auto"/>
        <w:jc w:val="both"/>
        <w:rPr>
          <w:rFonts w:cs="Times New Roman"/>
          <w:lang w:val="en-US"/>
        </w:rPr>
      </w:pPr>
      <w:r w:rsidRPr="006E34D2">
        <w:rPr>
          <w:rFonts w:eastAsia="Times New Roman" w:cs="Times New Roman"/>
          <w:b/>
          <w:lang w:val="en-US"/>
        </w:rPr>
        <w:t>Table S2. SIVEP-Gripe linkage indicators in the ISO-week analytical panel.</w:t>
      </w:r>
    </w:p>
    <w:tbl>
      <w:tblPr>
        <w:tblW w:w="9070" w:type="dxa"/>
        <w:tblCellMar>
          <w:left w:w="70" w:type="dxa"/>
          <w:right w:w="70" w:type="dxa"/>
        </w:tblCellMar>
        <w:tblLook w:val="04A0" w:firstRow="1" w:lastRow="0" w:firstColumn="1" w:lastColumn="0" w:noHBand="0" w:noVBand="1"/>
      </w:tblPr>
      <w:tblGrid>
        <w:gridCol w:w="8778"/>
        <w:gridCol w:w="146"/>
        <w:gridCol w:w="146"/>
      </w:tblGrid>
      <w:tr w:rsidR="00FB1EC6" w:rsidRPr="006E34D2" w14:paraId="4E4075AA" w14:textId="77777777" w:rsidTr="005C7F98">
        <w:trPr>
          <w:trHeight w:val="144"/>
        </w:trPr>
        <w:tc>
          <w:tcPr>
            <w:tcW w:w="8778" w:type="dxa"/>
            <w:tcBorders>
              <w:top w:val="nil"/>
              <w:left w:val="nil"/>
              <w:bottom w:val="nil"/>
              <w:right w:val="nil"/>
            </w:tcBorders>
            <w:vAlign w:val="center"/>
          </w:tcPr>
          <w:tbl>
            <w:tblPr>
              <w:tblW w:w="9016" w:type="dxa"/>
              <w:tblInd w:w="2" w:type="dxa"/>
              <w:tblCellMar>
                <w:left w:w="70" w:type="dxa"/>
                <w:right w:w="70" w:type="dxa"/>
              </w:tblCellMar>
              <w:tblLook w:val="04A0" w:firstRow="1" w:lastRow="0" w:firstColumn="1" w:lastColumn="0" w:noHBand="0" w:noVBand="1"/>
            </w:tblPr>
            <w:tblGrid>
              <w:gridCol w:w="3008"/>
              <w:gridCol w:w="2420"/>
              <w:gridCol w:w="3588"/>
            </w:tblGrid>
            <w:tr w:rsidR="001B6543" w:rsidRPr="006E34D2" w14:paraId="0C5C2175" w14:textId="77777777" w:rsidTr="0062704C">
              <w:trPr>
                <w:cantSplit/>
                <w:trHeight w:val="140"/>
                <w:tblHeader/>
              </w:trPr>
              <w:tc>
                <w:tcPr>
                  <w:tcW w:w="3008" w:type="dxa"/>
                  <w:vAlign w:val="center"/>
                  <w:hideMark/>
                </w:tcPr>
                <w:p w14:paraId="661066AD" w14:textId="77777777" w:rsidR="001B6543" w:rsidRPr="0045473D" w:rsidRDefault="001B6543"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Linkage indicator</w:t>
                  </w:r>
                </w:p>
              </w:tc>
              <w:tc>
                <w:tcPr>
                  <w:tcW w:w="2420" w:type="dxa"/>
                  <w:vAlign w:val="center"/>
                  <w:hideMark/>
                </w:tcPr>
                <w:p w14:paraId="1E3FD729" w14:textId="77777777" w:rsidR="001B6543" w:rsidRPr="0045473D" w:rsidRDefault="001B6543"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Records, n</w:t>
                  </w:r>
                </w:p>
              </w:tc>
              <w:tc>
                <w:tcPr>
                  <w:tcW w:w="3588" w:type="dxa"/>
                  <w:vAlign w:val="center"/>
                  <w:hideMark/>
                </w:tcPr>
                <w:p w14:paraId="122E1158" w14:textId="77777777" w:rsidR="001B6543" w:rsidRPr="0045473D" w:rsidRDefault="001B6543"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Interpretation</w:t>
                  </w:r>
                </w:p>
              </w:tc>
            </w:tr>
            <w:tr w:rsidR="001B6543" w:rsidRPr="006E34D2" w14:paraId="19FA9288" w14:textId="77777777" w:rsidTr="0062704C">
              <w:trPr>
                <w:cantSplit/>
                <w:trHeight w:val="868"/>
              </w:trPr>
              <w:tc>
                <w:tcPr>
                  <w:tcW w:w="3008" w:type="dxa"/>
                  <w:vAlign w:val="center"/>
                  <w:hideMark/>
                </w:tcPr>
                <w:p w14:paraId="457C39BB" w14:textId="08E54DDE"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SARI-linked</w:t>
                  </w:r>
                </w:p>
              </w:tc>
              <w:tc>
                <w:tcPr>
                  <w:tcW w:w="2420" w:type="dxa"/>
                  <w:vAlign w:val="center"/>
                  <w:hideMark/>
                </w:tcPr>
                <w:p w14:paraId="49BF8590" w14:textId="560EDFCC"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3</w:t>
                  </w:r>
                  <w:r w:rsidR="008C2A2F" w:rsidRPr="006E34D2">
                    <w:rPr>
                      <w:rFonts w:eastAsia="Times New Roman" w:cs="Times New Roman"/>
                      <w:color w:val="000000"/>
                      <w:kern w:val="0"/>
                      <w:sz w:val="20"/>
                      <w:szCs w:val="22"/>
                      <w:lang w:val="en-US"/>
                      <w14:ligatures w14:val="none"/>
                    </w:rPr>
                    <w:t>4</w:t>
                  </w:r>
                  <w:r w:rsidRPr="006E34D2">
                    <w:rPr>
                      <w:rFonts w:eastAsia="Times New Roman" w:cs="Times New Roman"/>
                      <w:color w:val="000000"/>
                      <w:kern w:val="0"/>
                      <w:sz w:val="20"/>
                      <w:szCs w:val="22"/>
                      <w:lang w:val="en-US"/>
                      <w14:ligatures w14:val="none"/>
                    </w:rPr>
                    <w:t>,</w:t>
                  </w:r>
                  <w:r w:rsidR="008C2A2F" w:rsidRPr="006E34D2">
                    <w:rPr>
                      <w:rFonts w:eastAsia="Times New Roman" w:cs="Times New Roman"/>
                      <w:color w:val="000000"/>
                      <w:kern w:val="0"/>
                      <w:sz w:val="20"/>
                      <w:szCs w:val="22"/>
                      <w:lang w:val="en-US"/>
                      <w14:ligatures w14:val="none"/>
                    </w:rPr>
                    <w:t>975</w:t>
                  </w:r>
                </w:p>
              </w:tc>
              <w:tc>
                <w:tcPr>
                  <w:tcW w:w="3588" w:type="dxa"/>
                  <w:vAlign w:val="center"/>
                  <w:hideMark/>
                </w:tcPr>
                <w:p w14:paraId="5373BBDB" w14:textId="0A7F1E43"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Matched to a SARI surveillance record</w:t>
                  </w:r>
                </w:p>
              </w:tc>
            </w:tr>
            <w:tr w:rsidR="001B6543" w:rsidRPr="006E34D2" w14:paraId="01D3103B" w14:textId="77777777" w:rsidTr="0062704C">
              <w:trPr>
                <w:cantSplit/>
                <w:trHeight w:val="723"/>
              </w:trPr>
              <w:tc>
                <w:tcPr>
                  <w:tcW w:w="3008" w:type="dxa"/>
                  <w:vAlign w:val="center"/>
                  <w:hideMark/>
                </w:tcPr>
                <w:p w14:paraId="3CD43A4E" w14:textId="4056FDDB"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ILI-linked</w:t>
                  </w:r>
                </w:p>
              </w:tc>
              <w:tc>
                <w:tcPr>
                  <w:tcW w:w="2420" w:type="dxa"/>
                  <w:vAlign w:val="center"/>
                  <w:hideMark/>
                </w:tcPr>
                <w:p w14:paraId="34CDA671" w14:textId="7E415DAE"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4</w:t>
                  </w:r>
                  <w:r w:rsidR="00B943EC" w:rsidRPr="006E34D2">
                    <w:rPr>
                      <w:rFonts w:eastAsia="Times New Roman" w:cs="Times New Roman"/>
                      <w:color w:val="000000"/>
                      <w:kern w:val="0"/>
                      <w:sz w:val="20"/>
                      <w:szCs w:val="22"/>
                      <w:lang w:val="en-US"/>
                      <w14:ligatures w14:val="none"/>
                    </w:rPr>
                    <w:t>8,658</w:t>
                  </w:r>
                </w:p>
              </w:tc>
              <w:tc>
                <w:tcPr>
                  <w:tcW w:w="3588" w:type="dxa"/>
                  <w:vAlign w:val="center"/>
                  <w:hideMark/>
                </w:tcPr>
                <w:p w14:paraId="50770A4D" w14:textId="73D06776"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Matched to an ILI surveillance record</w:t>
                  </w:r>
                </w:p>
              </w:tc>
            </w:tr>
            <w:tr w:rsidR="001B6543" w:rsidRPr="006E34D2" w14:paraId="43BA2619" w14:textId="77777777" w:rsidTr="0062704C">
              <w:trPr>
                <w:cantSplit/>
                <w:trHeight w:val="649"/>
              </w:trPr>
              <w:tc>
                <w:tcPr>
                  <w:tcW w:w="3008" w:type="dxa"/>
                  <w:vAlign w:val="center"/>
                  <w:hideMark/>
                </w:tcPr>
                <w:p w14:paraId="19225C43" w14:textId="7276AF3C"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Linked to both ILI and SARI</w:t>
                  </w:r>
                </w:p>
              </w:tc>
              <w:tc>
                <w:tcPr>
                  <w:tcW w:w="2420" w:type="dxa"/>
                  <w:vAlign w:val="center"/>
                  <w:hideMark/>
                </w:tcPr>
                <w:p w14:paraId="563A2BFD" w14:textId="7505398C"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1,</w:t>
                  </w:r>
                  <w:r w:rsidR="008C2A2F" w:rsidRPr="006E34D2">
                    <w:rPr>
                      <w:rFonts w:eastAsia="Times New Roman" w:cs="Times New Roman"/>
                      <w:color w:val="000000"/>
                      <w:kern w:val="0"/>
                      <w:sz w:val="20"/>
                      <w:szCs w:val="22"/>
                      <w:lang w:val="en-US"/>
                      <w14:ligatures w14:val="none"/>
                    </w:rPr>
                    <w:t>815</w:t>
                  </w:r>
                </w:p>
              </w:tc>
              <w:tc>
                <w:tcPr>
                  <w:tcW w:w="3588" w:type="dxa"/>
                  <w:vAlign w:val="center"/>
                  <w:hideMark/>
                </w:tcPr>
                <w:p w14:paraId="10B67BDA" w14:textId="77777777"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Matched to both surveillance streams</w:t>
                  </w:r>
                </w:p>
              </w:tc>
            </w:tr>
            <w:tr w:rsidR="001B6543" w:rsidRPr="006E34D2" w14:paraId="630BEE69" w14:textId="77777777" w:rsidTr="0062704C">
              <w:trPr>
                <w:cantSplit/>
                <w:trHeight w:val="649"/>
              </w:trPr>
              <w:tc>
                <w:tcPr>
                  <w:tcW w:w="3008" w:type="dxa"/>
                  <w:vAlign w:val="center"/>
                  <w:hideMark/>
                </w:tcPr>
                <w:p w14:paraId="575466FF" w14:textId="77777777"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No identified ILI/SARI linkage</w:t>
                  </w:r>
                </w:p>
              </w:tc>
              <w:tc>
                <w:tcPr>
                  <w:tcW w:w="2420" w:type="dxa"/>
                  <w:vAlign w:val="center"/>
                  <w:hideMark/>
                </w:tcPr>
                <w:p w14:paraId="5C001D47" w14:textId="796569F2"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5</w:t>
                  </w:r>
                  <w:r w:rsidR="008C2A2F" w:rsidRPr="006E34D2">
                    <w:rPr>
                      <w:rFonts w:eastAsia="Times New Roman" w:cs="Times New Roman"/>
                      <w:color w:val="000000"/>
                      <w:kern w:val="0"/>
                      <w:sz w:val="20"/>
                      <w:szCs w:val="22"/>
                      <w:lang w:val="en-US"/>
                      <w14:ligatures w14:val="none"/>
                    </w:rPr>
                    <w:t>2</w:t>
                  </w:r>
                  <w:r w:rsidRPr="006E34D2">
                    <w:rPr>
                      <w:rFonts w:eastAsia="Times New Roman" w:cs="Times New Roman"/>
                      <w:color w:val="000000"/>
                      <w:kern w:val="0"/>
                      <w:sz w:val="20"/>
                      <w:szCs w:val="22"/>
                      <w:lang w:val="en-US"/>
                      <w14:ligatures w14:val="none"/>
                    </w:rPr>
                    <w:t>,</w:t>
                  </w:r>
                  <w:r w:rsidR="008C2A2F" w:rsidRPr="006E34D2">
                    <w:rPr>
                      <w:rFonts w:eastAsia="Times New Roman" w:cs="Times New Roman"/>
                      <w:color w:val="000000"/>
                      <w:kern w:val="0"/>
                      <w:sz w:val="20"/>
                      <w:szCs w:val="22"/>
                      <w:lang w:val="en-US"/>
                      <w14:ligatures w14:val="none"/>
                    </w:rPr>
                    <w:t>912</w:t>
                  </w:r>
                </w:p>
              </w:tc>
              <w:tc>
                <w:tcPr>
                  <w:tcW w:w="3588" w:type="dxa"/>
                  <w:vAlign w:val="center"/>
                  <w:hideMark/>
                </w:tcPr>
                <w:p w14:paraId="0B700211" w14:textId="0A7B119E" w:rsidR="001B6543" w:rsidRPr="0045473D" w:rsidRDefault="001B6543"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No ILI or SARI match identified</w:t>
                  </w:r>
                </w:p>
              </w:tc>
            </w:tr>
          </w:tbl>
          <w:p w14:paraId="61D31BFA" w14:textId="0CE98AFD" w:rsidR="00FB1EC6" w:rsidRPr="0045473D" w:rsidRDefault="00FB1EC6" w:rsidP="0045473D">
            <w:pPr>
              <w:spacing w:after="0" w:line="240" w:lineRule="auto"/>
              <w:jc w:val="both"/>
              <w:rPr>
                <w:rFonts w:eastAsia="Times New Roman" w:cs="Times New Roman"/>
                <w:b/>
                <w:bCs/>
                <w:color w:val="000000"/>
                <w:kern w:val="0"/>
                <w:szCs w:val="22"/>
                <w:lang w:val="en-US" w:eastAsia="pt-BR"/>
                <w14:ligatures w14:val="none"/>
              </w:rPr>
            </w:pPr>
          </w:p>
        </w:tc>
        <w:tc>
          <w:tcPr>
            <w:tcW w:w="146" w:type="dxa"/>
            <w:tcBorders>
              <w:top w:val="nil"/>
              <w:left w:val="nil"/>
              <w:bottom w:val="nil"/>
              <w:right w:val="nil"/>
            </w:tcBorders>
            <w:vAlign w:val="center"/>
          </w:tcPr>
          <w:p w14:paraId="7AE52D4B" w14:textId="118A97AD" w:rsidR="00FB1EC6" w:rsidRPr="0045473D" w:rsidRDefault="00FB1EC6" w:rsidP="0045473D">
            <w:pPr>
              <w:spacing w:after="0" w:line="240" w:lineRule="auto"/>
              <w:jc w:val="both"/>
              <w:rPr>
                <w:rFonts w:eastAsia="Times New Roman" w:cs="Times New Roman"/>
                <w:b/>
                <w:bCs/>
                <w:color w:val="000000"/>
                <w:kern w:val="0"/>
                <w:szCs w:val="22"/>
                <w:lang w:val="en-US" w:eastAsia="pt-BR"/>
                <w14:ligatures w14:val="none"/>
              </w:rPr>
            </w:pPr>
          </w:p>
        </w:tc>
        <w:tc>
          <w:tcPr>
            <w:tcW w:w="146" w:type="dxa"/>
            <w:tcBorders>
              <w:top w:val="nil"/>
              <w:left w:val="nil"/>
              <w:bottom w:val="nil"/>
              <w:right w:val="nil"/>
            </w:tcBorders>
            <w:vAlign w:val="center"/>
          </w:tcPr>
          <w:p w14:paraId="45079087" w14:textId="0885D6B5" w:rsidR="00FB1EC6" w:rsidRPr="0045473D" w:rsidRDefault="00FB1EC6" w:rsidP="0045473D">
            <w:pPr>
              <w:spacing w:after="0" w:line="240" w:lineRule="auto"/>
              <w:jc w:val="both"/>
              <w:rPr>
                <w:rFonts w:eastAsia="Times New Roman" w:cs="Times New Roman"/>
                <w:b/>
                <w:bCs/>
                <w:color w:val="000000"/>
                <w:kern w:val="0"/>
                <w:szCs w:val="22"/>
                <w:lang w:val="en-US" w:eastAsia="pt-BR"/>
                <w14:ligatures w14:val="none"/>
              </w:rPr>
            </w:pPr>
          </w:p>
        </w:tc>
      </w:tr>
    </w:tbl>
    <w:p w14:paraId="0231CA80" w14:textId="77777777" w:rsidR="00395685" w:rsidRPr="0045473D" w:rsidRDefault="00395685" w:rsidP="0045473D">
      <w:pPr>
        <w:spacing w:line="240" w:lineRule="auto"/>
        <w:ind w:firstLine="708"/>
        <w:jc w:val="both"/>
        <w:rPr>
          <w:rFonts w:cs="Times New Roman"/>
          <w:b/>
          <w:bCs/>
          <w:lang w:val="en-US"/>
        </w:rPr>
      </w:pPr>
    </w:p>
    <w:p w14:paraId="4A6CB8D6" w14:textId="6E5F62DF" w:rsidR="005F048D" w:rsidRPr="0045473D" w:rsidRDefault="005F048D"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00222A6B" w:rsidRPr="006E34D2">
        <w:rPr>
          <w:rFonts w:eastAsia="Times New Roman" w:cs="Times New Roman"/>
          <w:sz w:val="20"/>
          <w:lang w:val="en-US"/>
        </w:rPr>
        <w:t>Linkage indicators are not mutually exclusive. The 1,815 records linked to both ILI and SARI represent overlap and should not be added as a separate category to the individual ILI-linked and SARI-linked counts. All counts refer to the ISO-week analytical panel; linkage status did not modify the valid RSV positivity denominator.</w:t>
      </w:r>
    </w:p>
    <w:p w14:paraId="002FF56C" w14:textId="77777777" w:rsidR="005C7F98" w:rsidRPr="0045473D" w:rsidRDefault="005C7F98" w:rsidP="0045473D">
      <w:pPr>
        <w:spacing w:line="276" w:lineRule="auto"/>
        <w:ind w:firstLine="708"/>
        <w:jc w:val="both"/>
        <w:rPr>
          <w:rFonts w:cs="Times New Roman"/>
          <w:szCs w:val="22"/>
          <w:lang w:val="en-US"/>
        </w:rPr>
      </w:pPr>
    </w:p>
    <w:p w14:paraId="7C429AE1" w14:textId="77777777" w:rsidR="005C7F98" w:rsidRPr="0045473D" w:rsidRDefault="005C7F98" w:rsidP="0045473D">
      <w:pPr>
        <w:keepNext/>
        <w:spacing w:before="160" w:after="60" w:line="276" w:lineRule="auto"/>
        <w:jc w:val="both"/>
        <w:rPr>
          <w:rFonts w:cs="Times New Roman"/>
          <w:lang w:val="en-US"/>
        </w:rPr>
      </w:pPr>
      <w:r w:rsidRPr="006E34D2">
        <w:rPr>
          <w:rFonts w:eastAsia="Times New Roman" w:cs="Times New Roman"/>
          <w:b/>
          <w:lang w:val="en-US"/>
        </w:rPr>
        <w:t>Supplementary Method S3. Temporal, positivity, and seasonality analyses</w:t>
      </w:r>
    </w:p>
    <w:p w14:paraId="0BB23B57" w14:textId="18ABB896" w:rsidR="005C7F98" w:rsidRPr="0045473D" w:rsidRDefault="005C7F98" w:rsidP="006E34D2">
      <w:pPr>
        <w:spacing w:after="0" w:line="360" w:lineRule="auto"/>
        <w:ind w:firstLine="706"/>
        <w:jc w:val="both"/>
        <w:rPr>
          <w:rFonts w:cs="Times New Roman"/>
          <w:lang w:val="en-US"/>
        </w:rPr>
      </w:pPr>
      <w:r w:rsidRPr="006E34D2">
        <w:rPr>
          <w:rFonts w:eastAsia="Times New Roman" w:cs="Times New Roman"/>
          <w:lang w:val="en-US"/>
        </w:rPr>
        <w:t xml:space="preserve">Records in the ISO-week analytical panel were aggregated by ISO epidemiological year and week. </w:t>
      </w:r>
      <w:r w:rsidR="004C23C8" w:rsidRPr="006E34D2">
        <w:rPr>
          <w:rFonts w:eastAsia="Times New Roman" w:cs="Times New Roman"/>
          <w:lang w:val="en-US"/>
        </w:rPr>
        <w:t>Weekly testing volume was defined as the number of unique laboratory samples tested for RSV within the ISO-week analytical panel in each epidemiological week, including samples with inconclusive outcomes.</w:t>
      </w:r>
    </w:p>
    <w:p w14:paraId="0E5E9A29" w14:textId="62B114B7" w:rsidR="005C7F98" w:rsidRPr="0045473D" w:rsidRDefault="005C7F98" w:rsidP="006E34D2">
      <w:pPr>
        <w:spacing w:after="0" w:line="360" w:lineRule="auto"/>
        <w:ind w:firstLine="706"/>
        <w:jc w:val="both"/>
        <w:rPr>
          <w:rFonts w:cs="Times New Roman"/>
          <w:lang w:val="en-US"/>
        </w:rPr>
      </w:pPr>
      <w:r w:rsidRPr="006E34D2">
        <w:rPr>
          <w:rFonts w:eastAsia="Times New Roman" w:cs="Times New Roman"/>
          <w:lang w:val="en-US"/>
        </w:rPr>
        <w:lastRenderedPageBreak/>
        <w:t xml:space="preserve">Weekly detections were the number of unique RSV-detectable samples. </w:t>
      </w:r>
      <w:r w:rsidR="0067728F" w:rsidRPr="006E34D2">
        <w:rPr>
          <w:rFonts w:eastAsia="Times New Roman" w:cs="Times New Roman"/>
          <w:lang w:val="en-US"/>
        </w:rPr>
        <w:t>Weekly positivity was calculated as detections divided by valid RSV-tested samples in the same week; inconclusive outcomes were excluded from the denominator.</w:t>
      </w:r>
    </w:p>
    <w:p w14:paraId="4127E544" w14:textId="42948E26" w:rsidR="005C7F98" w:rsidRPr="0045473D" w:rsidRDefault="00590BC7" w:rsidP="006E34D2">
      <w:pPr>
        <w:spacing w:after="0" w:line="360" w:lineRule="auto"/>
        <w:ind w:firstLine="706"/>
        <w:jc w:val="both"/>
        <w:rPr>
          <w:rFonts w:cs="Times New Roman"/>
          <w:lang w:val="en-US"/>
        </w:rPr>
      </w:pPr>
      <w:r w:rsidRPr="006E34D2">
        <w:rPr>
          <w:rFonts w:eastAsia="Times New Roman" w:cs="Times New Roman"/>
          <w:lang w:val="en-US"/>
        </w:rPr>
        <w:t xml:space="preserve">A centred 3-week moving average was used to reduce week-to-week variability in positivity. </w:t>
      </w:r>
      <w:r w:rsidR="0041706D" w:rsidRPr="006E34D2">
        <w:rPr>
          <w:rFonts w:eastAsia="Times New Roman" w:cs="Times New Roman"/>
          <w:lang w:val="en-US"/>
        </w:rPr>
        <w:t xml:space="preserve">For each year, the count-based peak was defined as the ISO week with the largest number of RSV-detectable samples, </w:t>
      </w:r>
      <w:r w:rsidR="00D5206D" w:rsidRPr="006E34D2">
        <w:rPr>
          <w:rFonts w:eastAsia="Times New Roman" w:cs="Times New Roman"/>
          <w:lang w:val="en-US"/>
        </w:rPr>
        <w:t>and the maximum centred 3-week moving-average positivity was reported as a complementary measure of activity among tested samples.</w:t>
      </w:r>
    </w:p>
    <w:p w14:paraId="1A4A7705" w14:textId="77777777" w:rsidR="002F09F7" w:rsidRPr="006E34D2" w:rsidRDefault="002F09F7" w:rsidP="0045473D">
      <w:pPr>
        <w:keepNext/>
        <w:spacing w:before="160" w:after="60" w:line="276" w:lineRule="auto"/>
        <w:ind w:firstLine="706"/>
        <w:jc w:val="both"/>
        <w:rPr>
          <w:rFonts w:eastAsia="Times New Roman" w:cs="Times New Roman"/>
          <w:lang w:val="en-US"/>
        </w:rPr>
      </w:pPr>
      <w:r w:rsidRPr="006E34D2">
        <w:rPr>
          <w:rFonts w:eastAsia="Times New Roman" w:cs="Times New Roman"/>
          <w:lang w:val="en-US"/>
        </w:rPr>
        <w:t>Complementary descriptive analyses assessed the temporal structure of laboratory-detected RSV activity using aggregated seasonal profiles, circular plots of annual peak weeks, autocorrelation, and seasonal-trend decomposition.</w:t>
      </w:r>
    </w:p>
    <w:p w14:paraId="57212AE6" w14:textId="77777777" w:rsidR="000520E3" w:rsidRPr="006E34D2" w:rsidRDefault="000520E3" w:rsidP="0045473D">
      <w:pPr>
        <w:keepNext/>
        <w:spacing w:before="160" w:after="60" w:line="276" w:lineRule="auto"/>
        <w:ind w:firstLine="706"/>
        <w:jc w:val="both"/>
        <w:rPr>
          <w:rFonts w:eastAsia="Times New Roman" w:cs="Times New Roman"/>
          <w:lang w:val="en-US"/>
        </w:rPr>
      </w:pPr>
    </w:p>
    <w:p w14:paraId="06DB0893" w14:textId="511E8112" w:rsidR="00F43AF2" w:rsidRPr="0045473D" w:rsidRDefault="00916E1E" w:rsidP="0045473D">
      <w:pPr>
        <w:keepNext/>
        <w:spacing w:before="160" w:after="60" w:line="276" w:lineRule="auto"/>
        <w:jc w:val="both"/>
        <w:rPr>
          <w:lang w:val="en-US"/>
        </w:rPr>
      </w:pPr>
      <w:r w:rsidRPr="006E34D2">
        <w:rPr>
          <w:rFonts w:eastAsia="Times New Roman" w:cs="Times New Roman"/>
          <w:b/>
          <w:lang w:val="en-US"/>
        </w:rPr>
        <w:t>Supplementary Method S3A. Retrospective laboratory-defined epidemic-period methods</w:t>
      </w:r>
    </w:p>
    <w:p w14:paraId="1BE493D2" w14:textId="77777777" w:rsidR="00F43AF2" w:rsidRPr="0045473D" w:rsidRDefault="00916E1E" w:rsidP="006E34D2">
      <w:pPr>
        <w:spacing w:after="0" w:line="360" w:lineRule="auto"/>
        <w:ind w:firstLine="706"/>
        <w:jc w:val="both"/>
        <w:rPr>
          <w:lang w:val="en-US"/>
        </w:rPr>
      </w:pPr>
      <w:r w:rsidRPr="006E34D2">
        <w:rPr>
          <w:rFonts w:eastAsia="Times New Roman" w:cs="Times New Roman"/>
          <w:lang w:val="en-US"/>
        </w:rPr>
        <w:t>Three complementary retrospective methods were applied to four complete July–June surveillance seasons (2021–2022 through 2024–2025). A laboratory-defined epidemic period was assigned only when the method-specific criteria were met.</w:t>
      </w:r>
    </w:p>
    <w:p w14:paraId="5DF5F87F" w14:textId="4B72F864" w:rsidR="00AB3721" w:rsidRPr="006E34D2" w:rsidRDefault="00AB3721" w:rsidP="006E34D2">
      <w:pPr>
        <w:spacing w:after="0" w:line="360" w:lineRule="auto"/>
        <w:ind w:firstLine="706"/>
        <w:jc w:val="both"/>
        <w:rPr>
          <w:rFonts w:eastAsia="Times New Roman" w:cs="Times New Roman"/>
          <w:lang w:val="en-US"/>
        </w:rPr>
      </w:pPr>
      <w:r w:rsidRPr="006E34D2">
        <w:rPr>
          <w:rFonts w:eastAsia="Times New Roman" w:cs="Times New Roman"/>
          <w:lang w:val="en-US"/>
        </w:rPr>
        <w:t>Method 1 used a 3% positivity threshold. Onset was the first week of the first run of at least two consecutive weeks with weekly positivity ≥3</w:t>
      </w:r>
      <w:r w:rsidR="006E34D2" w:rsidRPr="006E34D2">
        <w:rPr>
          <w:rFonts w:eastAsia="Times New Roman" w:cs="Times New Roman"/>
          <w:lang w:val="en-US"/>
        </w:rPr>
        <w:t>% and</w:t>
      </w:r>
      <w:r w:rsidRPr="006E34D2">
        <w:rPr>
          <w:rFonts w:eastAsia="Times New Roman" w:cs="Times New Roman"/>
          <w:lang w:val="en-US"/>
        </w:rPr>
        <w:t xml:space="preserve"> offset was the final week of the last qualifying run within the surveillance season. The inclusive interval from onset to offset had to span at least six weeks. The peak was the week of maximum positivity within that interval.</w:t>
      </w:r>
    </w:p>
    <w:p w14:paraId="5E2E6882" w14:textId="14B004B9" w:rsidR="00F43AF2" w:rsidRPr="0045473D" w:rsidRDefault="00916E1E" w:rsidP="006E34D2">
      <w:pPr>
        <w:spacing w:after="0" w:line="360" w:lineRule="auto"/>
        <w:ind w:firstLine="706"/>
        <w:jc w:val="both"/>
        <w:rPr>
          <w:lang w:val="en-US"/>
        </w:rPr>
      </w:pPr>
      <w:r w:rsidRPr="006E34D2">
        <w:rPr>
          <w:rFonts w:eastAsia="Times New Roman" w:cs="Times New Roman"/>
          <w:lang w:val="en-US"/>
        </w:rPr>
        <w:t xml:space="preserve">Method 2 applied the Retrospective Slope 10 (RS10) algorithm to </w:t>
      </w:r>
      <w:r w:rsidR="003F1F85" w:rsidRPr="006E34D2">
        <w:rPr>
          <w:rFonts w:eastAsia="Times New Roman" w:cs="Times New Roman"/>
          <w:lang w:val="en-US"/>
        </w:rPr>
        <w:t xml:space="preserve">a centred 5-week moving average </w:t>
      </w:r>
      <w:r w:rsidRPr="006E34D2">
        <w:rPr>
          <w:rFonts w:eastAsia="Times New Roman" w:cs="Times New Roman"/>
          <w:lang w:val="en-US"/>
        </w:rPr>
        <w:t xml:space="preserve">of weekly RSV detections normalized to the maximum within each surveillance season. Onset was the second of two consecutive weeks with a normalized week-to-week slope ≥10 points per week. The peak was the week with the highest observed detection </w:t>
      </w:r>
      <w:r w:rsidR="006E34D2" w:rsidRPr="006E34D2">
        <w:rPr>
          <w:rFonts w:eastAsia="Times New Roman" w:cs="Times New Roman"/>
          <w:lang w:val="en-US"/>
        </w:rPr>
        <w:t>count and</w:t>
      </w:r>
      <w:r w:rsidRPr="006E34D2">
        <w:rPr>
          <w:rFonts w:eastAsia="Times New Roman" w:cs="Times New Roman"/>
          <w:lang w:val="en-US"/>
        </w:rPr>
        <w:t xml:space="preserve"> offset was the first post-peak week in which the normalized moving average fell below its mean value between onset and peak.</w:t>
      </w:r>
    </w:p>
    <w:p w14:paraId="356C393D" w14:textId="77777777" w:rsidR="00F43AF2" w:rsidRPr="0045473D" w:rsidRDefault="00916E1E" w:rsidP="006E34D2">
      <w:pPr>
        <w:spacing w:after="0" w:line="360" w:lineRule="auto"/>
        <w:ind w:firstLine="706"/>
        <w:jc w:val="both"/>
        <w:rPr>
          <w:lang w:val="en-US"/>
        </w:rPr>
      </w:pPr>
      <w:r w:rsidRPr="006E34D2">
        <w:rPr>
          <w:rFonts w:eastAsia="Times New Roman" w:cs="Times New Roman"/>
          <w:lang w:val="en-US"/>
        </w:rPr>
        <w:t>Method 3 applied the ten-fold baseline method (10FB) to a right-aligned 4-week moving average of weekly detections. The baseline was the lowest 4-week moving average observed during ISO weeks 9–17. Onset was the first of two consecutive weeks above 10 times the baseline; offset was the last week above that threshold; and the peak was the week with the maximum moving-average-to-baseline ratio.</w:t>
      </w:r>
    </w:p>
    <w:p w14:paraId="32F08412" w14:textId="77777777" w:rsidR="007524DD" w:rsidRDefault="00916E1E" w:rsidP="007524DD">
      <w:pPr>
        <w:spacing w:after="0" w:line="360" w:lineRule="auto"/>
        <w:ind w:firstLine="706"/>
        <w:jc w:val="both"/>
        <w:rPr>
          <w:rFonts w:eastAsia="Times New Roman" w:cs="Times New Roman"/>
          <w:lang w:val="en-US"/>
        </w:rPr>
      </w:pPr>
      <w:r w:rsidRPr="006E34D2">
        <w:rPr>
          <w:rFonts w:eastAsia="Times New Roman" w:cs="Times New Roman"/>
          <w:lang w:val="en-US"/>
        </w:rPr>
        <w:t>These procedures provide retrospective laboratory-based definitions of activity periods and are not direct estimates of population epidemic onset.</w:t>
      </w:r>
    </w:p>
    <w:p w14:paraId="3679A940" w14:textId="3CA8CDEB" w:rsidR="007A6127" w:rsidRPr="0045473D" w:rsidRDefault="005C7F98" w:rsidP="007524DD">
      <w:pPr>
        <w:spacing w:after="0" w:line="360" w:lineRule="auto"/>
        <w:ind w:firstLine="706"/>
        <w:jc w:val="both"/>
        <w:rPr>
          <w:rFonts w:cs="Times New Roman"/>
          <w:lang w:val="en-US"/>
        </w:rPr>
      </w:pPr>
      <w:r w:rsidRPr="006E34D2">
        <w:rPr>
          <w:rFonts w:eastAsia="Times New Roman" w:cs="Times New Roman"/>
          <w:b/>
          <w:lang w:val="en-US"/>
        </w:rPr>
        <w:t>Table S3. Annual RSV testing volume and peak metrics.</w:t>
      </w:r>
    </w:p>
    <w:tbl>
      <w:tblPr>
        <w:tblW w:w="9639" w:type="dxa"/>
        <w:tblCellMar>
          <w:left w:w="70" w:type="dxa"/>
          <w:right w:w="70" w:type="dxa"/>
        </w:tblCellMar>
        <w:tblLook w:val="04A0" w:firstRow="1" w:lastRow="0" w:firstColumn="1" w:lastColumn="0" w:noHBand="0" w:noVBand="1"/>
      </w:tblPr>
      <w:tblGrid>
        <w:gridCol w:w="2552"/>
        <w:gridCol w:w="2268"/>
        <w:gridCol w:w="2268"/>
        <w:gridCol w:w="2551"/>
      </w:tblGrid>
      <w:tr w:rsidR="008166B8" w:rsidRPr="006E34D2" w14:paraId="5095E96F" w14:textId="77777777" w:rsidTr="0097499D">
        <w:trPr>
          <w:cantSplit/>
          <w:trHeight w:val="1098"/>
          <w:tblHeader/>
        </w:trPr>
        <w:tc>
          <w:tcPr>
            <w:tcW w:w="2552" w:type="dxa"/>
            <w:tcBorders>
              <w:top w:val="nil"/>
              <w:left w:val="nil"/>
              <w:bottom w:val="nil"/>
              <w:right w:val="nil"/>
            </w:tcBorders>
            <w:vAlign w:val="center"/>
            <w:hideMark/>
          </w:tcPr>
          <w:p w14:paraId="3AE8B935" w14:textId="77777777" w:rsidR="008166B8" w:rsidRPr="0045473D" w:rsidRDefault="008166B8"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ISO epidemiological year</w:t>
            </w:r>
          </w:p>
        </w:tc>
        <w:tc>
          <w:tcPr>
            <w:tcW w:w="2268" w:type="dxa"/>
            <w:tcBorders>
              <w:top w:val="nil"/>
              <w:left w:val="nil"/>
              <w:bottom w:val="nil"/>
              <w:right w:val="nil"/>
            </w:tcBorders>
            <w:vAlign w:val="center"/>
            <w:hideMark/>
          </w:tcPr>
          <w:p w14:paraId="0D15FF1F" w14:textId="5E1C30C4" w:rsidR="008166B8" w:rsidRPr="0045473D" w:rsidRDefault="002A65D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Laboratory samples tested for RSV, n</w:t>
            </w:r>
          </w:p>
        </w:tc>
        <w:tc>
          <w:tcPr>
            <w:tcW w:w="2268" w:type="dxa"/>
            <w:tcBorders>
              <w:top w:val="nil"/>
              <w:left w:val="nil"/>
              <w:bottom w:val="nil"/>
              <w:right w:val="nil"/>
            </w:tcBorders>
            <w:vAlign w:val="center"/>
            <w:hideMark/>
          </w:tcPr>
          <w:p w14:paraId="1FE90C13" w14:textId="77777777" w:rsidR="008166B8" w:rsidRPr="0045473D" w:rsidRDefault="008166B8"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20"/>
                <w:lang w:val="en-US"/>
              </w:rPr>
              <w:t>Peak detection-count ISO week</w:t>
            </w:r>
          </w:p>
        </w:tc>
        <w:tc>
          <w:tcPr>
            <w:tcW w:w="2551" w:type="dxa"/>
            <w:tcBorders>
              <w:top w:val="nil"/>
              <w:left w:val="nil"/>
              <w:bottom w:val="nil"/>
              <w:right w:val="nil"/>
            </w:tcBorders>
            <w:vAlign w:val="center"/>
            <w:hideMark/>
          </w:tcPr>
          <w:p w14:paraId="4A80F723" w14:textId="6673C7C1" w:rsidR="008166B8" w:rsidRPr="0045473D" w:rsidRDefault="008A15D7"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Maximum centred 3-week moving-average positivity, %</w:t>
            </w:r>
          </w:p>
        </w:tc>
      </w:tr>
      <w:tr w:rsidR="001242AC" w:rsidRPr="006E34D2" w14:paraId="6C956825" w14:textId="77777777" w:rsidTr="00162154">
        <w:trPr>
          <w:cantSplit/>
          <w:trHeight w:val="305"/>
        </w:trPr>
        <w:tc>
          <w:tcPr>
            <w:tcW w:w="2552" w:type="dxa"/>
            <w:tcBorders>
              <w:top w:val="nil"/>
              <w:left w:val="nil"/>
              <w:bottom w:val="nil"/>
              <w:right w:val="nil"/>
            </w:tcBorders>
            <w:hideMark/>
          </w:tcPr>
          <w:p w14:paraId="22291A7F" w14:textId="3B9937CB"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2021</w:t>
            </w:r>
          </w:p>
        </w:tc>
        <w:tc>
          <w:tcPr>
            <w:tcW w:w="2268" w:type="dxa"/>
            <w:tcBorders>
              <w:top w:val="nil"/>
              <w:left w:val="nil"/>
              <w:bottom w:val="nil"/>
              <w:right w:val="nil"/>
            </w:tcBorders>
            <w:hideMark/>
          </w:tcPr>
          <w:p w14:paraId="1DEA4571" w14:textId="56851D3C"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19,051</w:t>
            </w:r>
          </w:p>
        </w:tc>
        <w:tc>
          <w:tcPr>
            <w:tcW w:w="2268" w:type="dxa"/>
            <w:tcBorders>
              <w:top w:val="nil"/>
              <w:left w:val="nil"/>
              <w:bottom w:val="nil"/>
              <w:right w:val="nil"/>
            </w:tcBorders>
            <w:hideMark/>
          </w:tcPr>
          <w:p w14:paraId="3F76C895" w14:textId="08E81382"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51</w:t>
            </w:r>
          </w:p>
        </w:tc>
        <w:tc>
          <w:tcPr>
            <w:tcW w:w="2551" w:type="dxa"/>
            <w:tcBorders>
              <w:top w:val="nil"/>
              <w:left w:val="nil"/>
              <w:bottom w:val="nil"/>
              <w:right w:val="nil"/>
            </w:tcBorders>
            <w:hideMark/>
          </w:tcPr>
          <w:p w14:paraId="4AF9CF60" w14:textId="40FE08A1"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20.6</w:t>
            </w:r>
          </w:p>
        </w:tc>
      </w:tr>
      <w:tr w:rsidR="001242AC" w:rsidRPr="006E34D2" w14:paraId="7A14B012" w14:textId="77777777" w:rsidTr="00162154">
        <w:trPr>
          <w:cantSplit/>
          <w:trHeight w:val="305"/>
        </w:trPr>
        <w:tc>
          <w:tcPr>
            <w:tcW w:w="2552" w:type="dxa"/>
            <w:tcBorders>
              <w:top w:val="nil"/>
              <w:left w:val="nil"/>
              <w:bottom w:val="nil"/>
              <w:right w:val="nil"/>
            </w:tcBorders>
            <w:hideMark/>
          </w:tcPr>
          <w:p w14:paraId="3AC93E37" w14:textId="7D711FAC"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2022</w:t>
            </w:r>
          </w:p>
        </w:tc>
        <w:tc>
          <w:tcPr>
            <w:tcW w:w="2268" w:type="dxa"/>
            <w:tcBorders>
              <w:top w:val="nil"/>
              <w:left w:val="nil"/>
              <w:bottom w:val="nil"/>
              <w:right w:val="nil"/>
            </w:tcBorders>
            <w:hideMark/>
          </w:tcPr>
          <w:p w14:paraId="556497AD" w14:textId="595E98D3"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20,842</w:t>
            </w:r>
          </w:p>
        </w:tc>
        <w:tc>
          <w:tcPr>
            <w:tcW w:w="2268" w:type="dxa"/>
            <w:tcBorders>
              <w:top w:val="nil"/>
              <w:left w:val="nil"/>
              <w:bottom w:val="nil"/>
              <w:right w:val="nil"/>
            </w:tcBorders>
            <w:hideMark/>
          </w:tcPr>
          <w:p w14:paraId="0F1B9D92" w14:textId="00A28046"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1</w:t>
            </w:r>
          </w:p>
        </w:tc>
        <w:tc>
          <w:tcPr>
            <w:tcW w:w="2551" w:type="dxa"/>
            <w:tcBorders>
              <w:top w:val="nil"/>
              <w:left w:val="nil"/>
              <w:bottom w:val="nil"/>
              <w:right w:val="nil"/>
            </w:tcBorders>
            <w:hideMark/>
          </w:tcPr>
          <w:p w14:paraId="317895B9" w14:textId="5A7F5537"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19.8</w:t>
            </w:r>
          </w:p>
        </w:tc>
      </w:tr>
      <w:tr w:rsidR="001242AC" w:rsidRPr="006E34D2" w14:paraId="0907EA47" w14:textId="77777777" w:rsidTr="00162154">
        <w:trPr>
          <w:cantSplit/>
          <w:trHeight w:val="305"/>
        </w:trPr>
        <w:tc>
          <w:tcPr>
            <w:tcW w:w="2552" w:type="dxa"/>
            <w:tcBorders>
              <w:top w:val="nil"/>
              <w:left w:val="nil"/>
              <w:bottom w:val="nil"/>
              <w:right w:val="nil"/>
            </w:tcBorders>
            <w:hideMark/>
          </w:tcPr>
          <w:p w14:paraId="06B3A8E4" w14:textId="0DC6A44B"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lastRenderedPageBreak/>
              <w:t>2023</w:t>
            </w:r>
          </w:p>
        </w:tc>
        <w:tc>
          <w:tcPr>
            <w:tcW w:w="2268" w:type="dxa"/>
            <w:tcBorders>
              <w:top w:val="nil"/>
              <w:left w:val="nil"/>
              <w:bottom w:val="nil"/>
              <w:right w:val="nil"/>
            </w:tcBorders>
            <w:hideMark/>
          </w:tcPr>
          <w:p w14:paraId="3562DA2B" w14:textId="5412840D"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22,647</w:t>
            </w:r>
          </w:p>
        </w:tc>
        <w:tc>
          <w:tcPr>
            <w:tcW w:w="2268" w:type="dxa"/>
            <w:tcBorders>
              <w:top w:val="nil"/>
              <w:left w:val="nil"/>
              <w:bottom w:val="nil"/>
              <w:right w:val="nil"/>
            </w:tcBorders>
            <w:hideMark/>
          </w:tcPr>
          <w:p w14:paraId="2C5864F6" w14:textId="4D6BD31A"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11</w:t>
            </w:r>
          </w:p>
        </w:tc>
        <w:tc>
          <w:tcPr>
            <w:tcW w:w="2551" w:type="dxa"/>
            <w:tcBorders>
              <w:top w:val="nil"/>
              <w:left w:val="nil"/>
              <w:bottom w:val="nil"/>
              <w:right w:val="nil"/>
            </w:tcBorders>
            <w:hideMark/>
          </w:tcPr>
          <w:p w14:paraId="5625F3D4" w14:textId="3FB73C04"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27.7</w:t>
            </w:r>
          </w:p>
        </w:tc>
      </w:tr>
      <w:tr w:rsidR="001242AC" w:rsidRPr="006E34D2" w14:paraId="0BE6E01B" w14:textId="77777777" w:rsidTr="00162154">
        <w:trPr>
          <w:cantSplit/>
          <w:trHeight w:val="305"/>
        </w:trPr>
        <w:tc>
          <w:tcPr>
            <w:tcW w:w="2552" w:type="dxa"/>
            <w:tcBorders>
              <w:top w:val="nil"/>
              <w:left w:val="nil"/>
              <w:bottom w:val="nil"/>
              <w:right w:val="nil"/>
            </w:tcBorders>
            <w:hideMark/>
          </w:tcPr>
          <w:p w14:paraId="0FB36C9A" w14:textId="018A22A9"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2024</w:t>
            </w:r>
          </w:p>
        </w:tc>
        <w:tc>
          <w:tcPr>
            <w:tcW w:w="2268" w:type="dxa"/>
            <w:tcBorders>
              <w:top w:val="nil"/>
              <w:left w:val="nil"/>
              <w:bottom w:val="nil"/>
              <w:right w:val="nil"/>
            </w:tcBorders>
            <w:hideMark/>
          </w:tcPr>
          <w:p w14:paraId="715A1C5F" w14:textId="2D3D07FE"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30,051</w:t>
            </w:r>
          </w:p>
        </w:tc>
        <w:tc>
          <w:tcPr>
            <w:tcW w:w="2268" w:type="dxa"/>
            <w:tcBorders>
              <w:top w:val="nil"/>
              <w:left w:val="nil"/>
              <w:bottom w:val="nil"/>
              <w:right w:val="nil"/>
            </w:tcBorders>
            <w:hideMark/>
          </w:tcPr>
          <w:p w14:paraId="28FF4CD8" w14:textId="57F5B48C"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15</w:t>
            </w:r>
          </w:p>
        </w:tc>
        <w:tc>
          <w:tcPr>
            <w:tcW w:w="2551" w:type="dxa"/>
            <w:tcBorders>
              <w:top w:val="nil"/>
              <w:left w:val="nil"/>
              <w:bottom w:val="nil"/>
              <w:right w:val="nil"/>
            </w:tcBorders>
            <w:hideMark/>
          </w:tcPr>
          <w:p w14:paraId="6533B656" w14:textId="3D774FA6"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20.1</w:t>
            </w:r>
          </w:p>
        </w:tc>
      </w:tr>
      <w:tr w:rsidR="001242AC" w:rsidRPr="006E34D2" w14:paraId="1B01B62E" w14:textId="77777777" w:rsidTr="00162154">
        <w:trPr>
          <w:cantSplit/>
          <w:trHeight w:val="56"/>
        </w:trPr>
        <w:tc>
          <w:tcPr>
            <w:tcW w:w="2552" w:type="dxa"/>
            <w:tcBorders>
              <w:top w:val="nil"/>
              <w:left w:val="nil"/>
              <w:bottom w:val="nil"/>
              <w:right w:val="nil"/>
            </w:tcBorders>
            <w:hideMark/>
          </w:tcPr>
          <w:p w14:paraId="33301DA3" w14:textId="577D577A"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2025</w:t>
            </w:r>
          </w:p>
        </w:tc>
        <w:tc>
          <w:tcPr>
            <w:tcW w:w="2268" w:type="dxa"/>
            <w:tcBorders>
              <w:top w:val="nil"/>
              <w:left w:val="nil"/>
              <w:bottom w:val="nil"/>
              <w:right w:val="nil"/>
            </w:tcBorders>
            <w:hideMark/>
          </w:tcPr>
          <w:p w14:paraId="57EDC809" w14:textId="3C1D7102"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42,139</w:t>
            </w:r>
          </w:p>
        </w:tc>
        <w:tc>
          <w:tcPr>
            <w:tcW w:w="2268" w:type="dxa"/>
            <w:tcBorders>
              <w:top w:val="nil"/>
              <w:left w:val="nil"/>
              <w:bottom w:val="nil"/>
              <w:right w:val="nil"/>
            </w:tcBorders>
            <w:hideMark/>
          </w:tcPr>
          <w:p w14:paraId="581FE898" w14:textId="22EF7E24"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21</w:t>
            </w:r>
          </w:p>
        </w:tc>
        <w:tc>
          <w:tcPr>
            <w:tcW w:w="2551" w:type="dxa"/>
            <w:tcBorders>
              <w:top w:val="nil"/>
              <w:left w:val="nil"/>
              <w:bottom w:val="nil"/>
              <w:right w:val="nil"/>
            </w:tcBorders>
            <w:hideMark/>
          </w:tcPr>
          <w:p w14:paraId="5B2AFB90" w14:textId="6276E6AF" w:rsidR="001242AC" w:rsidRPr="0045473D" w:rsidRDefault="001242AC" w:rsidP="0045473D">
            <w:pPr>
              <w:spacing w:after="0" w:line="240" w:lineRule="auto"/>
              <w:jc w:val="both"/>
              <w:rPr>
                <w:rFonts w:eastAsia="Times New Roman" w:cs="Times New Roman"/>
                <w:color w:val="000000"/>
                <w:kern w:val="0"/>
                <w:sz w:val="20"/>
                <w:szCs w:val="20"/>
                <w:lang w:val="en-US" w:eastAsia="pt-BR"/>
                <w14:ligatures w14:val="none"/>
              </w:rPr>
            </w:pPr>
            <w:r w:rsidRPr="0045473D">
              <w:rPr>
                <w:sz w:val="20"/>
                <w:szCs w:val="20"/>
                <w:lang w:val="en-US"/>
              </w:rPr>
              <w:t>36.0</w:t>
            </w:r>
          </w:p>
        </w:tc>
      </w:tr>
    </w:tbl>
    <w:p w14:paraId="57C11009" w14:textId="77777777" w:rsidR="00DE1132" w:rsidRPr="0045473D" w:rsidRDefault="00DE1132" w:rsidP="0045473D">
      <w:pPr>
        <w:spacing w:line="276" w:lineRule="auto"/>
        <w:ind w:firstLine="708"/>
        <w:jc w:val="both"/>
        <w:rPr>
          <w:rFonts w:cs="Times New Roman"/>
          <w:b/>
          <w:bCs/>
          <w:szCs w:val="22"/>
          <w:lang w:val="en-US"/>
        </w:rPr>
      </w:pPr>
    </w:p>
    <w:p w14:paraId="0B1B0245" w14:textId="7F6AFFA3" w:rsidR="00FF4C81" w:rsidRPr="0045473D" w:rsidRDefault="00FC291B"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005B68F2" w:rsidRPr="006E34D2">
        <w:rPr>
          <w:rFonts w:eastAsia="Times New Roman" w:cs="Times New Roman"/>
          <w:sz w:val="20"/>
          <w:lang w:val="en-US"/>
        </w:rPr>
        <w:t>Annual testing-volume counts refer to unique laboratory samples in the ISO-week analytical panel and therefore include inconclusive outcomes. The peak detection-count week is the ISO week with the largest number of RSV-detectable samples; maximum centred 3-week moving-average positivity is the highest value of the centred 3-week moving average of weekly RSV positivity within the year. Positivity calculations used only valid RSV-tested samples, defined as RSV-detectable plus RSV-non-detectable sample.</w:t>
      </w:r>
    </w:p>
    <w:p w14:paraId="6C61A19F" w14:textId="77777777" w:rsidR="00DE1132" w:rsidRPr="0045473D" w:rsidRDefault="00DE1132" w:rsidP="0045473D">
      <w:pPr>
        <w:spacing w:line="276" w:lineRule="auto"/>
        <w:ind w:firstLine="708"/>
        <w:jc w:val="both"/>
        <w:rPr>
          <w:rFonts w:cs="Times New Roman"/>
          <w:szCs w:val="22"/>
          <w:lang w:val="en-US"/>
        </w:rPr>
      </w:pPr>
    </w:p>
    <w:p w14:paraId="0814E3F3" w14:textId="77777777" w:rsidR="006948D8" w:rsidRPr="0045473D" w:rsidRDefault="006948D8" w:rsidP="0045473D">
      <w:pPr>
        <w:keepNext/>
        <w:spacing w:before="160" w:after="60" w:line="276" w:lineRule="auto"/>
        <w:jc w:val="both"/>
        <w:rPr>
          <w:rFonts w:cs="Times New Roman"/>
          <w:lang w:val="en-US"/>
        </w:rPr>
      </w:pPr>
      <w:r w:rsidRPr="006E34D2">
        <w:rPr>
          <w:rFonts w:eastAsia="Times New Roman" w:cs="Times New Roman"/>
          <w:b/>
          <w:lang w:val="en-US"/>
        </w:rPr>
        <w:t>Supplementary Method S4. Territorial testing intensity and laboratory-detected RSV activity</w:t>
      </w:r>
    </w:p>
    <w:p w14:paraId="2F4F705E" w14:textId="6A958A31" w:rsidR="00506557" w:rsidRPr="0045473D" w:rsidRDefault="00482D61" w:rsidP="006E34D2">
      <w:pPr>
        <w:spacing w:after="0" w:line="360" w:lineRule="auto"/>
        <w:ind w:firstLine="706"/>
        <w:jc w:val="both"/>
        <w:rPr>
          <w:rFonts w:cs="Times New Roman"/>
          <w:lang w:val="en-US"/>
        </w:rPr>
      </w:pPr>
      <w:r w:rsidRPr="006E34D2">
        <w:rPr>
          <w:rFonts w:eastAsia="Times New Roman" w:cs="Times New Roman"/>
          <w:lang w:val="en-US"/>
        </w:rPr>
        <w:t>Territorial analyses aggregated unique laboratory samples tested for RSV within the ISO-week analytical panel and RSV-detectable samples by health macroregion and year.</w:t>
      </w:r>
      <w:r w:rsidR="00506557" w:rsidRPr="006E34D2">
        <w:rPr>
          <w:rFonts w:eastAsia="Times New Roman" w:cs="Times New Roman"/>
          <w:lang w:val="en-US"/>
        </w:rPr>
        <w:t xml:space="preserve"> Municipalities were assigned to the official health macroregions of Minas Gerais using territorial reference files. </w:t>
      </w:r>
      <w:r w:rsidR="002C111B" w:rsidRPr="006E34D2">
        <w:rPr>
          <w:rFonts w:eastAsia="Times New Roman" w:cs="Times New Roman"/>
          <w:lang w:val="en-US"/>
        </w:rPr>
        <w:t>Municipal population estimates for 2024 from the Brazilian Institute of Geography and Statistics (IBGE) were aggregated to the health macroregion level and used as fixed population denominators across all study years</w:t>
      </w:r>
      <w:r w:rsidR="00506557" w:rsidRPr="006E34D2">
        <w:rPr>
          <w:rFonts w:eastAsia="Times New Roman" w:cs="Times New Roman"/>
          <w:lang w:val="en-US"/>
        </w:rPr>
        <w:t>.</w:t>
      </w:r>
    </w:p>
    <w:p w14:paraId="343D4D28" w14:textId="2904CA78" w:rsidR="00CF06D5" w:rsidRPr="0045473D" w:rsidRDefault="0043095F" w:rsidP="006E34D2">
      <w:pPr>
        <w:spacing w:after="0" w:line="360" w:lineRule="auto"/>
        <w:ind w:firstLine="706"/>
        <w:jc w:val="both"/>
        <w:rPr>
          <w:rFonts w:cs="Times New Roman"/>
          <w:lang w:val="en-US"/>
        </w:rPr>
      </w:pPr>
      <w:r w:rsidRPr="006E34D2">
        <w:rPr>
          <w:rFonts w:eastAsia="Times New Roman" w:cs="Times New Roman"/>
          <w:lang w:val="en-US"/>
        </w:rPr>
        <w:t xml:space="preserve">RSV testing intensity was defined as the number of unique laboratory samples tested for RSV within the ISO-week analytical panel per 100,000 residents in each health macroregion and year; this testing-volume measure included samples with inconclusive outcomes. </w:t>
      </w:r>
      <w:r w:rsidR="00AF4E5B" w:rsidRPr="006E34D2">
        <w:rPr>
          <w:rFonts w:eastAsia="Times New Roman" w:cs="Times New Roman"/>
          <w:lang w:val="en-US"/>
        </w:rPr>
        <w:t>It measures laboratory testing activity within the submitted sample stream, not positivity, population incidence, disease burden, or individual risk.</w:t>
      </w:r>
    </w:p>
    <w:p w14:paraId="5DC61EFC" w14:textId="55D657F3" w:rsidR="00992511" w:rsidRPr="0045473D" w:rsidRDefault="0041706D" w:rsidP="006E34D2">
      <w:pPr>
        <w:spacing w:after="0" w:line="360" w:lineRule="auto"/>
        <w:ind w:firstLine="706"/>
        <w:jc w:val="both"/>
        <w:rPr>
          <w:rFonts w:cs="Times New Roman"/>
          <w:lang w:val="en-US"/>
        </w:rPr>
      </w:pPr>
      <w:r w:rsidRPr="006E34D2">
        <w:rPr>
          <w:rFonts w:eastAsia="Times New Roman" w:cs="Times New Roman"/>
          <w:lang w:val="en-US"/>
        </w:rPr>
        <w:t>Laboratory-detected RSV activity was defined as unique RSV-detectable samples per 100,000 residents in each macroregion and year. Because this indicator depends on testing access, clinical suspicion, referral pathways, and laboratory demand, it should not be interpreted as population incidence or transmission intensity.</w:t>
      </w:r>
    </w:p>
    <w:p w14:paraId="73D43CE4" w14:textId="60888DAE" w:rsidR="00C2224A" w:rsidRDefault="005B3811" w:rsidP="006E34D2">
      <w:pPr>
        <w:spacing w:after="0" w:line="360" w:lineRule="auto"/>
        <w:ind w:firstLine="706"/>
        <w:jc w:val="both"/>
        <w:rPr>
          <w:rFonts w:eastAsia="Times New Roman" w:cs="Times New Roman"/>
          <w:lang w:val="en-US"/>
        </w:rPr>
      </w:pPr>
      <w:r w:rsidRPr="006E34D2">
        <w:rPr>
          <w:rFonts w:eastAsia="Times New Roman" w:cs="Times New Roman"/>
          <w:lang w:val="en-US"/>
        </w:rPr>
        <w:t>Empirical Bayes smoothing was applied to laboratory-detected activity estimates to reduce instability from sparse detections and smaller population denominators. Spatial structure was examined descriptively using Global Moran’s I for testing intensity and Local Indicators of Spatial Association for both testing intensity and laboratory-detected activity.</w:t>
      </w:r>
      <w:r w:rsidR="00022A09" w:rsidRPr="006E34D2">
        <w:rPr>
          <w:rFonts w:eastAsia="Times New Roman" w:cs="Times New Roman"/>
          <w:lang w:val="en-US"/>
        </w:rPr>
        <w:t xml:space="preserve"> </w:t>
      </w:r>
      <w:r w:rsidR="00022A09" w:rsidRPr="0045473D">
        <w:rPr>
          <w:rFonts w:eastAsia="Times New Roman" w:cs="Times New Roman"/>
          <w:lang w:val="en-US"/>
        </w:rPr>
        <w:t>Spatial neighbors were defined using queen contiguity between health macroregion polygons, and spatial weights were row-standardized. Global Moran’s I was evaluated under the randomization assumption using a two-sided test. Local Moran statistics were classified using nominal p ≤ 0.05 and interpreted as exploratory spatial indicators.</w:t>
      </w:r>
      <w:r w:rsidRPr="006E34D2">
        <w:rPr>
          <w:rFonts w:eastAsia="Times New Roman" w:cs="Times New Roman"/>
          <w:lang w:val="en-US"/>
        </w:rPr>
        <w:t xml:space="preserve"> These outputs describe spatial patterns in the laboratory surveillance process; they are not definitive maps of population risk or transmission.</w:t>
      </w:r>
    </w:p>
    <w:p w14:paraId="4DB3C563" w14:textId="0BEB4733" w:rsidR="0008653F" w:rsidRPr="0045473D" w:rsidRDefault="00C2224A" w:rsidP="00C2224A">
      <w:pPr>
        <w:spacing w:after="0" w:line="360" w:lineRule="auto"/>
        <w:ind w:firstLine="706"/>
        <w:jc w:val="both"/>
        <w:rPr>
          <w:rFonts w:cs="Times New Roman"/>
          <w:lang w:val="en-US"/>
        </w:rPr>
      </w:pPr>
      <w:r>
        <w:rPr>
          <w:rFonts w:eastAsia="Times New Roman" w:cs="Times New Roman"/>
          <w:lang w:val="en-US"/>
        </w:rPr>
        <w:br w:type="column"/>
      </w:r>
      <w:r w:rsidR="00CF06D5" w:rsidRPr="006E34D2">
        <w:rPr>
          <w:rFonts w:eastAsia="Times New Roman" w:cs="Times New Roman"/>
          <w:b/>
          <w:lang w:val="en-US"/>
        </w:rPr>
        <w:lastRenderedPageBreak/>
        <w:t>Table S4. Annual summary of RSV testing intensity by health macroregion, Minas Gerais, Brazil, 2021–2025.</w:t>
      </w:r>
    </w:p>
    <w:tbl>
      <w:tblPr>
        <w:tblW w:w="9454" w:type="dxa"/>
        <w:tblCellMar>
          <w:left w:w="70" w:type="dxa"/>
          <w:right w:w="70" w:type="dxa"/>
        </w:tblCellMar>
        <w:tblLook w:val="04A0" w:firstRow="1" w:lastRow="0" w:firstColumn="1" w:lastColumn="0" w:noHBand="0" w:noVBand="1"/>
      </w:tblPr>
      <w:tblGrid>
        <w:gridCol w:w="1843"/>
        <w:gridCol w:w="1504"/>
        <w:gridCol w:w="1756"/>
        <w:gridCol w:w="1885"/>
        <w:gridCol w:w="1125"/>
        <w:gridCol w:w="1341"/>
      </w:tblGrid>
      <w:tr w:rsidR="003335B0" w:rsidRPr="006E34D2" w14:paraId="716B4D02" w14:textId="77777777" w:rsidTr="00AB43B8">
        <w:trPr>
          <w:cantSplit/>
          <w:trHeight w:val="1404"/>
          <w:tblHeader/>
        </w:trPr>
        <w:tc>
          <w:tcPr>
            <w:tcW w:w="1843" w:type="dxa"/>
            <w:tcBorders>
              <w:top w:val="nil"/>
              <w:left w:val="nil"/>
              <w:bottom w:val="nil"/>
              <w:right w:val="nil"/>
            </w:tcBorders>
            <w:vAlign w:val="center"/>
            <w:hideMark/>
          </w:tcPr>
          <w:p w14:paraId="70CE0468" w14:textId="77777777" w:rsidR="003335B0" w:rsidRPr="0045473D" w:rsidRDefault="003335B0"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ISO epidemiological year</w:t>
            </w:r>
          </w:p>
        </w:tc>
        <w:tc>
          <w:tcPr>
            <w:tcW w:w="1504" w:type="dxa"/>
            <w:tcBorders>
              <w:top w:val="nil"/>
              <w:left w:val="nil"/>
              <w:bottom w:val="nil"/>
              <w:right w:val="nil"/>
            </w:tcBorders>
            <w:vAlign w:val="center"/>
            <w:hideMark/>
          </w:tcPr>
          <w:p w14:paraId="2A8BEE30" w14:textId="5EE210A1" w:rsidR="003335B0" w:rsidRPr="0045473D" w:rsidRDefault="00F209BE"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Laboratory samples tested for RSV, n</w:t>
            </w:r>
          </w:p>
        </w:tc>
        <w:tc>
          <w:tcPr>
            <w:tcW w:w="1756" w:type="dxa"/>
            <w:tcBorders>
              <w:top w:val="nil"/>
              <w:left w:val="nil"/>
              <w:bottom w:val="nil"/>
              <w:right w:val="nil"/>
            </w:tcBorders>
            <w:vAlign w:val="center"/>
            <w:hideMark/>
          </w:tcPr>
          <w:p w14:paraId="553D6A33" w14:textId="77777777" w:rsidR="003335B0" w:rsidRPr="0045473D" w:rsidRDefault="003335B0"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Health macroregions, n</w:t>
            </w:r>
          </w:p>
        </w:tc>
        <w:tc>
          <w:tcPr>
            <w:tcW w:w="1885" w:type="dxa"/>
            <w:tcBorders>
              <w:top w:val="nil"/>
              <w:left w:val="nil"/>
              <w:bottom w:val="nil"/>
              <w:right w:val="nil"/>
            </w:tcBorders>
            <w:vAlign w:val="center"/>
            <w:hideMark/>
          </w:tcPr>
          <w:p w14:paraId="301FFA4C" w14:textId="450CD170" w:rsidR="003335B0" w:rsidRPr="0045473D" w:rsidRDefault="00F209BE"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9"/>
                <w:lang w:val="en-US"/>
              </w:rPr>
              <w:t>Mean laboratory samples tested for RSV per macroregion, n</w:t>
            </w:r>
          </w:p>
        </w:tc>
        <w:tc>
          <w:tcPr>
            <w:tcW w:w="1125" w:type="dxa"/>
            <w:tcBorders>
              <w:top w:val="nil"/>
              <w:left w:val="nil"/>
              <w:bottom w:val="nil"/>
              <w:right w:val="nil"/>
            </w:tcBorders>
            <w:vAlign w:val="center"/>
            <w:hideMark/>
          </w:tcPr>
          <w:p w14:paraId="55D2124B" w14:textId="11C93756" w:rsidR="003335B0" w:rsidRPr="0045473D" w:rsidRDefault="00F16A44"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Mean testing intensity per 100,000 residents</w:t>
            </w:r>
          </w:p>
        </w:tc>
        <w:tc>
          <w:tcPr>
            <w:tcW w:w="1341" w:type="dxa"/>
            <w:tcBorders>
              <w:top w:val="nil"/>
              <w:left w:val="nil"/>
              <w:bottom w:val="nil"/>
              <w:right w:val="nil"/>
            </w:tcBorders>
            <w:vAlign w:val="center"/>
            <w:hideMark/>
          </w:tcPr>
          <w:p w14:paraId="7714BB88" w14:textId="3AF5CC98" w:rsidR="003335B0" w:rsidRPr="0045473D" w:rsidRDefault="00F16A44"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Maximum testing intensity per 100,000 residents</w:t>
            </w:r>
          </w:p>
        </w:tc>
      </w:tr>
      <w:tr w:rsidR="003335B0" w:rsidRPr="006E34D2" w14:paraId="2E6EEED9" w14:textId="77777777" w:rsidTr="00AB43B8">
        <w:trPr>
          <w:cantSplit/>
          <w:trHeight w:val="351"/>
        </w:trPr>
        <w:tc>
          <w:tcPr>
            <w:tcW w:w="1843" w:type="dxa"/>
            <w:tcBorders>
              <w:top w:val="nil"/>
              <w:left w:val="nil"/>
              <w:bottom w:val="nil"/>
              <w:right w:val="nil"/>
            </w:tcBorders>
            <w:vAlign w:val="center"/>
            <w:hideMark/>
          </w:tcPr>
          <w:p w14:paraId="3C7648A0"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2021</w:t>
            </w:r>
          </w:p>
        </w:tc>
        <w:tc>
          <w:tcPr>
            <w:tcW w:w="1504" w:type="dxa"/>
            <w:tcBorders>
              <w:top w:val="nil"/>
              <w:left w:val="nil"/>
              <w:bottom w:val="nil"/>
              <w:right w:val="nil"/>
            </w:tcBorders>
            <w:vAlign w:val="center"/>
            <w:hideMark/>
          </w:tcPr>
          <w:p w14:paraId="20CD088E"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19,051</w:t>
            </w:r>
          </w:p>
        </w:tc>
        <w:tc>
          <w:tcPr>
            <w:tcW w:w="1756" w:type="dxa"/>
            <w:tcBorders>
              <w:top w:val="nil"/>
              <w:left w:val="nil"/>
              <w:bottom w:val="nil"/>
              <w:right w:val="nil"/>
            </w:tcBorders>
            <w:vAlign w:val="center"/>
            <w:hideMark/>
          </w:tcPr>
          <w:p w14:paraId="74CDEEAC"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w:t>
            </w:r>
          </w:p>
        </w:tc>
        <w:tc>
          <w:tcPr>
            <w:tcW w:w="1885" w:type="dxa"/>
            <w:tcBorders>
              <w:top w:val="nil"/>
              <w:left w:val="nil"/>
              <w:bottom w:val="nil"/>
              <w:right w:val="nil"/>
            </w:tcBorders>
            <w:vAlign w:val="center"/>
            <w:hideMark/>
          </w:tcPr>
          <w:p w14:paraId="1B4A3A71"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1,360.8</w:t>
            </w:r>
          </w:p>
        </w:tc>
        <w:tc>
          <w:tcPr>
            <w:tcW w:w="1125" w:type="dxa"/>
            <w:tcBorders>
              <w:top w:val="nil"/>
              <w:left w:val="nil"/>
              <w:bottom w:val="nil"/>
              <w:right w:val="nil"/>
            </w:tcBorders>
            <w:vAlign w:val="center"/>
            <w:hideMark/>
          </w:tcPr>
          <w:p w14:paraId="09B0C191"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78.8</w:t>
            </w:r>
          </w:p>
        </w:tc>
        <w:tc>
          <w:tcPr>
            <w:tcW w:w="1341" w:type="dxa"/>
            <w:tcBorders>
              <w:top w:val="nil"/>
              <w:left w:val="nil"/>
              <w:bottom w:val="nil"/>
              <w:right w:val="nil"/>
            </w:tcBorders>
            <w:vAlign w:val="center"/>
            <w:hideMark/>
          </w:tcPr>
          <w:p w14:paraId="5CFE9A36"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158.7</w:t>
            </w:r>
          </w:p>
        </w:tc>
      </w:tr>
      <w:tr w:rsidR="003335B0" w:rsidRPr="006E34D2" w14:paraId="70A974AF" w14:textId="77777777" w:rsidTr="00AB43B8">
        <w:trPr>
          <w:cantSplit/>
          <w:trHeight w:val="351"/>
        </w:trPr>
        <w:tc>
          <w:tcPr>
            <w:tcW w:w="1843" w:type="dxa"/>
            <w:tcBorders>
              <w:top w:val="nil"/>
              <w:left w:val="nil"/>
              <w:bottom w:val="nil"/>
              <w:right w:val="nil"/>
            </w:tcBorders>
            <w:vAlign w:val="center"/>
            <w:hideMark/>
          </w:tcPr>
          <w:p w14:paraId="70CDBD84"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2022</w:t>
            </w:r>
          </w:p>
        </w:tc>
        <w:tc>
          <w:tcPr>
            <w:tcW w:w="1504" w:type="dxa"/>
            <w:tcBorders>
              <w:top w:val="nil"/>
              <w:left w:val="nil"/>
              <w:bottom w:val="nil"/>
              <w:right w:val="nil"/>
            </w:tcBorders>
            <w:vAlign w:val="center"/>
            <w:hideMark/>
          </w:tcPr>
          <w:p w14:paraId="1FEC641F"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20,842</w:t>
            </w:r>
          </w:p>
        </w:tc>
        <w:tc>
          <w:tcPr>
            <w:tcW w:w="1756" w:type="dxa"/>
            <w:tcBorders>
              <w:top w:val="nil"/>
              <w:left w:val="nil"/>
              <w:bottom w:val="nil"/>
              <w:right w:val="nil"/>
            </w:tcBorders>
            <w:vAlign w:val="center"/>
            <w:hideMark/>
          </w:tcPr>
          <w:p w14:paraId="4AC9B3C8"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w:t>
            </w:r>
          </w:p>
        </w:tc>
        <w:tc>
          <w:tcPr>
            <w:tcW w:w="1885" w:type="dxa"/>
            <w:tcBorders>
              <w:top w:val="nil"/>
              <w:left w:val="nil"/>
              <w:bottom w:val="nil"/>
              <w:right w:val="nil"/>
            </w:tcBorders>
            <w:vAlign w:val="center"/>
            <w:hideMark/>
          </w:tcPr>
          <w:p w14:paraId="3702D42D"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1,488.7</w:t>
            </w:r>
          </w:p>
        </w:tc>
        <w:tc>
          <w:tcPr>
            <w:tcW w:w="1125" w:type="dxa"/>
            <w:tcBorders>
              <w:top w:val="nil"/>
              <w:left w:val="nil"/>
              <w:bottom w:val="nil"/>
              <w:right w:val="nil"/>
            </w:tcBorders>
            <w:vAlign w:val="center"/>
            <w:hideMark/>
          </w:tcPr>
          <w:p w14:paraId="029297FF"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89.5</w:t>
            </w:r>
          </w:p>
        </w:tc>
        <w:tc>
          <w:tcPr>
            <w:tcW w:w="1341" w:type="dxa"/>
            <w:tcBorders>
              <w:top w:val="nil"/>
              <w:left w:val="nil"/>
              <w:bottom w:val="nil"/>
              <w:right w:val="nil"/>
            </w:tcBorders>
            <w:vAlign w:val="center"/>
            <w:hideMark/>
          </w:tcPr>
          <w:p w14:paraId="4CDDB65A"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158.4</w:t>
            </w:r>
          </w:p>
        </w:tc>
      </w:tr>
      <w:tr w:rsidR="003335B0" w:rsidRPr="006E34D2" w14:paraId="10B50FD1" w14:textId="77777777" w:rsidTr="00AB43B8">
        <w:trPr>
          <w:cantSplit/>
          <w:trHeight w:val="351"/>
        </w:trPr>
        <w:tc>
          <w:tcPr>
            <w:tcW w:w="1843" w:type="dxa"/>
            <w:tcBorders>
              <w:top w:val="nil"/>
              <w:left w:val="nil"/>
              <w:bottom w:val="nil"/>
              <w:right w:val="nil"/>
            </w:tcBorders>
            <w:vAlign w:val="center"/>
            <w:hideMark/>
          </w:tcPr>
          <w:p w14:paraId="2FEE5430"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2023</w:t>
            </w:r>
          </w:p>
        </w:tc>
        <w:tc>
          <w:tcPr>
            <w:tcW w:w="1504" w:type="dxa"/>
            <w:tcBorders>
              <w:top w:val="nil"/>
              <w:left w:val="nil"/>
              <w:bottom w:val="nil"/>
              <w:right w:val="nil"/>
            </w:tcBorders>
            <w:vAlign w:val="center"/>
            <w:hideMark/>
          </w:tcPr>
          <w:p w14:paraId="65207D97"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22,647</w:t>
            </w:r>
          </w:p>
        </w:tc>
        <w:tc>
          <w:tcPr>
            <w:tcW w:w="1756" w:type="dxa"/>
            <w:tcBorders>
              <w:top w:val="nil"/>
              <w:left w:val="nil"/>
              <w:bottom w:val="nil"/>
              <w:right w:val="nil"/>
            </w:tcBorders>
            <w:vAlign w:val="center"/>
            <w:hideMark/>
          </w:tcPr>
          <w:p w14:paraId="2A7F06FD"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w:t>
            </w:r>
          </w:p>
        </w:tc>
        <w:tc>
          <w:tcPr>
            <w:tcW w:w="1885" w:type="dxa"/>
            <w:tcBorders>
              <w:top w:val="nil"/>
              <w:left w:val="nil"/>
              <w:bottom w:val="nil"/>
              <w:right w:val="nil"/>
            </w:tcBorders>
            <w:vAlign w:val="center"/>
            <w:hideMark/>
          </w:tcPr>
          <w:p w14:paraId="663BD86C"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1,617.6</w:t>
            </w:r>
          </w:p>
        </w:tc>
        <w:tc>
          <w:tcPr>
            <w:tcW w:w="1125" w:type="dxa"/>
            <w:tcBorders>
              <w:top w:val="nil"/>
              <w:left w:val="nil"/>
              <w:bottom w:val="nil"/>
              <w:right w:val="nil"/>
            </w:tcBorders>
            <w:vAlign w:val="center"/>
            <w:hideMark/>
          </w:tcPr>
          <w:p w14:paraId="20EA9023"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86.6</w:t>
            </w:r>
          </w:p>
        </w:tc>
        <w:tc>
          <w:tcPr>
            <w:tcW w:w="1341" w:type="dxa"/>
            <w:tcBorders>
              <w:top w:val="nil"/>
              <w:left w:val="nil"/>
              <w:bottom w:val="nil"/>
              <w:right w:val="nil"/>
            </w:tcBorders>
            <w:vAlign w:val="center"/>
            <w:hideMark/>
          </w:tcPr>
          <w:p w14:paraId="61A84D94"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177.6</w:t>
            </w:r>
          </w:p>
        </w:tc>
      </w:tr>
      <w:tr w:rsidR="003335B0" w:rsidRPr="006E34D2" w14:paraId="669E94D5" w14:textId="77777777" w:rsidTr="00AB43B8">
        <w:trPr>
          <w:cantSplit/>
          <w:trHeight w:val="351"/>
        </w:trPr>
        <w:tc>
          <w:tcPr>
            <w:tcW w:w="1843" w:type="dxa"/>
            <w:tcBorders>
              <w:top w:val="nil"/>
              <w:left w:val="nil"/>
              <w:bottom w:val="nil"/>
              <w:right w:val="nil"/>
            </w:tcBorders>
            <w:vAlign w:val="center"/>
            <w:hideMark/>
          </w:tcPr>
          <w:p w14:paraId="0D2C91BB" w14:textId="3657DA8D"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2024</w:t>
            </w:r>
          </w:p>
        </w:tc>
        <w:tc>
          <w:tcPr>
            <w:tcW w:w="1504" w:type="dxa"/>
            <w:tcBorders>
              <w:top w:val="nil"/>
              <w:left w:val="nil"/>
              <w:bottom w:val="nil"/>
              <w:right w:val="nil"/>
            </w:tcBorders>
            <w:vAlign w:val="center"/>
            <w:hideMark/>
          </w:tcPr>
          <w:p w14:paraId="01DF6D62"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30,051</w:t>
            </w:r>
          </w:p>
        </w:tc>
        <w:tc>
          <w:tcPr>
            <w:tcW w:w="1756" w:type="dxa"/>
            <w:tcBorders>
              <w:top w:val="nil"/>
              <w:left w:val="nil"/>
              <w:bottom w:val="nil"/>
              <w:right w:val="nil"/>
            </w:tcBorders>
            <w:vAlign w:val="center"/>
            <w:hideMark/>
          </w:tcPr>
          <w:p w14:paraId="7373EFC9"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w:t>
            </w:r>
          </w:p>
        </w:tc>
        <w:tc>
          <w:tcPr>
            <w:tcW w:w="1885" w:type="dxa"/>
            <w:tcBorders>
              <w:top w:val="nil"/>
              <w:left w:val="nil"/>
              <w:bottom w:val="nil"/>
              <w:right w:val="nil"/>
            </w:tcBorders>
            <w:vAlign w:val="center"/>
            <w:hideMark/>
          </w:tcPr>
          <w:p w14:paraId="41C2F226"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2,146.5</w:t>
            </w:r>
          </w:p>
        </w:tc>
        <w:tc>
          <w:tcPr>
            <w:tcW w:w="1125" w:type="dxa"/>
            <w:tcBorders>
              <w:top w:val="nil"/>
              <w:left w:val="nil"/>
              <w:bottom w:val="nil"/>
              <w:right w:val="nil"/>
            </w:tcBorders>
            <w:vAlign w:val="center"/>
            <w:hideMark/>
          </w:tcPr>
          <w:p w14:paraId="6ED07D95"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124.5</w:t>
            </w:r>
          </w:p>
        </w:tc>
        <w:tc>
          <w:tcPr>
            <w:tcW w:w="1341" w:type="dxa"/>
            <w:tcBorders>
              <w:top w:val="nil"/>
              <w:left w:val="nil"/>
              <w:bottom w:val="nil"/>
              <w:right w:val="nil"/>
            </w:tcBorders>
            <w:vAlign w:val="center"/>
            <w:hideMark/>
          </w:tcPr>
          <w:p w14:paraId="4F6EBEE7"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226.8</w:t>
            </w:r>
          </w:p>
        </w:tc>
      </w:tr>
      <w:tr w:rsidR="003335B0" w:rsidRPr="006E34D2" w14:paraId="763F1FDF" w14:textId="77777777" w:rsidTr="00AB43B8">
        <w:trPr>
          <w:cantSplit/>
          <w:trHeight w:val="351"/>
        </w:trPr>
        <w:tc>
          <w:tcPr>
            <w:tcW w:w="1843" w:type="dxa"/>
            <w:tcBorders>
              <w:top w:val="nil"/>
              <w:left w:val="nil"/>
              <w:bottom w:val="nil"/>
              <w:right w:val="nil"/>
            </w:tcBorders>
            <w:vAlign w:val="center"/>
            <w:hideMark/>
          </w:tcPr>
          <w:p w14:paraId="6CC0A550"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2025</w:t>
            </w:r>
          </w:p>
        </w:tc>
        <w:tc>
          <w:tcPr>
            <w:tcW w:w="1504" w:type="dxa"/>
            <w:tcBorders>
              <w:top w:val="nil"/>
              <w:left w:val="nil"/>
              <w:bottom w:val="nil"/>
              <w:right w:val="nil"/>
            </w:tcBorders>
            <w:vAlign w:val="center"/>
            <w:hideMark/>
          </w:tcPr>
          <w:p w14:paraId="3592EA85"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42,139</w:t>
            </w:r>
          </w:p>
        </w:tc>
        <w:tc>
          <w:tcPr>
            <w:tcW w:w="1756" w:type="dxa"/>
            <w:tcBorders>
              <w:top w:val="nil"/>
              <w:left w:val="nil"/>
              <w:bottom w:val="nil"/>
              <w:right w:val="nil"/>
            </w:tcBorders>
            <w:vAlign w:val="center"/>
            <w:hideMark/>
          </w:tcPr>
          <w:p w14:paraId="603BBEEA"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14</w:t>
            </w:r>
          </w:p>
        </w:tc>
        <w:tc>
          <w:tcPr>
            <w:tcW w:w="1885" w:type="dxa"/>
            <w:tcBorders>
              <w:top w:val="nil"/>
              <w:left w:val="nil"/>
              <w:bottom w:val="nil"/>
              <w:right w:val="nil"/>
            </w:tcBorders>
            <w:vAlign w:val="center"/>
            <w:hideMark/>
          </w:tcPr>
          <w:p w14:paraId="6F180599"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3,009.9</w:t>
            </w:r>
          </w:p>
        </w:tc>
        <w:tc>
          <w:tcPr>
            <w:tcW w:w="1125" w:type="dxa"/>
            <w:tcBorders>
              <w:top w:val="nil"/>
              <w:left w:val="nil"/>
              <w:bottom w:val="nil"/>
              <w:right w:val="nil"/>
            </w:tcBorders>
            <w:vAlign w:val="center"/>
            <w:hideMark/>
          </w:tcPr>
          <w:p w14:paraId="079BC2AF"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171.6</w:t>
            </w:r>
          </w:p>
        </w:tc>
        <w:tc>
          <w:tcPr>
            <w:tcW w:w="1341" w:type="dxa"/>
            <w:tcBorders>
              <w:top w:val="nil"/>
              <w:left w:val="nil"/>
              <w:bottom w:val="nil"/>
              <w:right w:val="nil"/>
            </w:tcBorders>
            <w:vAlign w:val="center"/>
            <w:hideMark/>
          </w:tcPr>
          <w:p w14:paraId="7D88700A" w14:textId="77777777" w:rsidR="003335B0" w:rsidRPr="0045473D" w:rsidRDefault="003335B0"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317.6</w:t>
            </w:r>
          </w:p>
        </w:tc>
      </w:tr>
    </w:tbl>
    <w:p w14:paraId="536F9268" w14:textId="77777777" w:rsidR="00A74374" w:rsidRPr="0045473D" w:rsidRDefault="00A74374" w:rsidP="0045473D">
      <w:pPr>
        <w:spacing w:line="240" w:lineRule="auto"/>
        <w:ind w:firstLine="708"/>
        <w:jc w:val="both"/>
        <w:rPr>
          <w:rFonts w:cs="Times New Roman"/>
          <w:b/>
          <w:bCs/>
          <w:lang w:val="en-US"/>
        </w:rPr>
      </w:pPr>
    </w:p>
    <w:p w14:paraId="03460A1B" w14:textId="5641A86E" w:rsidR="00FD259C" w:rsidRPr="0045473D" w:rsidRDefault="00FD259C"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00A343B8" w:rsidRPr="006E34D2">
        <w:rPr>
          <w:rFonts w:eastAsia="Times New Roman" w:cs="Times New Roman"/>
          <w:sz w:val="20"/>
          <w:lang w:val="en-US"/>
        </w:rPr>
        <w:t>Annual testing-volume counts refer to unique laboratory samples in the ISO-week analytical panel and include inconclusive outcomes. Testing intensity equals the number of unique laboratory samples tested for RSV per 100,000 residents, calculated by health macroregion and year using 2024 municipal population estimates from IBGE as fixed denominators across all study years. Mean and maximum values summarize variation across the 14 macroregions. This indicator measures laboratory testing activity and is distinct from the valid RSV-tested denominator used to calculate positivity.</w:t>
      </w:r>
    </w:p>
    <w:p w14:paraId="6A8A7E98" w14:textId="1D122A61" w:rsidR="002135B8" w:rsidRPr="0045473D" w:rsidRDefault="00147B6A" w:rsidP="0045473D">
      <w:pPr>
        <w:keepNext/>
        <w:spacing w:before="120" w:after="60" w:line="276" w:lineRule="auto"/>
        <w:jc w:val="both"/>
        <w:rPr>
          <w:rFonts w:cs="Times New Roman"/>
          <w:szCs w:val="22"/>
          <w:lang w:val="en-US"/>
        </w:rPr>
      </w:pPr>
      <w:r w:rsidRPr="006E34D2">
        <w:rPr>
          <w:rFonts w:eastAsia="Times New Roman" w:cs="Times New Roman"/>
          <w:b/>
          <w:lang w:val="en-US"/>
        </w:rPr>
        <w:t>Table S5. Global Moran’s I for RSV testing intensity by health macroregion, Minas Gerais, Brazil, 2021–2025.</w:t>
      </w:r>
    </w:p>
    <w:tbl>
      <w:tblPr>
        <w:tblW w:w="9300" w:type="dxa"/>
        <w:tblCellMar>
          <w:left w:w="70" w:type="dxa"/>
          <w:right w:w="70" w:type="dxa"/>
        </w:tblCellMar>
        <w:tblLook w:val="04A0" w:firstRow="1" w:lastRow="0" w:firstColumn="1" w:lastColumn="0" w:noHBand="0" w:noVBand="1"/>
      </w:tblPr>
      <w:tblGrid>
        <w:gridCol w:w="2955"/>
        <w:gridCol w:w="1608"/>
        <w:gridCol w:w="1814"/>
        <w:gridCol w:w="1739"/>
        <w:gridCol w:w="1184"/>
      </w:tblGrid>
      <w:tr w:rsidR="00AE7A5A" w:rsidRPr="006E34D2" w14:paraId="185B4D38" w14:textId="77777777" w:rsidTr="004D09BB">
        <w:trPr>
          <w:cantSplit/>
          <w:trHeight w:val="974"/>
          <w:tblHeader/>
        </w:trPr>
        <w:tc>
          <w:tcPr>
            <w:tcW w:w="2955" w:type="dxa"/>
            <w:tcBorders>
              <w:top w:val="nil"/>
              <w:left w:val="nil"/>
              <w:bottom w:val="nil"/>
              <w:right w:val="nil"/>
            </w:tcBorders>
            <w:vAlign w:val="center"/>
            <w:hideMark/>
          </w:tcPr>
          <w:p w14:paraId="2EE73523" w14:textId="77777777" w:rsidR="00AE7A5A" w:rsidRPr="0045473D" w:rsidRDefault="00AE7A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ISO epidemiological year</w:t>
            </w:r>
          </w:p>
        </w:tc>
        <w:tc>
          <w:tcPr>
            <w:tcW w:w="1608" w:type="dxa"/>
            <w:tcBorders>
              <w:top w:val="nil"/>
              <w:left w:val="nil"/>
              <w:bottom w:val="nil"/>
              <w:right w:val="nil"/>
            </w:tcBorders>
            <w:vAlign w:val="center"/>
            <w:hideMark/>
          </w:tcPr>
          <w:p w14:paraId="76EE5BF3" w14:textId="77777777" w:rsidR="00AE7A5A" w:rsidRPr="0045473D" w:rsidRDefault="00AE7A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Moran’s I</w:t>
            </w:r>
          </w:p>
        </w:tc>
        <w:tc>
          <w:tcPr>
            <w:tcW w:w="1814" w:type="dxa"/>
            <w:tcBorders>
              <w:top w:val="nil"/>
              <w:left w:val="nil"/>
              <w:bottom w:val="nil"/>
              <w:right w:val="nil"/>
            </w:tcBorders>
            <w:vAlign w:val="center"/>
            <w:hideMark/>
          </w:tcPr>
          <w:p w14:paraId="314A6A1F" w14:textId="77777777" w:rsidR="00AE7A5A" w:rsidRPr="0045473D" w:rsidRDefault="00AE7A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Expected I</w:t>
            </w:r>
          </w:p>
        </w:tc>
        <w:tc>
          <w:tcPr>
            <w:tcW w:w="1739" w:type="dxa"/>
            <w:tcBorders>
              <w:top w:val="nil"/>
              <w:left w:val="nil"/>
              <w:bottom w:val="nil"/>
              <w:right w:val="nil"/>
            </w:tcBorders>
            <w:vAlign w:val="center"/>
            <w:hideMark/>
          </w:tcPr>
          <w:p w14:paraId="0ED5F005" w14:textId="77777777" w:rsidR="00AE7A5A" w:rsidRPr="0045473D" w:rsidRDefault="00AE7A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Variance</w:t>
            </w:r>
          </w:p>
        </w:tc>
        <w:tc>
          <w:tcPr>
            <w:tcW w:w="1184" w:type="dxa"/>
            <w:tcBorders>
              <w:top w:val="nil"/>
              <w:left w:val="nil"/>
              <w:bottom w:val="nil"/>
              <w:right w:val="nil"/>
            </w:tcBorders>
            <w:vAlign w:val="center"/>
            <w:hideMark/>
          </w:tcPr>
          <w:p w14:paraId="4065B19B" w14:textId="77777777" w:rsidR="00AE7A5A" w:rsidRPr="0045473D" w:rsidRDefault="00AE7A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20"/>
                <w:lang w:val="en-US"/>
              </w:rPr>
              <w:t>p value</w:t>
            </w:r>
          </w:p>
        </w:tc>
      </w:tr>
      <w:tr w:rsidR="00AE7A5A" w:rsidRPr="006E34D2" w14:paraId="674DB84D" w14:textId="77777777" w:rsidTr="004D09BB">
        <w:trPr>
          <w:cantSplit/>
          <w:trHeight w:val="243"/>
        </w:trPr>
        <w:tc>
          <w:tcPr>
            <w:tcW w:w="2955" w:type="dxa"/>
            <w:tcBorders>
              <w:top w:val="nil"/>
              <w:left w:val="nil"/>
              <w:bottom w:val="nil"/>
              <w:right w:val="nil"/>
            </w:tcBorders>
            <w:vAlign w:val="center"/>
            <w:hideMark/>
          </w:tcPr>
          <w:p w14:paraId="01AE22E2"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2021</w:t>
            </w:r>
          </w:p>
        </w:tc>
        <w:tc>
          <w:tcPr>
            <w:tcW w:w="1608" w:type="dxa"/>
            <w:tcBorders>
              <w:top w:val="nil"/>
              <w:left w:val="nil"/>
              <w:bottom w:val="nil"/>
              <w:right w:val="nil"/>
            </w:tcBorders>
            <w:vAlign w:val="center"/>
            <w:hideMark/>
          </w:tcPr>
          <w:p w14:paraId="107CDACC"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0.087</w:t>
            </w:r>
          </w:p>
        </w:tc>
        <w:tc>
          <w:tcPr>
            <w:tcW w:w="1814" w:type="dxa"/>
            <w:tcBorders>
              <w:top w:val="nil"/>
              <w:left w:val="nil"/>
              <w:bottom w:val="nil"/>
              <w:right w:val="nil"/>
            </w:tcBorders>
            <w:vAlign w:val="center"/>
            <w:hideMark/>
          </w:tcPr>
          <w:p w14:paraId="20E27B69"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-0.077</w:t>
            </w:r>
          </w:p>
        </w:tc>
        <w:tc>
          <w:tcPr>
            <w:tcW w:w="1739" w:type="dxa"/>
            <w:tcBorders>
              <w:top w:val="nil"/>
              <w:left w:val="nil"/>
              <w:bottom w:val="nil"/>
              <w:right w:val="nil"/>
            </w:tcBorders>
            <w:vAlign w:val="center"/>
            <w:hideMark/>
          </w:tcPr>
          <w:p w14:paraId="2BA53793"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0.026</w:t>
            </w:r>
          </w:p>
        </w:tc>
        <w:tc>
          <w:tcPr>
            <w:tcW w:w="1184" w:type="dxa"/>
            <w:tcBorders>
              <w:top w:val="nil"/>
              <w:left w:val="nil"/>
              <w:bottom w:val="nil"/>
              <w:right w:val="nil"/>
            </w:tcBorders>
            <w:vAlign w:val="center"/>
            <w:hideMark/>
          </w:tcPr>
          <w:p w14:paraId="7C51C05D"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0.312</w:t>
            </w:r>
          </w:p>
        </w:tc>
      </w:tr>
      <w:tr w:rsidR="00AE7A5A" w:rsidRPr="006E34D2" w14:paraId="5AA39EE9" w14:textId="77777777" w:rsidTr="004D09BB">
        <w:trPr>
          <w:cantSplit/>
          <w:trHeight w:val="243"/>
        </w:trPr>
        <w:tc>
          <w:tcPr>
            <w:tcW w:w="2955" w:type="dxa"/>
            <w:tcBorders>
              <w:top w:val="nil"/>
              <w:left w:val="nil"/>
              <w:bottom w:val="nil"/>
              <w:right w:val="nil"/>
            </w:tcBorders>
            <w:vAlign w:val="center"/>
            <w:hideMark/>
          </w:tcPr>
          <w:p w14:paraId="2BA46061"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2022</w:t>
            </w:r>
          </w:p>
        </w:tc>
        <w:tc>
          <w:tcPr>
            <w:tcW w:w="1608" w:type="dxa"/>
            <w:tcBorders>
              <w:top w:val="nil"/>
              <w:left w:val="nil"/>
              <w:bottom w:val="nil"/>
              <w:right w:val="nil"/>
            </w:tcBorders>
            <w:vAlign w:val="center"/>
            <w:hideMark/>
          </w:tcPr>
          <w:p w14:paraId="5C122D1F"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0.176</w:t>
            </w:r>
          </w:p>
        </w:tc>
        <w:tc>
          <w:tcPr>
            <w:tcW w:w="1814" w:type="dxa"/>
            <w:tcBorders>
              <w:top w:val="nil"/>
              <w:left w:val="nil"/>
              <w:bottom w:val="nil"/>
              <w:right w:val="nil"/>
            </w:tcBorders>
            <w:vAlign w:val="center"/>
            <w:hideMark/>
          </w:tcPr>
          <w:p w14:paraId="4059EDD5"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-0.077</w:t>
            </w:r>
          </w:p>
        </w:tc>
        <w:tc>
          <w:tcPr>
            <w:tcW w:w="1739" w:type="dxa"/>
            <w:tcBorders>
              <w:top w:val="nil"/>
              <w:left w:val="nil"/>
              <w:bottom w:val="nil"/>
              <w:right w:val="nil"/>
            </w:tcBorders>
            <w:vAlign w:val="center"/>
            <w:hideMark/>
          </w:tcPr>
          <w:p w14:paraId="5505C99D"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0.026</w:t>
            </w:r>
          </w:p>
        </w:tc>
        <w:tc>
          <w:tcPr>
            <w:tcW w:w="1184" w:type="dxa"/>
            <w:tcBorders>
              <w:top w:val="nil"/>
              <w:left w:val="nil"/>
              <w:bottom w:val="nil"/>
              <w:right w:val="nil"/>
            </w:tcBorders>
            <w:vAlign w:val="center"/>
            <w:hideMark/>
          </w:tcPr>
          <w:p w14:paraId="5A145F94"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0.113</w:t>
            </w:r>
          </w:p>
        </w:tc>
      </w:tr>
      <w:tr w:rsidR="00AE7A5A" w:rsidRPr="006E34D2" w14:paraId="37E7EB3E" w14:textId="77777777" w:rsidTr="004D09BB">
        <w:trPr>
          <w:cantSplit/>
          <w:trHeight w:val="243"/>
        </w:trPr>
        <w:tc>
          <w:tcPr>
            <w:tcW w:w="2955" w:type="dxa"/>
            <w:tcBorders>
              <w:top w:val="nil"/>
              <w:left w:val="nil"/>
              <w:bottom w:val="nil"/>
              <w:right w:val="nil"/>
            </w:tcBorders>
            <w:vAlign w:val="center"/>
            <w:hideMark/>
          </w:tcPr>
          <w:p w14:paraId="52142AEF"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2023</w:t>
            </w:r>
          </w:p>
        </w:tc>
        <w:tc>
          <w:tcPr>
            <w:tcW w:w="1608" w:type="dxa"/>
            <w:tcBorders>
              <w:top w:val="nil"/>
              <w:left w:val="nil"/>
              <w:bottom w:val="nil"/>
              <w:right w:val="nil"/>
            </w:tcBorders>
            <w:vAlign w:val="center"/>
            <w:hideMark/>
          </w:tcPr>
          <w:p w14:paraId="6ABFE7F1"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0.007</w:t>
            </w:r>
          </w:p>
        </w:tc>
        <w:tc>
          <w:tcPr>
            <w:tcW w:w="1814" w:type="dxa"/>
            <w:tcBorders>
              <w:top w:val="nil"/>
              <w:left w:val="nil"/>
              <w:bottom w:val="nil"/>
              <w:right w:val="nil"/>
            </w:tcBorders>
            <w:vAlign w:val="center"/>
            <w:hideMark/>
          </w:tcPr>
          <w:p w14:paraId="5F31EF93"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-0.077</w:t>
            </w:r>
          </w:p>
        </w:tc>
        <w:tc>
          <w:tcPr>
            <w:tcW w:w="1739" w:type="dxa"/>
            <w:tcBorders>
              <w:top w:val="nil"/>
              <w:left w:val="nil"/>
              <w:bottom w:val="nil"/>
              <w:right w:val="nil"/>
            </w:tcBorders>
            <w:vAlign w:val="center"/>
            <w:hideMark/>
          </w:tcPr>
          <w:p w14:paraId="19C0D13E"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0.021</w:t>
            </w:r>
          </w:p>
        </w:tc>
        <w:tc>
          <w:tcPr>
            <w:tcW w:w="1184" w:type="dxa"/>
            <w:tcBorders>
              <w:top w:val="nil"/>
              <w:left w:val="nil"/>
              <w:bottom w:val="nil"/>
              <w:right w:val="nil"/>
            </w:tcBorders>
            <w:vAlign w:val="center"/>
            <w:hideMark/>
          </w:tcPr>
          <w:p w14:paraId="1527EE26"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0.563</w:t>
            </w:r>
          </w:p>
        </w:tc>
      </w:tr>
      <w:tr w:rsidR="00AE7A5A" w:rsidRPr="006E34D2" w14:paraId="384DD32D" w14:textId="77777777" w:rsidTr="004D09BB">
        <w:trPr>
          <w:cantSplit/>
          <w:trHeight w:val="243"/>
        </w:trPr>
        <w:tc>
          <w:tcPr>
            <w:tcW w:w="2955" w:type="dxa"/>
            <w:tcBorders>
              <w:top w:val="nil"/>
              <w:left w:val="nil"/>
              <w:bottom w:val="nil"/>
              <w:right w:val="nil"/>
            </w:tcBorders>
            <w:vAlign w:val="center"/>
            <w:hideMark/>
          </w:tcPr>
          <w:p w14:paraId="57386F48"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2024</w:t>
            </w:r>
          </w:p>
        </w:tc>
        <w:tc>
          <w:tcPr>
            <w:tcW w:w="1608" w:type="dxa"/>
            <w:tcBorders>
              <w:top w:val="nil"/>
              <w:left w:val="nil"/>
              <w:bottom w:val="nil"/>
              <w:right w:val="nil"/>
            </w:tcBorders>
            <w:vAlign w:val="center"/>
            <w:hideMark/>
          </w:tcPr>
          <w:p w14:paraId="2B11FB1E"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0.080</w:t>
            </w:r>
          </w:p>
        </w:tc>
        <w:tc>
          <w:tcPr>
            <w:tcW w:w="1814" w:type="dxa"/>
            <w:tcBorders>
              <w:top w:val="nil"/>
              <w:left w:val="nil"/>
              <w:bottom w:val="nil"/>
              <w:right w:val="nil"/>
            </w:tcBorders>
            <w:vAlign w:val="center"/>
            <w:hideMark/>
          </w:tcPr>
          <w:p w14:paraId="6BDB7F31"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-0.077</w:t>
            </w:r>
          </w:p>
        </w:tc>
        <w:tc>
          <w:tcPr>
            <w:tcW w:w="1739" w:type="dxa"/>
            <w:tcBorders>
              <w:top w:val="nil"/>
              <w:left w:val="nil"/>
              <w:bottom w:val="nil"/>
              <w:right w:val="nil"/>
            </w:tcBorders>
            <w:vAlign w:val="center"/>
            <w:hideMark/>
          </w:tcPr>
          <w:p w14:paraId="5EAB7E13"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0.025</w:t>
            </w:r>
          </w:p>
        </w:tc>
        <w:tc>
          <w:tcPr>
            <w:tcW w:w="1184" w:type="dxa"/>
            <w:tcBorders>
              <w:top w:val="nil"/>
              <w:left w:val="nil"/>
              <w:bottom w:val="nil"/>
              <w:right w:val="nil"/>
            </w:tcBorders>
            <w:vAlign w:val="center"/>
            <w:hideMark/>
          </w:tcPr>
          <w:p w14:paraId="741081BB"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0.319</w:t>
            </w:r>
          </w:p>
        </w:tc>
      </w:tr>
      <w:tr w:rsidR="00AE7A5A" w:rsidRPr="006E34D2" w14:paraId="6FF8B577" w14:textId="77777777" w:rsidTr="004D09BB">
        <w:trPr>
          <w:cantSplit/>
          <w:trHeight w:val="243"/>
        </w:trPr>
        <w:tc>
          <w:tcPr>
            <w:tcW w:w="2955" w:type="dxa"/>
            <w:tcBorders>
              <w:top w:val="nil"/>
              <w:left w:val="nil"/>
              <w:bottom w:val="nil"/>
              <w:right w:val="nil"/>
            </w:tcBorders>
            <w:vAlign w:val="center"/>
            <w:hideMark/>
          </w:tcPr>
          <w:p w14:paraId="1CAB4316"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2025</w:t>
            </w:r>
          </w:p>
        </w:tc>
        <w:tc>
          <w:tcPr>
            <w:tcW w:w="1608" w:type="dxa"/>
            <w:tcBorders>
              <w:top w:val="nil"/>
              <w:left w:val="nil"/>
              <w:bottom w:val="nil"/>
              <w:right w:val="nil"/>
            </w:tcBorders>
            <w:vAlign w:val="center"/>
            <w:hideMark/>
          </w:tcPr>
          <w:p w14:paraId="71395F62"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-0.190</w:t>
            </w:r>
          </w:p>
        </w:tc>
        <w:tc>
          <w:tcPr>
            <w:tcW w:w="1814" w:type="dxa"/>
            <w:tcBorders>
              <w:top w:val="nil"/>
              <w:left w:val="nil"/>
              <w:bottom w:val="nil"/>
              <w:right w:val="nil"/>
            </w:tcBorders>
            <w:vAlign w:val="center"/>
            <w:hideMark/>
          </w:tcPr>
          <w:p w14:paraId="410D1BE0"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-0.077</w:t>
            </w:r>
          </w:p>
        </w:tc>
        <w:tc>
          <w:tcPr>
            <w:tcW w:w="1739" w:type="dxa"/>
            <w:tcBorders>
              <w:top w:val="nil"/>
              <w:left w:val="nil"/>
              <w:bottom w:val="nil"/>
              <w:right w:val="nil"/>
            </w:tcBorders>
            <w:vAlign w:val="center"/>
            <w:hideMark/>
          </w:tcPr>
          <w:p w14:paraId="2EF34228"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0.025</w:t>
            </w:r>
          </w:p>
        </w:tc>
        <w:tc>
          <w:tcPr>
            <w:tcW w:w="1184" w:type="dxa"/>
            <w:tcBorders>
              <w:top w:val="nil"/>
              <w:left w:val="nil"/>
              <w:bottom w:val="nil"/>
              <w:right w:val="nil"/>
            </w:tcBorders>
            <w:vAlign w:val="center"/>
            <w:hideMark/>
          </w:tcPr>
          <w:p w14:paraId="453DD3F2" w14:textId="77777777" w:rsidR="00AE7A5A" w:rsidRPr="0045473D" w:rsidRDefault="00AE7A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0.473</w:t>
            </w:r>
          </w:p>
        </w:tc>
      </w:tr>
    </w:tbl>
    <w:p w14:paraId="4C84804D" w14:textId="77777777" w:rsidR="00A74374" w:rsidRPr="0045473D" w:rsidRDefault="00A74374" w:rsidP="0045473D">
      <w:pPr>
        <w:spacing w:line="240" w:lineRule="auto"/>
        <w:ind w:firstLine="708"/>
        <w:jc w:val="both"/>
        <w:rPr>
          <w:rFonts w:cs="Times New Roman"/>
          <w:b/>
          <w:bCs/>
          <w:lang w:val="en-US"/>
        </w:rPr>
      </w:pPr>
    </w:p>
    <w:p w14:paraId="35F46B29" w14:textId="039A572F" w:rsidR="00B301C9" w:rsidRPr="0045473D" w:rsidRDefault="00B301C9" w:rsidP="006E34D2">
      <w:pPr>
        <w:spacing w:before="40" w:after="120" w:line="240" w:lineRule="auto"/>
        <w:jc w:val="both"/>
        <w:rPr>
          <w:rFonts w:cs="Times New Roman"/>
          <w:lang w:val="en-US"/>
        </w:rPr>
      </w:pPr>
      <w:r w:rsidRPr="006E34D2">
        <w:rPr>
          <w:rFonts w:eastAsia="Times New Roman" w:cs="Times New Roman"/>
          <w:b/>
          <w:sz w:val="20"/>
          <w:lang w:val="en-US"/>
        </w:rPr>
        <w:t xml:space="preserve">Footnote: </w:t>
      </w:r>
      <w:r w:rsidRPr="006E34D2">
        <w:rPr>
          <w:rFonts w:eastAsia="Times New Roman" w:cs="Times New Roman"/>
          <w:sz w:val="20"/>
          <w:lang w:val="en-US"/>
        </w:rPr>
        <w:t xml:space="preserve">Global Moran’s I assessed spatial autocorrelation in testing intensity across health macroregions. </w:t>
      </w:r>
      <w:r w:rsidR="00B70BAE" w:rsidRPr="006E34D2">
        <w:rPr>
          <w:rFonts w:eastAsia="Times New Roman" w:cs="Times New Roman"/>
          <w:sz w:val="20"/>
          <w:lang w:val="en-US"/>
        </w:rPr>
        <w:t>No study year had a nominal p &lt; 0.05 for Global Moran’s I.</w:t>
      </w:r>
      <w:r w:rsidR="00675A7C" w:rsidRPr="006E34D2">
        <w:rPr>
          <w:rFonts w:eastAsia="Times New Roman" w:cs="Times New Roman"/>
          <w:sz w:val="20"/>
          <w:lang w:val="en-US"/>
        </w:rPr>
        <w:t xml:space="preserve"> </w:t>
      </w:r>
      <w:r w:rsidRPr="006E34D2">
        <w:rPr>
          <w:rFonts w:eastAsia="Times New Roman" w:cs="Times New Roman"/>
          <w:sz w:val="20"/>
          <w:lang w:val="en-US"/>
        </w:rPr>
        <w:t>The analysis was descriptive and does not assess RSV incidence or transmission.</w:t>
      </w:r>
    </w:p>
    <w:p w14:paraId="1E172B6D" w14:textId="77777777" w:rsidR="009F27B2" w:rsidRPr="0045473D" w:rsidRDefault="009F27B2" w:rsidP="006E34D2">
      <w:pPr>
        <w:spacing w:after="0" w:line="360" w:lineRule="auto"/>
        <w:ind w:firstLine="706"/>
        <w:jc w:val="both"/>
        <w:rPr>
          <w:rFonts w:cs="Times New Roman"/>
          <w:lang w:val="en-US"/>
        </w:rPr>
      </w:pPr>
      <w:r w:rsidRPr="006E34D2">
        <w:rPr>
          <w:rFonts w:eastAsia="Times New Roman" w:cs="Times New Roman"/>
          <w:lang w:val="en-US"/>
        </w:rPr>
        <w:t>Complete territorial outputs are provided in Supplementary Data Files S1–S3: annual testing intensity by health macroregion (S1), weekly testing intensity by health macroregion (S2), and local indicators of spatial association for testing intensity (S3).</w:t>
      </w:r>
    </w:p>
    <w:p w14:paraId="54EF9DBF" w14:textId="0262BF70" w:rsidR="00C47D25" w:rsidRPr="0045473D" w:rsidRDefault="00C47D25" w:rsidP="0045473D">
      <w:pPr>
        <w:keepNext/>
        <w:spacing w:before="160" w:after="60" w:line="276" w:lineRule="auto"/>
        <w:jc w:val="both"/>
        <w:rPr>
          <w:rFonts w:cs="Times New Roman"/>
          <w:lang w:val="en-US"/>
        </w:rPr>
      </w:pPr>
      <w:r w:rsidRPr="006E34D2">
        <w:rPr>
          <w:rFonts w:eastAsia="Times New Roman" w:cs="Times New Roman"/>
          <w:b/>
          <w:lang w:val="en-US"/>
        </w:rPr>
        <w:t>Supplementary Method S5. Bayesian age-specific peak timing and lead-lag analysis</w:t>
      </w:r>
    </w:p>
    <w:p w14:paraId="69438645" w14:textId="77777777" w:rsidR="00677A63" w:rsidRPr="0045473D" w:rsidRDefault="00677A63" w:rsidP="006E34D2">
      <w:pPr>
        <w:spacing w:after="0" w:line="360" w:lineRule="auto"/>
        <w:ind w:firstLine="706"/>
        <w:jc w:val="both"/>
        <w:rPr>
          <w:rFonts w:cs="Times New Roman"/>
          <w:lang w:val="en-US"/>
        </w:rPr>
      </w:pPr>
      <w:r w:rsidRPr="006E34D2">
        <w:rPr>
          <w:rFonts w:eastAsia="Times New Roman" w:cs="Times New Roman"/>
          <w:lang w:val="en-US"/>
        </w:rPr>
        <w:t>Bayesian modelling estimated age-specific weekly RSV positivity trajectories and uncertainty in annual peak timing. Counts of RSV-detectable and valid RSV-tested samples were aggregated by ISO week and age group using symptom onset as the primary reference date and sample collection when onset was unavailable. Age groups were &lt;5, 5–17, 18–59, 60–79, and ≥80 years.</w:t>
      </w:r>
    </w:p>
    <w:p w14:paraId="634B7B4A" w14:textId="723A6216" w:rsidR="00677A63" w:rsidRPr="006E34D2" w:rsidRDefault="001778CA" w:rsidP="006E34D2">
      <w:pPr>
        <w:spacing w:after="0" w:line="360" w:lineRule="auto"/>
        <w:ind w:firstLine="706"/>
        <w:jc w:val="both"/>
        <w:rPr>
          <w:rFonts w:eastAsia="Times New Roman" w:cs="Times New Roman"/>
          <w:lang w:val="en-US"/>
        </w:rPr>
      </w:pPr>
      <w:r w:rsidRPr="006E34D2">
        <w:rPr>
          <w:rFonts w:eastAsia="Times New Roman" w:cs="Times New Roman"/>
          <w:lang w:val="en-US"/>
        </w:rPr>
        <w:t xml:space="preserve">A beta-binomial observation model accounted for extra-binomial variation. </w:t>
      </w:r>
      <w:r w:rsidR="00691223" w:rsidRPr="006E34D2">
        <w:rPr>
          <w:rFonts w:eastAsia="Times New Roman" w:cs="Times New Roman"/>
          <w:lang w:val="en-US"/>
        </w:rPr>
        <w:t xml:space="preserve">The temporal spline specification used 14 degrees of freedom, yielding 15 columns in the corresponding design matrix used </w:t>
      </w:r>
      <w:r w:rsidR="00691223" w:rsidRPr="006E34D2">
        <w:rPr>
          <w:rFonts w:eastAsia="Times New Roman" w:cs="Times New Roman"/>
          <w:lang w:val="en-US"/>
        </w:rPr>
        <w:lastRenderedPageBreak/>
        <w:t xml:space="preserve">by the age-stratified model. </w:t>
      </w:r>
      <w:r w:rsidRPr="006E34D2">
        <w:rPr>
          <w:rFonts w:eastAsia="Times New Roman" w:cs="Times New Roman"/>
          <w:lang w:val="en-US"/>
        </w:rPr>
        <w:t xml:space="preserve">Spline-based temporal components represented smooth changes in RSV positivity across the study period, with annual harmonic terms and age-specific deviations allowing seasonal trajectories to vary among age groups. </w:t>
      </w:r>
      <w:r w:rsidR="00677A63" w:rsidRPr="006E34D2">
        <w:rPr>
          <w:rFonts w:eastAsia="Times New Roman" w:cs="Times New Roman"/>
          <w:lang w:val="en-US"/>
        </w:rPr>
        <w:t>For each posterior draw, year, and age group, the peak week was the week with the highest estimated positivity. Posterior peak summaries were derived from the resulting distribution of peak weeks.</w:t>
      </w:r>
    </w:p>
    <w:p w14:paraId="15222093" w14:textId="7AC646DE" w:rsidR="001F4573" w:rsidRPr="0045473D" w:rsidRDefault="006C078D" w:rsidP="006E34D2">
      <w:pPr>
        <w:spacing w:after="0" w:line="360" w:lineRule="auto"/>
        <w:ind w:firstLine="706"/>
        <w:jc w:val="both"/>
        <w:rPr>
          <w:rFonts w:cs="Times New Roman"/>
          <w:lang w:val="en-US"/>
        </w:rPr>
      </w:pPr>
      <w:r w:rsidRPr="0045473D">
        <w:rPr>
          <w:rFonts w:cs="Times New Roman"/>
          <w:lang w:val="en-US"/>
        </w:rPr>
        <w:t xml:space="preserve">The age-stratified model used a logit link with a global intercept, a global spline-based temporal component, age-specific intercept deviations, age-specific spline deviations, and annual sine and cosine terms with both global and age-specific coefficients. Weakly regularizing priors were used throughout. The global intercept followed a </w:t>
      </w:r>
      <w:r w:rsidR="006E34D2" w:rsidRPr="0045473D">
        <w:rPr>
          <w:rFonts w:cs="Times New Roman"/>
          <w:lang w:val="en-US"/>
        </w:rPr>
        <w:t>Normal (</w:t>
      </w:r>
      <w:r w:rsidRPr="0045473D">
        <w:rPr>
          <w:rFonts w:cs="Times New Roman"/>
          <w:lang w:val="en-US"/>
        </w:rPr>
        <w:t xml:space="preserve">0, 2.5) prior. The scale of the global spline coefficients followed an Exponential(1) prior, with spline coefficients conditionally distributed as </w:t>
      </w:r>
      <w:r w:rsidR="006E34D2" w:rsidRPr="0045473D">
        <w:rPr>
          <w:rFonts w:cs="Times New Roman"/>
          <w:lang w:val="en-US"/>
        </w:rPr>
        <w:t>Normal (</w:t>
      </w:r>
      <w:r w:rsidRPr="0045473D">
        <w:rPr>
          <w:rFonts w:cs="Times New Roman"/>
          <w:lang w:val="en-US"/>
        </w:rPr>
        <w:t xml:space="preserve">0, σ). Age-specific intercept and spline deviations were specified using non-centred parameterizations with Exponential(1) priors on their scale parameters and standard Normal priors on the corresponding latent effects. Global sine and cosine coefficients followed </w:t>
      </w:r>
      <w:r w:rsidR="006E34D2" w:rsidRPr="0045473D">
        <w:rPr>
          <w:rFonts w:cs="Times New Roman"/>
          <w:lang w:val="en-US"/>
        </w:rPr>
        <w:t>Normal (</w:t>
      </w:r>
      <w:r w:rsidRPr="0045473D">
        <w:rPr>
          <w:rFonts w:cs="Times New Roman"/>
          <w:lang w:val="en-US"/>
        </w:rPr>
        <w:t>0, 1) priors, whereas age-specific sine and cosine deviations followed Normal(0, 0.5) priors. The beta-binomial precision parameter was modelled hierarchically by age group on the log scale, with a Normal(</w:t>
      </w:r>
      <w:r w:rsidR="006E34D2" w:rsidRPr="0045473D">
        <w:rPr>
          <w:rFonts w:cs="Times New Roman"/>
          <w:lang w:val="en-US"/>
        </w:rPr>
        <w:t>log (</w:t>
      </w:r>
      <w:r w:rsidRPr="0045473D">
        <w:rPr>
          <w:rFonts w:cs="Times New Roman"/>
          <w:lang w:val="en-US"/>
        </w:rPr>
        <w:t>30), 1) prior for the population-level log-precision, an Exponential(1) prior for its between-age-group standard deviation, and standard Normal latent age-group deviations.</w:t>
      </w:r>
    </w:p>
    <w:p w14:paraId="0166F0CD" w14:textId="4CAEBCD9" w:rsidR="00353871" w:rsidRPr="0045473D" w:rsidRDefault="00353871" w:rsidP="006E34D2">
      <w:pPr>
        <w:spacing w:after="0" w:line="360" w:lineRule="auto"/>
        <w:ind w:firstLine="706"/>
        <w:jc w:val="both"/>
        <w:rPr>
          <w:rFonts w:cs="Times New Roman"/>
          <w:lang w:val="en-US"/>
        </w:rPr>
      </w:pPr>
      <w:r w:rsidRPr="006E34D2">
        <w:rPr>
          <w:rFonts w:eastAsia="Times New Roman" w:cs="Times New Roman"/>
          <w:lang w:val="en-US"/>
        </w:rPr>
        <w:t>Within each posterior draw and year, the earliest peak identified the first age group to peak. When groups tied for the earliest week, the probability contribution was divided equally among them.</w:t>
      </w:r>
    </w:p>
    <w:p w14:paraId="77257B83" w14:textId="129BAB4E" w:rsidR="00677A63" w:rsidRPr="006E34D2" w:rsidRDefault="00677A63" w:rsidP="006E34D2">
      <w:pPr>
        <w:spacing w:after="0" w:line="360" w:lineRule="auto"/>
        <w:ind w:firstLine="706"/>
        <w:jc w:val="both"/>
        <w:rPr>
          <w:rFonts w:eastAsia="Times New Roman" w:cs="Times New Roman"/>
          <w:lang w:val="en-US"/>
        </w:rPr>
      </w:pPr>
      <w:r w:rsidRPr="006E34D2">
        <w:rPr>
          <w:rFonts w:eastAsia="Times New Roman" w:cs="Times New Roman"/>
          <w:lang w:val="en-US"/>
        </w:rPr>
        <w:t xml:space="preserve">Pairwise posterior comparisons quantified lead-lag intervals. </w:t>
      </w:r>
      <w:r w:rsidR="000E3192" w:rsidRPr="006E34D2">
        <w:rPr>
          <w:rFonts w:eastAsia="Times New Roman" w:cs="Times New Roman"/>
          <w:lang w:val="en-US"/>
        </w:rPr>
        <w:t>Primary comparisons contrasted children aged &lt;5 years with adult and older-adult groups, reflecting the study objective of assessing whether RSV positivity peaked earlier in young children than in older age groups. Comparisons with the 5–17-year group were treated as secondary.</w:t>
      </w:r>
    </w:p>
    <w:p w14:paraId="6683E063" w14:textId="27A1B7C8" w:rsidR="00881B43" w:rsidRPr="0045473D" w:rsidRDefault="00C10836" w:rsidP="006E34D2">
      <w:pPr>
        <w:spacing w:after="0" w:line="360" w:lineRule="auto"/>
        <w:ind w:firstLine="706"/>
        <w:jc w:val="both"/>
        <w:rPr>
          <w:rFonts w:cs="Times New Roman"/>
          <w:lang w:val="en-US"/>
        </w:rPr>
      </w:pPr>
      <w:r w:rsidRPr="0045473D">
        <w:rPr>
          <w:rFonts w:cs="Times New Roman"/>
          <w:lang w:val="en-US"/>
        </w:rPr>
        <w:t>As a complementary analysis, a reference series was constructed by aggregating all valid RSV-tested samples from age groups other than children aged &lt;5 years. Peak timing in children aged &lt;5 years was compared with this reference series to provide an overall age-complement comparison while avoiding a part–whole comparison in which the focal &lt;5-year group contributed to both trajectories. These results are reported in Table S8 and were interpreted as complementary to the pairwise age-group comparisons.</w:t>
      </w:r>
    </w:p>
    <w:p w14:paraId="7375D1A4" w14:textId="2399B1A7" w:rsidR="004A56E8" w:rsidRPr="006E34D2" w:rsidRDefault="00677A63" w:rsidP="006E34D2">
      <w:pPr>
        <w:spacing w:after="0" w:line="360" w:lineRule="auto"/>
        <w:ind w:firstLine="706"/>
        <w:jc w:val="both"/>
        <w:rPr>
          <w:rFonts w:eastAsia="Times New Roman" w:cs="Times New Roman"/>
          <w:lang w:val="en-US"/>
        </w:rPr>
      </w:pPr>
      <w:r w:rsidRPr="006E34D2">
        <w:rPr>
          <w:rFonts w:eastAsia="Times New Roman" w:cs="Times New Roman"/>
          <w:lang w:val="en-US"/>
        </w:rPr>
        <w:t xml:space="preserve">The model provides a retrospective, uncertainty-aware assessment of surveillance timing. It does not establish causal transmission between age groups, estimate population incidence, or constitute a validated prospective forecasting system. Estimates for 2021 require </w:t>
      </w:r>
      <w:r w:rsidR="006E34D2" w:rsidRPr="006E34D2">
        <w:rPr>
          <w:rFonts w:eastAsia="Times New Roman" w:cs="Times New Roman"/>
          <w:lang w:val="en-US"/>
        </w:rPr>
        <w:t>caution</w:t>
      </w:r>
      <w:r w:rsidRPr="006E34D2">
        <w:rPr>
          <w:rFonts w:eastAsia="Times New Roman" w:cs="Times New Roman"/>
          <w:lang w:val="en-US"/>
        </w:rPr>
        <w:t xml:space="preserve"> because peaks near the year boundary make lead-lag comparisons sensitive to the analytical window.</w:t>
      </w:r>
    </w:p>
    <w:p w14:paraId="52DA9E68" w14:textId="50C278D0" w:rsidR="006455AB" w:rsidRPr="0045473D" w:rsidRDefault="004A56E8" w:rsidP="006E34D2">
      <w:pPr>
        <w:spacing w:after="0" w:line="360" w:lineRule="auto"/>
        <w:jc w:val="both"/>
        <w:rPr>
          <w:rFonts w:cs="Times New Roman"/>
          <w:lang w:val="en-US"/>
        </w:rPr>
      </w:pPr>
      <w:r w:rsidRPr="006E34D2">
        <w:rPr>
          <w:rFonts w:eastAsia="Times New Roman" w:cs="Times New Roman"/>
          <w:lang w:val="en-US"/>
        </w:rPr>
        <w:br w:type="column"/>
      </w:r>
      <w:r w:rsidR="00677A63" w:rsidRPr="006E34D2">
        <w:rPr>
          <w:rFonts w:eastAsia="Times New Roman" w:cs="Times New Roman"/>
          <w:b/>
          <w:lang w:val="en-US"/>
        </w:rPr>
        <w:lastRenderedPageBreak/>
        <w:t>Table S6. Bayesian model specification, diagnostics, and posterior predictive checks.</w:t>
      </w:r>
    </w:p>
    <w:tbl>
      <w:tblPr>
        <w:tblW w:w="9032" w:type="dxa"/>
        <w:tblCellMar>
          <w:left w:w="70" w:type="dxa"/>
          <w:right w:w="70" w:type="dxa"/>
        </w:tblCellMar>
        <w:tblLook w:val="04A0" w:firstRow="1" w:lastRow="0" w:firstColumn="1" w:lastColumn="0" w:noHBand="0" w:noVBand="1"/>
      </w:tblPr>
      <w:tblGrid>
        <w:gridCol w:w="2591"/>
        <w:gridCol w:w="1912"/>
        <w:gridCol w:w="4529"/>
      </w:tblGrid>
      <w:tr w:rsidR="00DF0117" w:rsidRPr="006E34D2" w14:paraId="7A032B5B" w14:textId="77777777" w:rsidTr="00DF0117">
        <w:trPr>
          <w:cantSplit/>
          <w:trHeight w:val="137"/>
          <w:tblHeader/>
        </w:trPr>
        <w:tc>
          <w:tcPr>
            <w:tcW w:w="2591" w:type="dxa"/>
            <w:tcBorders>
              <w:top w:val="nil"/>
              <w:left w:val="nil"/>
              <w:bottom w:val="nil"/>
              <w:right w:val="nil"/>
            </w:tcBorders>
            <w:vAlign w:val="center"/>
            <w:hideMark/>
          </w:tcPr>
          <w:p w14:paraId="1DC2F07A"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b/>
                <w:color w:val="000000"/>
                <w:kern w:val="0"/>
                <w:sz w:val="19"/>
                <w:szCs w:val="22"/>
                <w:lang w:val="en-US"/>
                <w14:ligatures w14:val="none"/>
              </w:rPr>
              <w:t>Metric</w:t>
            </w:r>
          </w:p>
        </w:tc>
        <w:tc>
          <w:tcPr>
            <w:tcW w:w="1912" w:type="dxa"/>
            <w:tcBorders>
              <w:top w:val="nil"/>
              <w:left w:val="nil"/>
              <w:bottom w:val="nil"/>
              <w:right w:val="nil"/>
            </w:tcBorders>
            <w:vAlign w:val="center"/>
            <w:hideMark/>
          </w:tcPr>
          <w:p w14:paraId="5A904BCA"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b/>
                <w:color w:val="000000"/>
                <w:kern w:val="0"/>
                <w:sz w:val="19"/>
                <w:szCs w:val="22"/>
                <w:lang w:val="en-US"/>
                <w14:ligatures w14:val="none"/>
              </w:rPr>
              <w:t>Value</w:t>
            </w:r>
          </w:p>
        </w:tc>
        <w:tc>
          <w:tcPr>
            <w:tcW w:w="4529" w:type="dxa"/>
            <w:tcBorders>
              <w:top w:val="nil"/>
              <w:left w:val="nil"/>
              <w:bottom w:val="nil"/>
              <w:right w:val="nil"/>
            </w:tcBorders>
            <w:vAlign w:val="center"/>
            <w:hideMark/>
          </w:tcPr>
          <w:p w14:paraId="6CB86B8F"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b/>
                <w:color w:val="000000"/>
                <w:kern w:val="0"/>
                <w:sz w:val="19"/>
                <w:szCs w:val="22"/>
                <w:lang w:val="en-US"/>
                <w14:ligatures w14:val="none"/>
              </w:rPr>
              <w:t>Interpretation</w:t>
            </w:r>
          </w:p>
        </w:tc>
      </w:tr>
      <w:tr w:rsidR="00DF0117" w:rsidRPr="006E34D2" w14:paraId="325BFB03" w14:textId="77777777" w:rsidTr="00DF0117">
        <w:trPr>
          <w:cantSplit/>
          <w:trHeight w:val="553"/>
        </w:trPr>
        <w:tc>
          <w:tcPr>
            <w:tcW w:w="2591" w:type="dxa"/>
            <w:tcBorders>
              <w:top w:val="nil"/>
              <w:left w:val="nil"/>
              <w:bottom w:val="nil"/>
              <w:right w:val="nil"/>
            </w:tcBorders>
            <w:vAlign w:val="center"/>
            <w:hideMark/>
          </w:tcPr>
          <w:p w14:paraId="66A33D2A"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Analytical period</w:t>
            </w:r>
          </w:p>
        </w:tc>
        <w:tc>
          <w:tcPr>
            <w:tcW w:w="1912" w:type="dxa"/>
            <w:tcBorders>
              <w:top w:val="nil"/>
              <w:left w:val="nil"/>
              <w:bottom w:val="nil"/>
              <w:right w:val="nil"/>
            </w:tcBorders>
            <w:vAlign w:val="center"/>
            <w:hideMark/>
          </w:tcPr>
          <w:p w14:paraId="1F6E5EE2"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2021–2025</w:t>
            </w:r>
          </w:p>
        </w:tc>
        <w:tc>
          <w:tcPr>
            <w:tcW w:w="4529" w:type="dxa"/>
            <w:tcBorders>
              <w:top w:val="nil"/>
              <w:left w:val="nil"/>
              <w:bottom w:val="nil"/>
              <w:right w:val="nil"/>
            </w:tcBorders>
            <w:vAlign w:val="center"/>
            <w:hideMark/>
          </w:tcPr>
          <w:p w14:paraId="683AC9C8"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ISO epidemiological years included in the Bayesian analysis</w:t>
            </w:r>
          </w:p>
        </w:tc>
      </w:tr>
      <w:tr w:rsidR="00DF0117" w:rsidRPr="006E34D2" w14:paraId="0E321B4A" w14:textId="77777777" w:rsidTr="00DF0117">
        <w:trPr>
          <w:cantSplit/>
          <w:trHeight w:val="484"/>
        </w:trPr>
        <w:tc>
          <w:tcPr>
            <w:tcW w:w="2591" w:type="dxa"/>
            <w:tcBorders>
              <w:top w:val="nil"/>
              <w:left w:val="nil"/>
              <w:bottom w:val="nil"/>
              <w:right w:val="nil"/>
            </w:tcBorders>
            <w:vAlign w:val="center"/>
            <w:hideMark/>
          </w:tcPr>
          <w:p w14:paraId="0DB97783"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Time reference</w:t>
            </w:r>
          </w:p>
        </w:tc>
        <w:tc>
          <w:tcPr>
            <w:tcW w:w="1912" w:type="dxa"/>
            <w:tcBorders>
              <w:top w:val="nil"/>
              <w:left w:val="nil"/>
              <w:bottom w:val="nil"/>
              <w:right w:val="nil"/>
            </w:tcBorders>
            <w:vAlign w:val="center"/>
            <w:hideMark/>
          </w:tcPr>
          <w:p w14:paraId="1F2A92C4" w14:textId="1B9D5965" w:rsidR="00DF0117" w:rsidRPr="0045473D" w:rsidRDefault="006E0FAC"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Symptom onset; otherwise, sample collection</w:t>
            </w:r>
          </w:p>
        </w:tc>
        <w:tc>
          <w:tcPr>
            <w:tcW w:w="4529" w:type="dxa"/>
            <w:tcBorders>
              <w:top w:val="nil"/>
              <w:left w:val="nil"/>
              <w:bottom w:val="nil"/>
              <w:right w:val="nil"/>
            </w:tcBorders>
            <w:vAlign w:val="center"/>
            <w:hideMark/>
          </w:tcPr>
          <w:p w14:paraId="3F4D2931" w14:textId="0EFB98E4" w:rsidR="00DF0117" w:rsidRPr="0045473D" w:rsidRDefault="00C563AC"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Date hierarchy used for weekly aggregation</w:t>
            </w:r>
          </w:p>
        </w:tc>
      </w:tr>
      <w:tr w:rsidR="00DF0117" w:rsidRPr="006E34D2" w14:paraId="7FC8EF76" w14:textId="77777777" w:rsidTr="00DF0117">
        <w:trPr>
          <w:cantSplit/>
          <w:trHeight w:val="484"/>
        </w:trPr>
        <w:tc>
          <w:tcPr>
            <w:tcW w:w="2591" w:type="dxa"/>
            <w:tcBorders>
              <w:top w:val="nil"/>
              <w:left w:val="nil"/>
              <w:bottom w:val="nil"/>
              <w:right w:val="nil"/>
            </w:tcBorders>
            <w:vAlign w:val="center"/>
            <w:hideMark/>
          </w:tcPr>
          <w:p w14:paraId="334D9B3C"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Valid RSV-tested samples, n</w:t>
            </w:r>
          </w:p>
        </w:tc>
        <w:tc>
          <w:tcPr>
            <w:tcW w:w="1912" w:type="dxa"/>
            <w:tcBorders>
              <w:top w:val="nil"/>
              <w:left w:val="nil"/>
              <w:bottom w:val="nil"/>
              <w:right w:val="nil"/>
            </w:tcBorders>
            <w:vAlign w:val="center"/>
            <w:hideMark/>
          </w:tcPr>
          <w:p w14:paraId="43490CDC"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134,235</w:t>
            </w:r>
          </w:p>
        </w:tc>
        <w:tc>
          <w:tcPr>
            <w:tcW w:w="4529" w:type="dxa"/>
            <w:tcBorders>
              <w:top w:val="nil"/>
              <w:left w:val="nil"/>
              <w:bottom w:val="nil"/>
              <w:right w:val="nil"/>
            </w:tcBorders>
            <w:vAlign w:val="center"/>
            <w:hideMark/>
          </w:tcPr>
          <w:p w14:paraId="647F395F"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Records included in the RSV positivity denominator</w:t>
            </w:r>
          </w:p>
        </w:tc>
      </w:tr>
      <w:tr w:rsidR="00DF0117" w:rsidRPr="006E34D2" w14:paraId="40290908" w14:textId="77777777" w:rsidTr="00DF0117">
        <w:trPr>
          <w:cantSplit/>
          <w:trHeight w:val="415"/>
        </w:trPr>
        <w:tc>
          <w:tcPr>
            <w:tcW w:w="2591" w:type="dxa"/>
            <w:tcBorders>
              <w:top w:val="nil"/>
              <w:left w:val="nil"/>
              <w:bottom w:val="nil"/>
              <w:right w:val="nil"/>
            </w:tcBorders>
            <w:vAlign w:val="center"/>
            <w:hideMark/>
          </w:tcPr>
          <w:p w14:paraId="5A978F08"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RSV-detectable samples, n</w:t>
            </w:r>
          </w:p>
        </w:tc>
        <w:tc>
          <w:tcPr>
            <w:tcW w:w="1912" w:type="dxa"/>
            <w:tcBorders>
              <w:top w:val="nil"/>
              <w:left w:val="nil"/>
              <w:bottom w:val="nil"/>
              <w:right w:val="nil"/>
            </w:tcBorders>
            <w:vAlign w:val="center"/>
            <w:hideMark/>
          </w:tcPr>
          <w:p w14:paraId="035707D7"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11,713</w:t>
            </w:r>
          </w:p>
        </w:tc>
        <w:tc>
          <w:tcPr>
            <w:tcW w:w="4529" w:type="dxa"/>
            <w:tcBorders>
              <w:top w:val="nil"/>
              <w:left w:val="nil"/>
              <w:bottom w:val="nil"/>
              <w:right w:val="nil"/>
            </w:tcBorders>
            <w:vAlign w:val="center"/>
            <w:hideMark/>
          </w:tcPr>
          <w:p w14:paraId="3CD48618"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Detectable RSV samples included in the model</w:t>
            </w:r>
          </w:p>
        </w:tc>
      </w:tr>
      <w:tr w:rsidR="00DF0117" w:rsidRPr="006E34D2" w14:paraId="2E194E0B" w14:textId="77777777" w:rsidTr="00DF0117">
        <w:trPr>
          <w:cantSplit/>
          <w:trHeight w:val="553"/>
        </w:trPr>
        <w:tc>
          <w:tcPr>
            <w:tcW w:w="2591" w:type="dxa"/>
            <w:tcBorders>
              <w:top w:val="nil"/>
              <w:left w:val="nil"/>
              <w:bottom w:val="nil"/>
              <w:right w:val="nil"/>
            </w:tcBorders>
            <w:vAlign w:val="center"/>
            <w:hideMark/>
          </w:tcPr>
          <w:p w14:paraId="014C483C"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Weekly observations, n</w:t>
            </w:r>
          </w:p>
        </w:tc>
        <w:tc>
          <w:tcPr>
            <w:tcW w:w="1912" w:type="dxa"/>
            <w:tcBorders>
              <w:top w:val="nil"/>
              <w:left w:val="nil"/>
              <w:bottom w:val="nil"/>
              <w:right w:val="nil"/>
            </w:tcBorders>
            <w:vAlign w:val="center"/>
            <w:hideMark/>
          </w:tcPr>
          <w:p w14:paraId="667BCE7B"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260</w:t>
            </w:r>
          </w:p>
        </w:tc>
        <w:tc>
          <w:tcPr>
            <w:tcW w:w="4529" w:type="dxa"/>
            <w:tcBorders>
              <w:top w:val="nil"/>
              <w:left w:val="nil"/>
              <w:bottom w:val="nil"/>
              <w:right w:val="nil"/>
            </w:tcBorders>
            <w:vAlign w:val="center"/>
            <w:hideMark/>
          </w:tcPr>
          <w:p w14:paraId="36AD36BA" w14:textId="40BCD2A3" w:rsidR="00DF0117" w:rsidRPr="0045473D" w:rsidRDefault="00F16A2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Weekly analytical time points retained in the overall model</w:t>
            </w:r>
          </w:p>
        </w:tc>
      </w:tr>
      <w:tr w:rsidR="00DF0117" w:rsidRPr="006E34D2" w14:paraId="3246C14C" w14:textId="77777777" w:rsidTr="00DF0117">
        <w:trPr>
          <w:cantSplit/>
          <w:trHeight w:val="415"/>
        </w:trPr>
        <w:tc>
          <w:tcPr>
            <w:tcW w:w="2591" w:type="dxa"/>
            <w:tcBorders>
              <w:top w:val="nil"/>
              <w:left w:val="nil"/>
              <w:bottom w:val="nil"/>
              <w:right w:val="nil"/>
            </w:tcBorders>
            <w:vAlign w:val="center"/>
            <w:hideMark/>
          </w:tcPr>
          <w:p w14:paraId="1BD3D8FC"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Age-group observations, n</w:t>
            </w:r>
          </w:p>
        </w:tc>
        <w:tc>
          <w:tcPr>
            <w:tcW w:w="1912" w:type="dxa"/>
            <w:tcBorders>
              <w:top w:val="nil"/>
              <w:left w:val="nil"/>
              <w:bottom w:val="nil"/>
              <w:right w:val="nil"/>
            </w:tcBorders>
            <w:vAlign w:val="center"/>
            <w:hideMark/>
          </w:tcPr>
          <w:p w14:paraId="2937FEFC"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1,305</w:t>
            </w:r>
          </w:p>
        </w:tc>
        <w:tc>
          <w:tcPr>
            <w:tcW w:w="4529" w:type="dxa"/>
            <w:tcBorders>
              <w:top w:val="nil"/>
              <w:left w:val="nil"/>
              <w:bottom w:val="nil"/>
              <w:right w:val="nil"/>
            </w:tcBorders>
            <w:vAlign w:val="center"/>
            <w:hideMark/>
          </w:tcPr>
          <w:p w14:paraId="643DCF4E" w14:textId="57E3598B" w:rsidR="00DF0117" w:rsidRPr="0045473D" w:rsidRDefault="0054602F"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Weekly observations in the age-stratified model (261 weeks × 5 age groups)</w:t>
            </w:r>
          </w:p>
        </w:tc>
      </w:tr>
      <w:tr w:rsidR="00DF0117" w:rsidRPr="006E34D2" w14:paraId="02E020BC" w14:textId="77777777" w:rsidTr="00DF0117">
        <w:trPr>
          <w:cantSplit/>
          <w:trHeight w:val="345"/>
        </w:trPr>
        <w:tc>
          <w:tcPr>
            <w:tcW w:w="2591" w:type="dxa"/>
            <w:tcBorders>
              <w:top w:val="nil"/>
              <w:left w:val="nil"/>
              <w:bottom w:val="nil"/>
              <w:right w:val="nil"/>
            </w:tcBorders>
            <w:vAlign w:val="center"/>
            <w:hideMark/>
          </w:tcPr>
          <w:p w14:paraId="5F7251E8"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Age groups, n</w:t>
            </w:r>
          </w:p>
        </w:tc>
        <w:tc>
          <w:tcPr>
            <w:tcW w:w="1912" w:type="dxa"/>
            <w:tcBorders>
              <w:top w:val="nil"/>
              <w:left w:val="nil"/>
              <w:bottom w:val="nil"/>
              <w:right w:val="nil"/>
            </w:tcBorders>
            <w:vAlign w:val="center"/>
            <w:hideMark/>
          </w:tcPr>
          <w:p w14:paraId="3FBD0E31"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5</w:t>
            </w:r>
          </w:p>
        </w:tc>
        <w:tc>
          <w:tcPr>
            <w:tcW w:w="4529" w:type="dxa"/>
            <w:tcBorders>
              <w:top w:val="nil"/>
              <w:left w:val="nil"/>
              <w:bottom w:val="nil"/>
              <w:right w:val="nil"/>
            </w:tcBorders>
            <w:vAlign w:val="center"/>
            <w:hideMark/>
          </w:tcPr>
          <w:p w14:paraId="52D650A1"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&lt;5, 5–17, 18–59, 60–79, and ≥80 years</w:t>
            </w:r>
          </w:p>
        </w:tc>
      </w:tr>
      <w:tr w:rsidR="00DF0117" w:rsidRPr="006E34D2" w14:paraId="33356CC6" w14:textId="77777777" w:rsidTr="00DF0117">
        <w:trPr>
          <w:cantSplit/>
          <w:trHeight w:val="415"/>
        </w:trPr>
        <w:tc>
          <w:tcPr>
            <w:tcW w:w="2591" w:type="dxa"/>
            <w:tcBorders>
              <w:top w:val="nil"/>
              <w:left w:val="nil"/>
              <w:bottom w:val="nil"/>
              <w:right w:val="nil"/>
            </w:tcBorders>
            <w:vAlign w:val="center"/>
            <w:hideMark/>
          </w:tcPr>
          <w:p w14:paraId="6B54838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Observation model</w:t>
            </w:r>
          </w:p>
        </w:tc>
        <w:tc>
          <w:tcPr>
            <w:tcW w:w="1912" w:type="dxa"/>
            <w:tcBorders>
              <w:top w:val="nil"/>
              <w:left w:val="nil"/>
              <w:bottom w:val="nil"/>
              <w:right w:val="nil"/>
            </w:tcBorders>
            <w:vAlign w:val="center"/>
            <w:hideMark/>
          </w:tcPr>
          <w:p w14:paraId="24465A2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Beta-binomial</w:t>
            </w:r>
          </w:p>
        </w:tc>
        <w:tc>
          <w:tcPr>
            <w:tcW w:w="4529" w:type="dxa"/>
            <w:tcBorders>
              <w:top w:val="nil"/>
              <w:left w:val="nil"/>
              <w:bottom w:val="nil"/>
              <w:right w:val="nil"/>
            </w:tcBorders>
            <w:vAlign w:val="center"/>
            <w:hideMark/>
          </w:tcPr>
          <w:p w14:paraId="39FCD2F2"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Model used to account for extra-binomial variation</w:t>
            </w:r>
          </w:p>
        </w:tc>
      </w:tr>
      <w:tr w:rsidR="00DF0117" w:rsidRPr="006E34D2" w14:paraId="186507FE" w14:textId="77777777" w:rsidTr="00DF0117">
        <w:trPr>
          <w:cantSplit/>
          <w:trHeight w:val="207"/>
        </w:trPr>
        <w:tc>
          <w:tcPr>
            <w:tcW w:w="2591" w:type="dxa"/>
            <w:tcBorders>
              <w:top w:val="nil"/>
              <w:left w:val="nil"/>
              <w:bottom w:val="nil"/>
              <w:right w:val="nil"/>
            </w:tcBorders>
            <w:vAlign w:val="center"/>
            <w:hideMark/>
          </w:tcPr>
          <w:p w14:paraId="239AC01F"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MCMC chains, n</w:t>
            </w:r>
          </w:p>
        </w:tc>
        <w:tc>
          <w:tcPr>
            <w:tcW w:w="1912" w:type="dxa"/>
            <w:tcBorders>
              <w:top w:val="nil"/>
              <w:left w:val="nil"/>
              <w:bottom w:val="nil"/>
              <w:right w:val="nil"/>
            </w:tcBorders>
            <w:vAlign w:val="center"/>
            <w:hideMark/>
          </w:tcPr>
          <w:p w14:paraId="02C93716"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4</w:t>
            </w:r>
          </w:p>
        </w:tc>
        <w:tc>
          <w:tcPr>
            <w:tcW w:w="4529" w:type="dxa"/>
            <w:tcBorders>
              <w:top w:val="nil"/>
              <w:left w:val="nil"/>
              <w:bottom w:val="nil"/>
              <w:right w:val="nil"/>
            </w:tcBorders>
            <w:vAlign w:val="center"/>
            <w:hideMark/>
          </w:tcPr>
          <w:p w14:paraId="7C5307F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Independent Markov chains</w:t>
            </w:r>
          </w:p>
        </w:tc>
      </w:tr>
      <w:tr w:rsidR="00DF0117" w:rsidRPr="006E34D2" w14:paraId="7B657FC8" w14:textId="77777777" w:rsidTr="00DF0117">
        <w:trPr>
          <w:cantSplit/>
          <w:trHeight w:val="415"/>
        </w:trPr>
        <w:tc>
          <w:tcPr>
            <w:tcW w:w="2591" w:type="dxa"/>
            <w:tcBorders>
              <w:top w:val="nil"/>
              <w:left w:val="nil"/>
              <w:bottom w:val="nil"/>
              <w:right w:val="nil"/>
            </w:tcBorders>
            <w:vAlign w:val="center"/>
            <w:hideMark/>
          </w:tcPr>
          <w:p w14:paraId="76F0587D"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Posterior draws per chain, n</w:t>
            </w:r>
          </w:p>
        </w:tc>
        <w:tc>
          <w:tcPr>
            <w:tcW w:w="1912" w:type="dxa"/>
            <w:tcBorders>
              <w:top w:val="nil"/>
              <w:left w:val="nil"/>
              <w:bottom w:val="nil"/>
              <w:right w:val="nil"/>
            </w:tcBorders>
            <w:vAlign w:val="center"/>
            <w:hideMark/>
          </w:tcPr>
          <w:p w14:paraId="7D7F9C9B" w14:textId="5593D13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1,2</w:t>
            </w:r>
            <w:r w:rsidR="007D1266" w:rsidRPr="006E34D2">
              <w:rPr>
                <w:rFonts w:eastAsia="Times New Roman" w:cs="Times New Roman"/>
                <w:color w:val="000000"/>
                <w:kern w:val="0"/>
                <w:sz w:val="19"/>
                <w:szCs w:val="22"/>
                <w:lang w:val="en-US"/>
                <w14:ligatures w14:val="none"/>
              </w:rPr>
              <w:t>00</w:t>
            </w:r>
          </w:p>
        </w:tc>
        <w:tc>
          <w:tcPr>
            <w:tcW w:w="4529" w:type="dxa"/>
            <w:tcBorders>
              <w:top w:val="nil"/>
              <w:left w:val="nil"/>
              <w:bottom w:val="nil"/>
              <w:right w:val="nil"/>
            </w:tcBorders>
            <w:vAlign w:val="center"/>
            <w:hideMark/>
          </w:tcPr>
          <w:p w14:paraId="23A7E769"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Retained posterior draws per chain</w:t>
            </w:r>
          </w:p>
        </w:tc>
      </w:tr>
      <w:tr w:rsidR="00DF0117" w:rsidRPr="006E34D2" w14:paraId="651A3E41" w14:textId="77777777" w:rsidTr="00DF0117">
        <w:trPr>
          <w:cantSplit/>
          <w:trHeight w:val="276"/>
        </w:trPr>
        <w:tc>
          <w:tcPr>
            <w:tcW w:w="2591" w:type="dxa"/>
            <w:tcBorders>
              <w:top w:val="nil"/>
              <w:left w:val="nil"/>
              <w:bottom w:val="nil"/>
              <w:right w:val="nil"/>
            </w:tcBorders>
            <w:vAlign w:val="center"/>
            <w:hideMark/>
          </w:tcPr>
          <w:p w14:paraId="7FE41749"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Tuning iterations per chain, n</w:t>
            </w:r>
          </w:p>
        </w:tc>
        <w:tc>
          <w:tcPr>
            <w:tcW w:w="1912" w:type="dxa"/>
            <w:tcBorders>
              <w:top w:val="nil"/>
              <w:left w:val="nil"/>
              <w:bottom w:val="nil"/>
              <w:right w:val="nil"/>
            </w:tcBorders>
            <w:vAlign w:val="center"/>
            <w:hideMark/>
          </w:tcPr>
          <w:p w14:paraId="6C5E40A1" w14:textId="572560BB"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1,2</w:t>
            </w:r>
            <w:r w:rsidR="007D1266" w:rsidRPr="006E34D2">
              <w:rPr>
                <w:rFonts w:eastAsia="Times New Roman" w:cs="Times New Roman"/>
                <w:color w:val="000000"/>
                <w:kern w:val="0"/>
                <w:sz w:val="19"/>
                <w:szCs w:val="22"/>
                <w:lang w:val="en-US"/>
                <w14:ligatures w14:val="none"/>
              </w:rPr>
              <w:t>00</w:t>
            </w:r>
          </w:p>
        </w:tc>
        <w:tc>
          <w:tcPr>
            <w:tcW w:w="4529" w:type="dxa"/>
            <w:tcBorders>
              <w:top w:val="nil"/>
              <w:left w:val="nil"/>
              <w:bottom w:val="nil"/>
              <w:right w:val="nil"/>
            </w:tcBorders>
            <w:vAlign w:val="center"/>
            <w:hideMark/>
          </w:tcPr>
          <w:p w14:paraId="76E25D17"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Tuning iterations per chain</w:t>
            </w:r>
          </w:p>
        </w:tc>
      </w:tr>
      <w:tr w:rsidR="00DF0117" w:rsidRPr="006E34D2" w14:paraId="4C0010EE" w14:textId="77777777" w:rsidTr="00DF0117">
        <w:trPr>
          <w:cantSplit/>
          <w:trHeight w:val="484"/>
        </w:trPr>
        <w:tc>
          <w:tcPr>
            <w:tcW w:w="2591" w:type="dxa"/>
            <w:tcBorders>
              <w:top w:val="nil"/>
              <w:left w:val="nil"/>
              <w:bottom w:val="nil"/>
              <w:right w:val="nil"/>
            </w:tcBorders>
            <w:vAlign w:val="center"/>
            <w:hideMark/>
          </w:tcPr>
          <w:p w14:paraId="3AD32A0A"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Target acceptance probability</w:t>
            </w:r>
          </w:p>
        </w:tc>
        <w:tc>
          <w:tcPr>
            <w:tcW w:w="1912" w:type="dxa"/>
            <w:tcBorders>
              <w:top w:val="nil"/>
              <w:left w:val="nil"/>
              <w:bottom w:val="nil"/>
              <w:right w:val="nil"/>
            </w:tcBorders>
            <w:vAlign w:val="center"/>
            <w:hideMark/>
          </w:tcPr>
          <w:p w14:paraId="5200A716"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0.95</w:t>
            </w:r>
          </w:p>
        </w:tc>
        <w:tc>
          <w:tcPr>
            <w:tcW w:w="4529" w:type="dxa"/>
            <w:tcBorders>
              <w:top w:val="nil"/>
              <w:left w:val="nil"/>
              <w:bottom w:val="nil"/>
              <w:right w:val="nil"/>
            </w:tcBorders>
            <w:vAlign w:val="center"/>
            <w:hideMark/>
          </w:tcPr>
          <w:p w14:paraId="7E16CE9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NUTS target acceptance probability</w:t>
            </w:r>
          </w:p>
        </w:tc>
      </w:tr>
      <w:tr w:rsidR="00DF0117" w:rsidRPr="006E34D2" w14:paraId="63A1DF00" w14:textId="77777777" w:rsidTr="00DF0117">
        <w:trPr>
          <w:cantSplit/>
          <w:trHeight w:val="553"/>
        </w:trPr>
        <w:tc>
          <w:tcPr>
            <w:tcW w:w="2591" w:type="dxa"/>
            <w:tcBorders>
              <w:top w:val="nil"/>
              <w:left w:val="nil"/>
              <w:bottom w:val="nil"/>
              <w:right w:val="nil"/>
            </w:tcBorders>
            <w:vAlign w:val="center"/>
            <w:hideMark/>
          </w:tcPr>
          <w:p w14:paraId="39965C65"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Age model divergences, n</w:t>
            </w:r>
          </w:p>
        </w:tc>
        <w:tc>
          <w:tcPr>
            <w:tcW w:w="1912" w:type="dxa"/>
            <w:tcBorders>
              <w:top w:val="nil"/>
              <w:left w:val="nil"/>
              <w:bottom w:val="nil"/>
              <w:right w:val="nil"/>
            </w:tcBorders>
            <w:vAlign w:val="center"/>
            <w:hideMark/>
          </w:tcPr>
          <w:p w14:paraId="586351AD"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w:t>
            </w:r>
          </w:p>
        </w:tc>
        <w:tc>
          <w:tcPr>
            <w:tcW w:w="4529" w:type="dxa"/>
            <w:tcBorders>
              <w:top w:val="nil"/>
              <w:left w:val="nil"/>
              <w:bottom w:val="nil"/>
              <w:right w:val="nil"/>
            </w:tcBorders>
            <w:vAlign w:val="center"/>
            <w:hideMark/>
          </w:tcPr>
          <w:p w14:paraId="75414285"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No divergent transitions detected in the age-stratified model</w:t>
            </w:r>
          </w:p>
        </w:tc>
      </w:tr>
      <w:tr w:rsidR="00DF0117" w:rsidRPr="006E34D2" w14:paraId="1D65CE7F" w14:textId="77777777" w:rsidTr="00DF0117">
        <w:trPr>
          <w:cantSplit/>
          <w:trHeight w:val="484"/>
        </w:trPr>
        <w:tc>
          <w:tcPr>
            <w:tcW w:w="2591" w:type="dxa"/>
            <w:tcBorders>
              <w:top w:val="nil"/>
              <w:left w:val="nil"/>
              <w:bottom w:val="nil"/>
              <w:right w:val="nil"/>
            </w:tcBorders>
            <w:vAlign w:val="center"/>
            <w:hideMark/>
          </w:tcPr>
          <w:p w14:paraId="53F4F869"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Age model maximum R-hat</w:t>
            </w:r>
          </w:p>
        </w:tc>
        <w:tc>
          <w:tcPr>
            <w:tcW w:w="1912" w:type="dxa"/>
            <w:tcBorders>
              <w:top w:val="nil"/>
              <w:left w:val="nil"/>
              <w:bottom w:val="nil"/>
              <w:right w:val="nil"/>
            </w:tcBorders>
            <w:vAlign w:val="center"/>
            <w:hideMark/>
          </w:tcPr>
          <w:p w14:paraId="77EAC62F"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1.003</w:t>
            </w:r>
          </w:p>
        </w:tc>
        <w:tc>
          <w:tcPr>
            <w:tcW w:w="4529" w:type="dxa"/>
            <w:tcBorders>
              <w:top w:val="nil"/>
              <w:left w:val="nil"/>
              <w:bottom w:val="nil"/>
              <w:right w:val="nil"/>
            </w:tcBorders>
            <w:vAlign w:val="center"/>
            <w:hideMark/>
          </w:tcPr>
          <w:p w14:paraId="04C1E473"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Convergence diagnostic for the age-stratified model</w:t>
            </w:r>
          </w:p>
        </w:tc>
      </w:tr>
      <w:tr w:rsidR="00DF0117" w:rsidRPr="006E34D2" w14:paraId="14D60F1E" w14:textId="77777777" w:rsidTr="00DF0117">
        <w:trPr>
          <w:cantSplit/>
          <w:trHeight w:val="345"/>
        </w:trPr>
        <w:tc>
          <w:tcPr>
            <w:tcW w:w="2591" w:type="dxa"/>
            <w:tcBorders>
              <w:top w:val="nil"/>
              <w:left w:val="nil"/>
              <w:bottom w:val="nil"/>
              <w:right w:val="nil"/>
            </w:tcBorders>
            <w:vAlign w:val="center"/>
            <w:hideMark/>
          </w:tcPr>
          <w:p w14:paraId="65AF92E2"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Age model minimum bulk ESS</w:t>
            </w:r>
          </w:p>
        </w:tc>
        <w:tc>
          <w:tcPr>
            <w:tcW w:w="1912" w:type="dxa"/>
            <w:tcBorders>
              <w:top w:val="nil"/>
              <w:left w:val="nil"/>
              <w:bottom w:val="nil"/>
              <w:right w:val="nil"/>
            </w:tcBorders>
            <w:vAlign w:val="center"/>
            <w:hideMark/>
          </w:tcPr>
          <w:p w14:paraId="1BA2E383"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1,378.4</w:t>
            </w:r>
          </w:p>
        </w:tc>
        <w:tc>
          <w:tcPr>
            <w:tcW w:w="4529" w:type="dxa"/>
            <w:tcBorders>
              <w:top w:val="nil"/>
              <w:left w:val="nil"/>
              <w:bottom w:val="nil"/>
              <w:right w:val="nil"/>
            </w:tcBorders>
            <w:vAlign w:val="center"/>
            <w:hideMark/>
          </w:tcPr>
          <w:p w14:paraId="52FED249"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Minimum bulk effective sample size</w:t>
            </w:r>
          </w:p>
        </w:tc>
      </w:tr>
      <w:tr w:rsidR="00DF0117" w:rsidRPr="006E34D2" w14:paraId="4ED3EDD9" w14:textId="77777777" w:rsidTr="00DF0117">
        <w:trPr>
          <w:cantSplit/>
          <w:trHeight w:val="415"/>
        </w:trPr>
        <w:tc>
          <w:tcPr>
            <w:tcW w:w="2591" w:type="dxa"/>
            <w:tcBorders>
              <w:top w:val="nil"/>
              <w:left w:val="nil"/>
              <w:bottom w:val="nil"/>
              <w:right w:val="nil"/>
            </w:tcBorders>
            <w:vAlign w:val="center"/>
            <w:hideMark/>
          </w:tcPr>
          <w:p w14:paraId="730EA825"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Overall PSIS-LOO maximum Pareto k</w:t>
            </w:r>
          </w:p>
        </w:tc>
        <w:tc>
          <w:tcPr>
            <w:tcW w:w="1912" w:type="dxa"/>
            <w:tcBorders>
              <w:top w:val="nil"/>
              <w:left w:val="nil"/>
              <w:bottom w:val="nil"/>
              <w:right w:val="nil"/>
            </w:tcBorders>
            <w:vAlign w:val="center"/>
            <w:hideMark/>
          </w:tcPr>
          <w:p w14:paraId="145580C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0.598</w:t>
            </w:r>
          </w:p>
        </w:tc>
        <w:tc>
          <w:tcPr>
            <w:tcW w:w="4529" w:type="dxa"/>
            <w:tcBorders>
              <w:top w:val="nil"/>
              <w:left w:val="nil"/>
              <w:bottom w:val="nil"/>
              <w:right w:val="nil"/>
            </w:tcBorders>
            <w:vAlign w:val="center"/>
            <w:hideMark/>
          </w:tcPr>
          <w:p w14:paraId="2F399348"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Maximum PSIS-LOO influence/stability diagnostic</w:t>
            </w:r>
          </w:p>
        </w:tc>
      </w:tr>
      <w:tr w:rsidR="00DF0117" w:rsidRPr="006E34D2" w14:paraId="00D69F59" w14:textId="77777777" w:rsidTr="00DF0117">
        <w:trPr>
          <w:cantSplit/>
          <w:trHeight w:val="692"/>
        </w:trPr>
        <w:tc>
          <w:tcPr>
            <w:tcW w:w="2591" w:type="dxa"/>
            <w:tcBorders>
              <w:top w:val="nil"/>
              <w:left w:val="nil"/>
              <w:bottom w:val="nil"/>
              <w:right w:val="nil"/>
            </w:tcBorders>
            <w:vAlign w:val="center"/>
            <w:hideMark/>
          </w:tcPr>
          <w:p w14:paraId="33587C9E" w14:textId="7C4A38AC" w:rsidR="00DF0117" w:rsidRPr="0045473D" w:rsidRDefault="0094766D"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Overall model posterior predictive 90% coverage</w:t>
            </w:r>
          </w:p>
        </w:tc>
        <w:tc>
          <w:tcPr>
            <w:tcW w:w="1912" w:type="dxa"/>
            <w:tcBorders>
              <w:top w:val="nil"/>
              <w:left w:val="nil"/>
              <w:bottom w:val="nil"/>
              <w:right w:val="nil"/>
            </w:tcBorders>
            <w:vAlign w:val="center"/>
            <w:hideMark/>
          </w:tcPr>
          <w:p w14:paraId="64B18A9E"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0.915</w:t>
            </w:r>
          </w:p>
        </w:tc>
        <w:tc>
          <w:tcPr>
            <w:tcW w:w="4529" w:type="dxa"/>
            <w:tcBorders>
              <w:top w:val="nil"/>
              <w:left w:val="nil"/>
              <w:bottom w:val="nil"/>
              <w:right w:val="nil"/>
            </w:tcBorders>
            <w:vAlign w:val="center"/>
            <w:hideMark/>
          </w:tcPr>
          <w:p w14:paraId="0A1FCBB5"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Observed weekly values within the 90% posterior predictive interval</w:t>
            </w:r>
          </w:p>
        </w:tc>
      </w:tr>
      <w:tr w:rsidR="00DF0117" w:rsidRPr="006E34D2" w14:paraId="1AE273A8" w14:textId="77777777" w:rsidTr="00DF0117">
        <w:trPr>
          <w:cantSplit/>
          <w:trHeight w:val="692"/>
        </w:trPr>
        <w:tc>
          <w:tcPr>
            <w:tcW w:w="2591" w:type="dxa"/>
            <w:tcBorders>
              <w:top w:val="nil"/>
              <w:left w:val="nil"/>
              <w:bottom w:val="nil"/>
              <w:right w:val="nil"/>
            </w:tcBorders>
            <w:vAlign w:val="center"/>
            <w:hideMark/>
          </w:tcPr>
          <w:p w14:paraId="44ABBC79" w14:textId="02E4A0EA" w:rsidR="00DF0117" w:rsidRPr="0045473D" w:rsidRDefault="00BE1FA9"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Overall model posterior predictive 95% coverage</w:t>
            </w:r>
          </w:p>
        </w:tc>
        <w:tc>
          <w:tcPr>
            <w:tcW w:w="1912" w:type="dxa"/>
            <w:tcBorders>
              <w:top w:val="nil"/>
              <w:left w:val="nil"/>
              <w:bottom w:val="nil"/>
              <w:right w:val="nil"/>
            </w:tcBorders>
            <w:vAlign w:val="center"/>
            <w:hideMark/>
          </w:tcPr>
          <w:p w14:paraId="0B6A4F12"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0.954</w:t>
            </w:r>
          </w:p>
        </w:tc>
        <w:tc>
          <w:tcPr>
            <w:tcW w:w="4529" w:type="dxa"/>
            <w:tcBorders>
              <w:top w:val="nil"/>
              <w:left w:val="nil"/>
              <w:bottom w:val="nil"/>
              <w:right w:val="nil"/>
            </w:tcBorders>
            <w:vAlign w:val="center"/>
            <w:hideMark/>
          </w:tcPr>
          <w:p w14:paraId="08680DB4"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Observed weekly values within the 95% posterior predictive interval</w:t>
            </w:r>
          </w:p>
        </w:tc>
      </w:tr>
      <w:tr w:rsidR="00DF0117" w:rsidRPr="006E34D2" w14:paraId="688376B4" w14:textId="77777777" w:rsidTr="00DF0117">
        <w:trPr>
          <w:cantSplit/>
          <w:trHeight w:val="345"/>
        </w:trPr>
        <w:tc>
          <w:tcPr>
            <w:tcW w:w="2591" w:type="dxa"/>
            <w:tcBorders>
              <w:top w:val="nil"/>
              <w:left w:val="nil"/>
              <w:bottom w:val="nil"/>
              <w:right w:val="nil"/>
            </w:tcBorders>
            <w:vAlign w:val="center"/>
            <w:hideMark/>
          </w:tcPr>
          <w:p w14:paraId="7C7BAF85" w14:textId="46A9F2A5" w:rsidR="00DF0117" w:rsidRPr="0045473D" w:rsidRDefault="006B1B64"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Overall model beta-binomial phi, posterior median</w:t>
            </w:r>
          </w:p>
        </w:tc>
        <w:tc>
          <w:tcPr>
            <w:tcW w:w="1912" w:type="dxa"/>
            <w:tcBorders>
              <w:top w:val="nil"/>
              <w:left w:val="nil"/>
              <w:bottom w:val="nil"/>
              <w:right w:val="nil"/>
            </w:tcBorders>
            <w:vAlign w:val="center"/>
            <w:hideMark/>
          </w:tcPr>
          <w:p w14:paraId="30098A10"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219.88</w:t>
            </w:r>
          </w:p>
        </w:tc>
        <w:tc>
          <w:tcPr>
            <w:tcW w:w="4529" w:type="dxa"/>
            <w:tcBorders>
              <w:top w:val="nil"/>
              <w:left w:val="nil"/>
              <w:bottom w:val="nil"/>
              <w:right w:val="nil"/>
            </w:tcBorders>
            <w:vAlign w:val="center"/>
            <w:hideMark/>
          </w:tcPr>
          <w:p w14:paraId="79024E51"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Beta-binomial precision parameter</w:t>
            </w:r>
          </w:p>
        </w:tc>
      </w:tr>
      <w:tr w:rsidR="00DF0117" w:rsidRPr="006E34D2" w14:paraId="73B992BF" w14:textId="77777777" w:rsidTr="00DF0117">
        <w:trPr>
          <w:cantSplit/>
          <w:trHeight w:val="345"/>
        </w:trPr>
        <w:tc>
          <w:tcPr>
            <w:tcW w:w="2591" w:type="dxa"/>
            <w:tcBorders>
              <w:top w:val="nil"/>
              <w:left w:val="nil"/>
              <w:bottom w:val="nil"/>
              <w:right w:val="nil"/>
            </w:tcBorders>
            <w:vAlign w:val="center"/>
            <w:hideMark/>
          </w:tcPr>
          <w:p w14:paraId="166DCC35" w14:textId="66280CBC" w:rsidR="00DF0117" w:rsidRPr="0045473D" w:rsidRDefault="006B1B64"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Overall model beta-binomial phi, 95% credible interval</w:t>
            </w:r>
          </w:p>
        </w:tc>
        <w:tc>
          <w:tcPr>
            <w:tcW w:w="1912" w:type="dxa"/>
            <w:tcBorders>
              <w:top w:val="nil"/>
              <w:left w:val="nil"/>
              <w:bottom w:val="nil"/>
              <w:right w:val="nil"/>
            </w:tcBorders>
            <w:vAlign w:val="center"/>
            <w:hideMark/>
          </w:tcPr>
          <w:p w14:paraId="0D3FC78D"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165.00–292.62</w:t>
            </w:r>
          </w:p>
        </w:tc>
        <w:tc>
          <w:tcPr>
            <w:tcW w:w="4529" w:type="dxa"/>
            <w:tcBorders>
              <w:top w:val="nil"/>
              <w:left w:val="nil"/>
              <w:bottom w:val="nil"/>
              <w:right w:val="nil"/>
            </w:tcBorders>
            <w:vAlign w:val="center"/>
            <w:hideMark/>
          </w:tcPr>
          <w:p w14:paraId="62D72BD6" w14:textId="77777777" w:rsidR="00DF0117" w:rsidRPr="0045473D" w:rsidRDefault="00DF0117"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19"/>
                <w:lang w:val="en-US"/>
              </w:rPr>
              <w:t>95% posterior credible interval for phi</w:t>
            </w:r>
          </w:p>
        </w:tc>
      </w:tr>
    </w:tbl>
    <w:p w14:paraId="7A533A9E" w14:textId="77777777" w:rsidR="00934FE9" w:rsidRPr="0045473D" w:rsidRDefault="00DF0117" w:rsidP="0045473D">
      <w:pPr>
        <w:spacing w:line="240" w:lineRule="auto"/>
        <w:jc w:val="both"/>
        <w:rPr>
          <w:rFonts w:cs="Times New Roman"/>
          <w:lang w:val="en-US"/>
        </w:rPr>
      </w:pPr>
      <w:r w:rsidRPr="006E34D2">
        <w:rPr>
          <w:rFonts w:eastAsia="Times New Roman" w:cs="Times New Roman"/>
          <w:lang w:val="en-US"/>
        </w:rPr>
        <w:t xml:space="preserve"> </w:t>
      </w:r>
      <w:r w:rsidR="0095353F" w:rsidRPr="006E34D2">
        <w:rPr>
          <w:rFonts w:eastAsia="Times New Roman" w:cs="Times New Roman"/>
          <w:lang w:val="en-US"/>
        </w:rPr>
        <w:tab/>
      </w:r>
    </w:p>
    <w:p w14:paraId="3331B550" w14:textId="4733FE53" w:rsidR="0095353F" w:rsidRPr="0045473D" w:rsidRDefault="001A4DEC" w:rsidP="006E34D2">
      <w:pPr>
        <w:spacing w:before="40" w:after="120" w:line="240" w:lineRule="auto"/>
        <w:jc w:val="both"/>
        <w:rPr>
          <w:rFonts w:cs="Times New Roman"/>
          <w:lang w:val="en-US"/>
        </w:rPr>
      </w:pPr>
      <w:r w:rsidRPr="006E34D2">
        <w:rPr>
          <w:rFonts w:eastAsia="Times New Roman" w:cs="Times New Roman"/>
          <w:b/>
          <w:sz w:val="20"/>
          <w:lang w:val="en-US"/>
        </w:rPr>
        <w:t xml:space="preserve">Footnote: </w:t>
      </w:r>
      <w:r w:rsidR="003A1BF8" w:rsidRPr="006E34D2">
        <w:rPr>
          <w:rFonts w:eastAsia="Times New Roman" w:cs="Times New Roman"/>
          <w:sz w:val="20"/>
          <w:lang w:val="en-US"/>
        </w:rPr>
        <w:t xml:space="preserve">The beta-binomial model accounts for extra-binomial variation in weekly positivity. PSIS-LOO denotes Pareto-smoothed importance sampling leave-one-out cross-validation; ESS denotes effective sample size. Phi is the beta-binomial precision parameter and is not a measure of positivity, risk, or incidence. </w:t>
      </w:r>
      <w:r w:rsidR="0098799D" w:rsidRPr="006E34D2">
        <w:rPr>
          <w:rFonts w:eastAsia="Times New Roman" w:cs="Times New Roman"/>
          <w:sz w:val="20"/>
          <w:lang w:val="en-US"/>
        </w:rPr>
        <w:t>The complete modelling grid comprised 261 week-start dates from 28 December 2020 to 22 December 2025. Although the grid began on 28 December 2020, the epidemiological analysis was restricted to ISO years 2021–2025. The overall model retained 260 weekly observations, whereas the age-stratified design matrix comprised 1,305 age-week observations (261 weekly grid points × 5 age groups).</w:t>
      </w:r>
    </w:p>
    <w:p w14:paraId="68AF13B5" w14:textId="4FA198D5" w:rsidR="0042577C" w:rsidRPr="0045473D" w:rsidRDefault="004A56E8" w:rsidP="0045473D">
      <w:pPr>
        <w:keepNext/>
        <w:spacing w:before="120" w:after="60" w:line="276" w:lineRule="auto"/>
        <w:jc w:val="both"/>
        <w:rPr>
          <w:rFonts w:cs="Times New Roman"/>
          <w:lang w:val="en-US"/>
        </w:rPr>
      </w:pPr>
      <w:r w:rsidRPr="006E34D2">
        <w:rPr>
          <w:rFonts w:eastAsia="Times New Roman" w:cs="Times New Roman"/>
          <w:b/>
          <w:lang w:val="en-US"/>
        </w:rPr>
        <w:br w:type="column"/>
      </w:r>
      <w:r w:rsidR="00BC5765" w:rsidRPr="006E34D2">
        <w:rPr>
          <w:rFonts w:eastAsia="Times New Roman" w:cs="Times New Roman"/>
          <w:b/>
          <w:lang w:val="en-US"/>
        </w:rPr>
        <w:lastRenderedPageBreak/>
        <w:t>Table S7. Posterior probability of being the first age group to reach peak RSV positivity, by ISO epidemiological year.</w:t>
      </w:r>
    </w:p>
    <w:tbl>
      <w:tblPr>
        <w:tblW w:w="8334" w:type="dxa"/>
        <w:tblCellMar>
          <w:left w:w="70" w:type="dxa"/>
          <w:right w:w="70" w:type="dxa"/>
        </w:tblCellMar>
        <w:tblLook w:val="04A0" w:firstRow="1" w:lastRow="0" w:firstColumn="1" w:lastColumn="0" w:noHBand="0" w:noVBand="1"/>
      </w:tblPr>
      <w:tblGrid>
        <w:gridCol w:w="2326"/>
        <w:gridCol w:w="1201"/>
        <w:gridCol w:w="1201"/>
        <w:gridCol w:w="1202"/>
        <w:gridCol w:w="1202"/>
        <w:gridCol w:w="1202"/>
      </w:tblGrid>
      <w:tr w:rsidR="00D06336" w:rsidRPr="006E34D2" w14:paraId="5E98E1BB" w14:textId="77777777" w:rsidTr="00D06336">
        <w:trPr>
          <w:cantSplit/>
          <w:trHeight w:val="1178"/>
          <w:tblHeader/>
        </w:trPr>
        <w:tc>
          <w:tcPr>
            <w:tcW w:w="2326" w:type="dxa"/>
            <w:tcBorders>
              <w:top w:val="nil"/>
              <w:left w:val="nil"/>
              <w:bottom w:val="nil"/>
              <w:right w:val="nil"/>
            </w:tcBorders>
            <w:vAlign w:val="center"/>
            <w:hideMark/>
          </w:tcPr>
          <w:p w14:paraId="79A2309B"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ISO epidemiological year</w:t>
            </w:r>
          </w:p>
        </w:tc>
        <w:tc>
          <w:tcPr>
            <w:tcW w:w="1201" w:type="dxa"/>
            <w:tcBorders>
              <w:top w:val="nil"/>
              <w:left w:val="nil"/>
              <w:bottom w:val="nil"/>
              <w:right w:val="nil"/>
            </w:tcBorders>
            <w:vAlign w:val="center"/>
            <w:hideMark/>
          </w:tcPr>
          <w:p w14:paraId="5E2FA75D"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&lt;5 years</w:t>
            </w:r>
          </w:p>
        </w:tc>
        <w:tc>
          <w:tcPr>
            <w:tcW w:w="1201" w:type="dxa"/>
            <w:tcBorders>
              <w:top w:val="nil"/>
              <w:left w:val="nil"/>
              <w:bottom w:val="nil"/>
              <w:right w:val="nil"/>
            </w:tcBorders>
            <w:vAlign w:val="center"/>
            <w:hideMark/>
          </w:tcPr>
          <w:p w14:paraId="65347AC4"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5–17 years</w:t>
            </w:r>
          </w:p>
        </w:tc>
        <w:tc>
          <w:tcPr>
            <w:tcW w:w="1202" w:type="dxa"/>
            <w:tcBorders>
              <w:top w:val="nil"/>
              <w:left w:val="nil"/>
              <w:bottom w:val="nil"/>
              <w:right w:val="nil"/>
            </w:tcBorders>
            <w:vAlign w:val="center"/>
            <w:hideMark/>
          </w:tcPr>
          <w:p w14:paraId="2956A532"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18–59 years</w:t>
            </w:r>
          </w:p>
        </w:tc>
        <w:tc>
          <w:tcPr>
            <w:tcW w:w="1202" w:type="dxa"/>
            <w:tcBorders>
              <w:top w:val="nil"/>
              <w:left w:val="nil"/>
              <w:bottom w:val="nil"/>
              <w:right w:val="nil"/>
            </w:tcBorders>
            <w:vAlign w:val="center"/>
            <w:hideMark/>
          </w:tcPr>
          <w:p w14:paraId="7C0C2988"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60–79 years</w:t>
            </w:r>
          </w:p>
        </w:tc>
        <w:tc>
          <w:tcPr>
            <w:tcW w:w="1202" w:type="dxa"/>
            <w:tcBorders>
              <w:top w:val="nil"/>
              <w:left w:val="nil"/>
              <w:bottom w:val="nil"/>
              <w:right w:val="nil"/>
            </w:tcBorders>
            <w:vAlign w:val="center"/>
            <w:hideMark/>
          </w:tcPr>
          <w:p w14:paraId="79A23359" w14:textId="77777777" w:rsidR="00D06336" w:rsidRPr="0045473D" w:rsidRDefault="00D06336"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20"/>
                <w:szCs w:val="22"/>
                <w:lang w:val="en-US"/>
                <w14:ligatures w14:val="none"/>
              </w:rPr>
              <w:t>≥80 years</w:t>
            </w:r>
          </w:p>
        </w:tc>
      </w:tr>
      <w:tr w:rsidR="00D06336" w:rsidRPr="006E34D2" w14:paraId="64DA34A4" w14:textId="77777777" w:rsidTr="00D06336">
        <w:trPr>
          <w:cantSplit/>
          <w:trHeight w:val="294"/>
        </w:trPr>
        <w:tc>
          <w:tcPr>
            <w:tcW w:w="2326" w:type="dxa"/>
            <w:tcBorders>
              <w:top w:val="nil"/>
              <w:left w:val="nil"/>
              <w:bottom w:val="nil"/>
              <w:right w:val="nil"/>
            </w:tcBorders>
            <w:vAlign w:val="center"/>
            <w:hideMark/>
          </w:tcPr>
          <w:p w14:paraId="2A189B47"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2021</w:t>
            </w:r>
          </w:p>
        </w:tc>
        <w:tc>
          <w:tcPr>
            <w:tcW w:w="1201" w:type="dxa"/>
            <w:tcBorders>
              <w:top w:val="nil"/>
              <w:left w:val="nil"/>
              <w:bottom w:val="nil"/>
              <w:right w:val="nil"/>
            </w:tcBorders>
            <w:vAlign w:val="center"/>
            <w:hideMark/>
          </w:tcPr>
          <w:p w14:paraId="0D09AC31"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0.382</w:t>
            </w:r>
          </w:p>
        </w:tc>
        <w:tc>
          <w:tcPr>
            <w:tcW w:w="1201" w:type="dxa"/>
            <w:tcBorders>
              <w:top w:val="nil"/>
              <w:left w:val="nil"/>
              <w:bottom w:val="nil"/>
              <w:right w:val="nil"/>
            </w:tcBorders>
            <w:vAlign w:val="center"/>
            <w:hideMark/>
          </w:tcPr>
          <w:p w14:paraId="471F8C85"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0.616</w:t>
            </w:r>
          </w:p>
        </w:tc>
        <w:tc>
          <w:tcPr>
            <w:tcW w:w="1202" w:type="dxa"/>
            <w:tcBorders>
              <w:top w:val="nil"/>
              <w:left w:val="nil"/>
              <w:bottom w:val="nil"/>
              <w:right w:val="nil"/>
            </w:tcBorders>
            <w:vAlign w:val="center"/>
            <w:hideMark/>
          </w:tcPr>
          <w:p w14:paraId="205EB76A"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0.001</w:t>
            </w:r>
          </w:p>
        </w:tc>
        <w:tc>
          <w:tcPr>
            <w:tcW w:w="1202" w:type="dxa"/>
            <w:tcBorders>
              <w:top w:val="nil"/>
              <w:left w:val="nil"/>
              <w:bottom w:val="nil"/>
              <w:right w:val="nil"/>
            </w:tcBorders>
            <w:vAlign w:val="center"/>
            <w:hideMark/>
          </w:tcPr>
          <w:p w14:paraId="6CAF22F7"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c>
          <w:tcPr>
            <w:tcW w:w="1202" w:type="dxa"/>
            <w:tcBorders>
              <w:top w:val="nil"/>
              <w:left w:val="nil"/>
              <w:bottom w:val="nil"/>
              <w:right w:val="nil"/>
            </w:tcBorders>
            <w:vAlign w:val="center"/>
            <w:hideMark/>
          </w:tcPr>
          <w:p w14:paraId="15DD462F"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r>
      <w:tr w:rsidR="00D06336" w:rsidRPr="006E34D2" w14:paraId="67F8B58E" w14:textId="77777777" w:rsidTr="00D06336">
        <w:trPr>
          <w:cantSplit/>
          <w:trHeight w:val="294"/>
        </w:trPr>
        <w:tc>
          <w:tcPr>
            <w:tcW w:w="2326" w:type="dxa"/>
            <w:tcBorders>
              <w:top w:val="nil"/>
              <w:left w:val="nil"/>
              <w:bottom w:val="nil"/>
              <w:right w:val="nil"/>
            </w:tcBorders>
            <w:vAlign w:val="center"/>
            <w:hideMark/>
          </w:tcPr>
          <w:p w14:paraId="222260EE"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2022</w:t>
            </w:r>
          </w:p>
        </w:tc>
        <w:tc>
          <w:tcPr>
            <w:tcW w:w="1201" w:type="dxa"/>
            <w:tcBorders>
              <w:top w:val="nil"/>
              <w:left w:val="nil"/>
              <w:bottom w:val="nil"/>
              <w:right w:val="nil"/>
            </w:tcBorders>
            <w:vAlign w:val="center"/>
            <w:hideMark/>
          </w:tcPr>
          <w:p w14:paraId="1BED4CC6"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0.316</w:t>
            </w:r>
          </w:p>
        </w:tc>
        <w:tc>
          <w:tcPr>
            <w:tcW w:w="1201" w:type="dxa"/>
            <w:tcBorders>
              <w:top w:val="nil"/>
              <w:left w:val="nil"/>
              <w:bottom w:val="nil"/>
              <w:right w:val="nil"/>
            </w:tcBorders>
            <w:vAlign w:val="center"/>
            <w:hideMark/>
          </w:tcPr>
          <w:p w14:paraId="79A71840"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0.257</w:t>
            </w:r>
          </w:p>
        </w:tc>
        <w:tc>
          <w:tcPr>
            <w:tcW w:w="1202" w:type="dxa"/>
            <w:tcBorders>
              <w:top w:val="nil"/>
              <w:left w:val="nil"/>
              <w:bottom w:val="nil"/>
              <w:right w:val="nil"/>
            </w:tcBorders>
            <w:vAlign w:val="center"/>
            <w:hideMark/>
          </w:tcPr>
          <w:p w14:paraId="1A5A44AA"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c>
          <w:tcPr>
            <w:tcW w:w="1202" w:type="dxa"/>
            <w:tcBorders>
              <w:top w:val="nil"/>
              <w:left w:val="nil"/>
              <w:bottom w:val="nil"/>
              <w:right w:val="nil"/>
            </w:tcBorders>
            <w:vAlign w:val="center"/>
            <w:hideMark/>
          </w:tcPr>
          <w:p w14:paraId="1408F983"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c>
          <w:tcPr>
            <w:tcW w:w="1202" w:type="dxa"/>
            <w:tcBorders>
              <w:top w:val="nil"/>
              <w:left w:val="nil"/>
              <w:bottom w:val="nil"/>
              <w:right w:val="nil"/>
            </w:tcBorders>
            <w:vAlign w:val="center"/>
            <w:hideMark/>
          </w:tcPr>
          <w:p w14:paraId="3758E291"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0.428</w:t>
            </w:r>
          </w:p>
        </w:tc>
      </w:tr>
      <w:tr w:rsidR="00D06336" w:rsidRPr="006E34D2" w14:paraId="14F2B915" w14:textId="77777777" w:rsidTr="00D06336">
        <w:trPr>
          <w:cantSplit/>
          <w:trHeight w:val="294"/>
        </w:trPr>
        <w:tc>
          <w:tcPr>
            <w:tcW w:w="2326" w:type="dxa"/>
            <w:tcBorders>
              <w:top w:val="nil"/>
              <w:left w:val="nil"/>
              <w:bottom w:val="nil"/>
              <w:right w:val="nil"/>
            </w:tcBorders>
            <w:vAlign w:val="center"/>
            <w:hideMark/>
          </w:tcPr>
          <w:p w14:paraId="4B5A0378"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2023</w:t>
            </w:r>
          </w:p>
        </w:tc>
        <w:tc>
          <w:tcPr>
            <w:tcW w:w="1201" w:type="dxa"/>
            <w:tcBorders>
              <w:top w:val="nil"/>
              <w:left w:val="nil"/>
              <w:bottom w:val="nil"/>
              <w:right w:val="nil"/>
            </w:tcBorders>
            <w:vAlign w:val="center"/>
            <w:hideMark/>
          </w:tcPr>
          <w:p w14:paraId="5743E83C"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0.888</w:t>
            </w:r>
          </w:p>
        </w:tc>
        <w:tc>
          <w:tcPr>
            <w:tcW w:w="1201" w:type="dxa"/>
            <w:tcBorders>
              <w:top w:val="nil"/>
              <w:left w:val="nil"/>
              <w:bottom w:val="nil"/>
              <w:right w:val="nil"/>
            </w:tcBorders>
            <w:vAlign w:val="center"/>
            <w:hideMark/>
          </w:tcPr>
          <w:p w14:paraId="6331373D"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0.100</w:t>
            </w:r>
          </w:p>
        </w:tc>
        <w:tc>
          <w:tcPr>
            <w:tcW w:w="1202" w:type="dxa"/>
            <w:tcBorders>
              <w:top w:val="nil"/>
              <w:left w:val="nil"/>
              <w:bottom w:val="nil"/>
              <w:right w:val="nil"/>
            </w:tcBorders>
            <w:vAlign w:val="center"/>
            <w:hideMark/>
          </w:tcPr>
          <w:p w14:paraId="7220F925"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0.001</w:t>
            </w:r>
          </w:p>
        </w:tc>
        <w:tc>
          <w:tcPr>
            <w:tcW w:w="1202" w:type="dxa"/>
            <w:tcBorders>
              <w:top w:val="nil"/>
              <w:left w:val="nil"/>
              <w:bottom w:val="nil"/>
              <w:right w:val="nil"/>
            </w:tcBorders>
            <w:vAlign w:val="center"/>
            <w:hideMark/>
          </w:tcPr>
          <w:p w14:paraId="76030669"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c>
          <w:tcPr>
            <w:tcW w:w="1202" w:type="dxa"/>
            <w:tcBorders>
              <w:top w:val="nil"/>
              <w:left w:val="nil"/>
              <w:bottom w:val="nil"/>
              <w:right w:val="nil"/>
            </w:tcBorders>
            <w:vAlign w:val="center"/>
            <w:hideMark/>
          </w:tcPr>
          <w:p w14:paraId="6D19E1A7"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0.011</w:t>
            </w:r>
          </w:p>
        </w:tc>
      </w:tr>
      <w:tr w:rsidR="00D06336" w:rsidRPr="006E34D2" w14:paraId="685BDB21" w14:textId="77777777" w:rsidTr="00D06336">
        <w:trPr>
          <w:cantSplit/>
          <w:trHeight w:val="294"/>
        </w:trPr>
        <w:tc>
          <w:tcPr>
            <w:tcW w:w="2326" w:type="dxa"/>
            <w:tcBorders>
              <w:top w:val="nil"/>
              <w:left w:val="nil"/>
              <w:bottom w:val="nil"/>
              <w:right w:val="nil"/>
            </w:tcBorders>
            <w:vAlign w:val="center"/>
            <w:hideMark/>
          </w:tcPr>
          <w:p w14:paraId="3EB32662"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2024</w:t>
            </w:r>
          </w:p>
        </w:tc>
        <w:tc>
          <w:tcPr>
            <w:tcW w:w="1201" w:type="dxa"/>
            <w:tcBorders>
              <w:top w:val="nil"/>
              <w:left w:val="nil"/>
              <w:bottom w:val="nil"/>
              <w:right w:val="nil"/>
            </w:tcBorders>
            <w:vAlign w:val="center"/>
            <w:hideMark/>
          </w:tcPr>
          <w:p w14:paraId="79D44993"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0.850</w:t>
            </w:r>
          </w:p>
        </w:tc>
        <w:tc>
          <w:tcPr>
            <w:tcW w:w="1201" w:type="dxa"/>
            <w:tcBorders>
              <w:top w:val="nil"/>
              <w:left w:val="nil"/>
              <w:bottom w:val="nil"/>
              <w:right w:val="nil"/>
            </w:tcBorders>
            <w:vAlign w:val="center"/>
            <w:hideMark/>
          </w:tcPr>
          <w:p w14:paraId="601793A5"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0.145</w:t>
            </w:r>
          </w:p>
        </w:tc>
        <w:tc>
          <w:tcPr>
            <w:tcW w:w="1202" w:type="dxa"/>
            <w:tcBorders>
              <w:top w:val="nil"/>
              <w:left w:val="nil"/>
              <w:bottom w:val="nil"/>
              <w:right w:val="nil"/>
            </w:tcBorders>
            <w:vAlign w:val="center"/>
            <w:hideMark/>
          </w:tcPr>
          <w:p w14:paraId="03881BE7"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0.004</w:t>
            </w:r>
          </w:p>
        </w:tc>
        <w:tc>
          <w:tcPr>
            <w:tcW w:w="1202" w:type="dxa"/>
            <w:tcBorders>
              <w:top w:val="nil"/>
              <w:left w:val="nil"/>
              <w:bottom w:val="nil"/>
              <w:right w:val="nil"/>
            </w:tcBorders>
            <w:vAlign w:val="center"/>
            <w:hideMark/>
          </w:tcPr>
          <w:p w14:paraId="17A3232B"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0.000</w:t>
            </w:r>
          </w:p>
        </w:tc>
        <w:tc>
          <w:tcPr>
            <w:tcW w:w="1202" w:type="dxa"/>
            <w:tcBorders>
              <w:top w:val="nil"/>
              <w:left w:val="nil"/>
              <w:bottom w:val="nil"/>
              <w:right w:val="nil"/>
            </w:tcBorders>
            <w:vAlign w:val="center"/>
            <w:hideMark/>
          </w:tcPr>
          <w:p w14:paraId="6888EF93"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0.001</w:t>
            </w:r>
          </w:p>
        </w:tc>
      </w:tr>
      <w:tr w:rsidR="00D06336" w:rsidRPr="006E34D2" w14:paraId="6FDCAB94" w14:textId="77777777" w:rsidTr="00D06336">
        <w:trPr>
          <w:cantSplit/>
          <w:trHeight w:val="294"/>
        </w:trPr>
        <w:tc>
          <w:tcPr>
            <w:tcW w:w="2326" w:type="dxa"/>
            <w:tcBorders>
              <w:top w:val="nil"/>
              <w:left w:val="nil"/>
              <w:bottom w:val="nil"/>
              <w:right w:val="nil"/>
            </w:tcBorders>
            <w:vAlign w:val="center"/>
            <w:hideMark/>
          </w:tcPr>
          <w:p w14:paraId="26F25D14" w14:textId="6ECB0215"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sz w:val="20"/>
                <w:lang w:val="en-US"/>
              </w:rPr>
              <w:t>2025</w:t>
            </w:r>
          </w:p>
        </w:tc>
        <w:tc>
          <w:tcPr>
            <w:tcW w:w="1201" w:type="dxa"/>
            <w:tcBorders>
              <w:top w:val="nil"/>
              <w:left w:val="nil"/>
              <w:bottom w:val="nil"/>
              <w:right w:val="nil"/>
            </w:tcBorders>
            <w:vAlign w:val="center"/>
            <w:hideMark/>
          </w:tcPr>
          <w:p w14:paraId="3AE984CF"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0.894</w:t>
            </w:r>
          </w:p>
        </w:tc>
        <w:tc>
          <w:tcPr>
            <w:tcW w:w="1201" w:type="dxa"/>
            <w:tcBorders>
              <w:top w:val="nil"/>
              <w:left w:val="nil"/>
              <w:bottom w:val="nil"/>
              <w:right w:val="nil"/>
            </w:tcBorders>
            <w:vAlign w:val="center"/>
            <w:hideMark/>
          </w:tcPr>
          <w:p w14:paraId="2B98CA0C"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0.058</w:t>
            </w:r>
          </w:p>
        </w:tc>
        <w:tc>
          <w:tcPr>
            <w:tcW w:w="1202" w:type="dxa"/>
            <w:tcBorders>
              <w:top w:val="nil"/>
              <w:left w:val="nil"/>
              <w:bottom w:val="nil"/>
              <w:right w:val="nil"/>
            </w:tcBorders>
            <w:vAlign w:val="center"/>
            <w:hideMark/>
          </w:tcPr>
          <w:p w14:paraId="1F8C07D3"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0.024</w:t>
            </w:r>
          </w:p>
        </w:tc>
        <w:tc>
          <w:tcPr>
            <w:tcW w:w="1202" w:type="dxa"/>
            <w:tcBorders>
              <w:top w:val="nil"/>
              <w:left w:val="nil"/>
              <w:bottom w:val="nil"/>
              <w:right w:val="nil"/>
            </w:tcBorders>
            <w:vAlign w:val="center"/>
            <w:hideMark/>
          </w:tcPr>
          <w:p w14:paraId="5A14FED8" w14:textId="77777777"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0.004</w:t>
            </w:r>
          </w:p>
        </w:tc>
        <w:tc>
          <w:tcPr>
            <w:tcW w:w="1202" w:type="dxa"/>
            <w:tcBorders>
              <w:top w:val="nil"/>
              <w:left w:val="nil"/>
              <w:bottom w:val="nil"/>
              <w:right w:val="nil"/>
            </w:tcBorders>
            <w:vAlign w:val="center"/>
            <w:hideMark/>
          </w:tcPr>
          <w:p w14:paraId="72819276" w14:textId="3D94B512" w:rsidR="00D06336" w:rsidRPr="0045473D" w:rsidRDefault="00D06336"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20"/>
                <w:szCs w:val="22"/>
                <w:lang w:val="en-US"/>
                <w14:ligatures w14:val="none"/>
              </w:rPr>
              <w:t>0</w:t>
            </w:r>
            <w:r w:rsidR="00BD365C" w:rsidRPr="006E34D2">
              <w:rPr>
                <w:rFonts w:eastAsia="Times New Roman" w:cs="Times New Roman"/>
                <w:color w:val="000000"/>
                <w:kern w:val="0"/>
                <w:sz w:val="20"/>
                <w:szCs w:val="22"/>
                <w:lang w:val="en-US"/>
                <w14:ligatures w14:val="none"/>
              </w:rPr>
              <w:t>.020</w:t>
            </w:r>
          </w:p>
        </w:tc>
      </w:tr>
    </w:tbl>
    <w:p w14:paraId="296B4DEE" w14:textId="77777777" w:rsidR="00BB2091" w:rsidRPr="0045473D" w:rsidRDefault="00BB2091" w:rsidP="0045473D">
      <w:pPr>
        <w:jc w:val="both"/>
        <w:rPr>
          <w:rFonts w:cs="Times New Roman"/>
          <w:lang w:val="en-US"/>
        </w:rPr>
      </w:pPr>
    </w:p>
    <w:p w14:paraId="4E9C498D" w14:textId="77777777" w:rsidR="00005F34" w:rsidRPr="0045473D" w:rsidRDefault="00005F34" w:rsidP="006E34D2">
      <w:pPr>
        <w:spacing w:before="40" w:after="120" w:line="240" w:lineRule="auto"/>
        <w:jc w:val="both"/>
        <w:rPr>
          <w:rFonts w:cs="Times New Roman"/>
          <w:b/>
          <w:bCs/>
          <w:szCs w:val="22"/>
          <w:lang w:val="en-US"/>
        </w:rPr>
      </w:pPr>
      <w:r w:rsidRPr="006E34D2">
        <w:rPr>
          <w:rFonts w:eastAsia="Times New Roman" w:cs="Times New Roman"/>
          <w:b/>
          <w:sz w:val="20"/>
          <w:lang w:val="en-US"/>
        </w:rPr>
        <w:t xml:space="preserve">Footnote: </w:t>
      </w:r>
      <w:r w:rsidRPr="006E34D2">
        <w:rPr>
          <w:rFonts w:eastAsia="Times New Roman" w:cs="Times New Roman"/>
          <w:sz w:val="20"/>
          <w:lang w:val="en-US"/>
        </w:rPr>
        <w:t>Values are posterior probabilities that each age group was first to reach peak positivity within the specified year. Tied earliest peaks were divided equally, so probabilities sum to approximately 1 by year. The 2021 estimates are boundary-sensitive because peak timing occurred near the edge of the annual window.</w:t>
      </w:r>
    </w:p>
    <w:p w14:paraId="12938F33" w14:textId="0D0381B2" w:rsidR="00BB2091" w:rsidRPr="0045473D" w:rsidRDefault="00460BB3" w:rsidP="0045473D">
      <w:pPr>
        <w:keepNext/>
        <w:spacing w:before="120" w:after="60" w:line="276" w:lineRule="auto"/>
        <w:jc w:val="both"/>
        <w:rPr>
          <w:rFonts w:cs="Times New Roman"/>
          <w:lang w:val="en-US"/>
        </w:rPr>
      </w:pPr>
      <w:r w:rsidRPr="006E34D2">
        <w:rPr>
          <w:rFonts w:eastAsia="Times New Roman" w:cs="Times New Roman"/>
          <w:b/>
          <w:lang w:val="en-US"/>
        </w:rPr>
        <w:t>Table S8. Posterior peak timing for children aged &lt;5 years and the reference series excluding this age group.</w:t>
      </w:r>
    </w:p>
    <w:tbl>
      <w:tblPr>
        <w:tblW w:w="8836" w:type="dxa"/>
        <w:tblCellMar>
          <w:left w:w="70" w:type="dxa"/>
          <w:right w:w="70" w:type="dxa"/>
        </w:tblCellMar>
        <w:tblLook w:val="04A0" w:firstRow="1" w:lastRow="0" w:firstColumn="1" w:lastColumn="0" w:noHBand="0" w:noVBand="1"/>
      </w:tblPr>
      <w:tblGrid>
        <w:gridCol w:w="2247"/>
        <w:gridCol w:w="1525"/>
        <w:gridCol w:w="1514"/>
        <w:gridCol w:w="1149"/>
        <w:gridCol w:w="1250"/>
        <w:gridCol w:w="1151"/>
      </w:tblGrid>
      <w:tr w:rsidR="00EB33CA" w:rsidRPr="006E34D2" w14:paraId="7BB0DB54" w14:textId="77777777" w:rsidTr="00EB33CA">
        <w:trPr>
          <w:cantSplit/>
          <w:trHeight w:val="1781"/>
          <w:tblHeader/>
        </w:trPr>
        <w:tc>
          <w:tcPr>
            <w:tcW w:w="2247" w:type="dxa"/>
            <w:tcBorders>
              <w:top w:val="nil"/>
              <w:left w:val="nil"/>
              <w:bottom w:val="nil"/>
              <w:right w:val="nil"/>
            </w:tcBorders>
            <w:vAlign w:val="center"/>
            <w:hideMark/>
          </w:tcPr>
          <w:p w14:paraId="4E31B64F"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ISO epidemiological year</w:t>
            </w:r>
          </w:p>
        </w:tc>
        <w:tc>
          <w:tcPr>
            <w:tcW w:w="1525" w:type="dxa"/>
            <w:tcBorders>
              <w:top w:val="nil"/>
              <w:left w:val="nil"/>
              <w:bottom w:val="nil"/>
              <w:right w:val="nil"/>
            </w:tcBorders>
            <w:vAlign w:val="center"/>
            <w:hideMark/>
          </w:tcPr>
          <w:p w14:paraId="642BCACA"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9"/>
                <w:lang w:val="en-US"/>
              </w:rPr>
              <w:t>&lt;5 years: median peak date</w:t>
            </w:r>
          </w:p>
        </w:tc>
        <w:tc>
          <w:tcPr>
            <w:tcW w:w="1514" w:type="dxa"/>
            <w:tcBorders>
              <w:top w:val="nil"/>
              <w:left w:val="nil"/>
              <w:bottom w:val="nil"/>
              <w:right w:val="nil"/>
            </w:tcBorders>
            <w:vAlign w:val="center"/>
            <w:hideMark/>
          </w:tcPr>
          <w:p w14:paraId="7F0F9C44"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9"/>
                <w:lang w:val="en-US"/>
              </w:rPr>
              <w:t>Reference excluding &lt;5: median peak date</w:t>
            </w:r>
          </w:p>
        </w:tc>
        <w:tc>
          <w:tcPr>
            <w:tcW w:w="1149" w:type="dxa"/>
            <w:tcBorders>
              <w:top w:val="nil"/>
              <w:left w:val="nil"/>
              <w:bottom w:val="nil"/>
              <w:right w:val="nil"/>
            </w:tcBorders>
            <w:vAlign w:val="center"/>
            <w:hideMark/>
          </w:tcPr>
          <w:p w14:paraId="14EAEAB2"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Median lead time, weeks</w:t>
            </w:r>
          </w:p>
        </w:tc>
        <w:tc>
          <w:tcPr>
            <w:tcW w:w="1250" w:type="dxa"/>
            <w:tcBorders>
              <w:top w:val="nil"/>
              <w:left w:val="nil"/>
              <w:bottom w:val="nil"/>
              <w:right w:val="nil"/>
            </w:tcBorders>
            <w:vAlign w:val="center"/>
            <w:hideMark/>
          </w:tcPr>
          <w:p w14:paraId="133A6A3C"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9"/>
                <w:szCs w:val="22"/>
                <w:lang w:val="en-US"/>
                <w14:ligatures w14:val="none"/>
              </w:rPr>
              <w:t>95% credible interval, weeks</w:t>
            </w:r>
          </w:p>
        </w:tc>
        <w:tc>
          <w:tcPr>
            <w:tcW w:w="1151" w:type="dxa"/>
            <w:tcBorders>
              <w:top w:val="nil"/>
              <w:left w:val="nil"/>
              <w:bottom w:val="nil"/>
              <w:right w:val="nil"/>
            </w:tcBorders>
            <w:vAlign w:val="center"/>
            <w:hideMark/>
          </w:tcPr>
          <w:p w14:paraId="430A42C8" w14:textId="77777777" w:rsidR="00EB33CA" w:rsidRPr="0045473D" w:rsidRDefault="00EB33C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9"/>
                <w:lang w:val="en-US"/>
              </w:rPr>
              <w:t>P(&lt;5 years peaked earlier)</w:t>
            </w:r>
          </w:p>
        </w:tc>
      </w:tr>
      <w:tr w:rsidR="00EB33CA" w:rsidRPr="006E34D2" w14:paraId="21724D7E" w14:textId="77777777" w:rsidTr="00EB33CA">
        <w:trPr>
          <w:cantSplit/>
          <w:trHeight w:val="509"/>
        </w:trPr>
        <w:tc>
          <w:tcPr>
            <w:tcW w:w="2247" w:type="dxa"/>
            <w:tcBorders>
              <w:top w:val="nil"/>
              <w:left w:val="nil"/>
              <w:bottom w:val="nil"/>
              <w:right w:val="nil"/>
            </w:tcBorders>
            <w:vAlign w:val="center"/>
            <w:hideMark/>
          </w:tcPr>
          <w:p w14:paraId="4ADB1C34"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2021</w:t>
            </w:r>
          </w:p>
        </w:tc>
        <w:tc>
          <w:tcPr>
            <w:tcW w:w="1525" w:type="dxa"/>
            <w:tcBorders>
              <w:top w:val="nil"/>
              <w:left w:val="nil"/>
              <w:bottom w:val="nil"/>
              <w:right w:val="nil"/>
            </w:tcBorders>
            <w:vAlign w:val="center"/>
            <w:hideMark/>
          </w:tcPr>
          <w:p w14:paraId="52D5C5F0" w14:textId="126506AB"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29</w:t>
            </w:r>
            <w:r w:rsidR="001B7331" w:rsidRPr="006E34D2">
              <w:rPr>
                <w:rFonts w:eastAsia="Times New Roman" w:cs="Times New Roman"/>
                <w:color w:val="000000"/>
                <w:kern w:val="0"/>
                <w:sz w:val="19"/>
                <w:szCs w:val="22"/>
                <w:lang w:val="en-US"/>
                <w14:ligatures w14:val="none"/>
              </w:rPr>
              <w:t xml:space="preserve"> </w:t>
            </w:r>
            <w:r w:rsidR="000A35BD" w:rsidRPr="006E34D2">
              <w:rPr>
                <w:rFonts w:eastAsia="Times New Roman" w:cs="Times New Roman"/>
                <w:color w:val="000000"/>
                <w:kern w:val="0"/>
                <w:sz w:val="19"/>
                <w:szCs w:val="22"/>
                <w:lang w:val="en-US"/>
                <w14:ligatures w14:val="none"/>
              </w:rPr>
              <w:t>M</w:t>
            </w:r>
            <w:r w:rsidRPr="006E34D2">
              <w:rPr>
                <w:rFonts w:eastAsia="Times New Roman" w:cs="Times New Roman"/>
                <w:color w:val="000000"/>
                <w:kern w:val="0"/>
                <w:sz w:val="19"/>
                <w:szCs w:val="22"/>
                <w:lang w:val="en-US"/>
                <w14:ligatures w14:val="none"/>
              </w:rPr>
              <w:t>ar</w:t>
            </w:r>
            <w:r w:rsidR="001B7331" w:rsidRPr="006E34D2">
              <w:rPr>
                <w:rFonts w:eastAsia="Times New Roman" w:cs="Times New Roman"/>
                <w:color w:val="000000"/>
                <w:kern w:val="0"/>
                <w:sz w:val="19"/>
                <w:szCs w:val="22"/>
                <w:lang w:val="en-US"/>
                <w14:ligatures w14:val="none"/>
              </w:rPr>
              <w:t xml:space="preserve"> </w:t>
            </w:r>
            <w:r w:rsidR="00CA1084" w:rsidRPr="006E34D2">
              <w:rPr>
                <w:rFonts w:eastAsia="Times New Roman" w:cs="Times New Roman"/>
                <w:color w:val="000000"/>
                <w:kern w:val="0"/>
                <w:sz w:val="19"/>
                <w:szCs w:val="22"/>
                <w:lang w:val="en-US"/>
                <w14:ligatures w14:val="none"/>
              </w:rPr>
              <w:t>20</w:t>
            </w:r>
            <w:r w:rsidRPr="006E34D2">
              <w:rPr>
                <w:rFonts w:eastAsia="Times New Roman" w:cs="Times New Roman"/>
                <w:color w:val="000000"/>
                <w:kern w:val="0"/>
                <w:sz w:val="19"/>
                <w:szCs w:val="22"/>
                <w:lang w:val="en-US"/>
                <w14:ligatures w14:val="none"/>
              </w:rPr>
              <w:t>21</w:t>
            </w:r>
          </w:p>
        </w:tc>
        <w:tc>
          <w:tcPr>
            <w:tcW w:w="1514" w:type="dxa"/>
            <w:tcBorders>
              <w:top w:val="nil"/>
              <w:left w:val="nil"/>
              <w:bottom w:val="nil"/>
              <w:right w:val="nil"/>
            </w:tcBorders>
            <w:vAlign w:val="center"/>
            <w:hideMark/>
          </w:tcPr>
          <w:p w14:paraId="6E177A3A"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27 Dec 2021</w:t>
            </w:r>
          </w:p>
        </w:tc>
        <w:tc>
          <w:tcPr>
            <w:tcW w:w="1149" w:type="dxa"/>
            <w:tcBorders>
              <w:top w:val="nil"/>
              <w:left w:val="nil"/>
              <w:bottom w:val="nil"/>
              <w:right w:val="nil"/>
            </w:tcBorders>
            <w:vAlign w:val="center"/>
            <w:hideMark/>
          </w:tcPr>
          <w:p w14:paraId="15B8EE72"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39</w:t>
            </w:r>
          </w:p>
        </w:tc>
        <w:tc>
          <w:tcPr>
            <w:tcW w:w="1250" w:type="dxa"/>
            <w:tcBorders>
              <w:top w:val="nil"/>
              <w:left w:val="nil"/>
              <w:bottom w:val="nil"/>
              <w:right w:val="nil"/>
            </w:tcBorders>
            <w:vAlign w:val="center"/>
            <w:hideMark/>
          </w:tcPr>
          <w:p w14:paraId="72A04A20"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37 to 40</w:t>
            </w:r>
          </w:p>
        </w:tc>
        <w:tc>
          <w:tcPr>
            <w:tcW w:w="1151" w:type="dxa"/>
            <w:tcBorders>
              <w:top w:val="nil"/>
              <w:left w:val="nil"/>
              <w:bottom w:val="nil"/>
              <w:right w:val="nil"/>
            </w:tcBorders>
            <w:vAlign w:val="center"/>
            <w:hideMark/>
          </w:tcPr>
          <w:p w14:paraId="0A48AF1B"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0.985</w:t>
            </w:r>
          </w:p>
        </w:tc>
      </w:tr>
      <w:tr w:rsidR="00EB33CA" w:rsidRPr="006E34D2" w14:paraId="714A3950" w14:textId="77777777" w:rsidTr="00EB33CA">
        <w:trPr>
          <w:cantSplit/>
          <w:trHeight w:val="509"/>
        </w:trPr>
        <w:tc>
          <w:tcPr>
            <w:tcW w:w="2247" w:type="dxa"/>
            <w:tcBorders>
              <w:top w:val="nil"/>
              <w:left w:val="nil"/>
              <w:bottom w:val="nil"/>
              <w:right w:val="nil"/>
            </w:tcBorders>
            <w:vAlign w:val="center"/>
            <w:hideMark/>
          </w:tcPr>
          <w:p w14:paraId="39139478"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2022</w:t>
            </w:r>
          </w:p>
        </w:tc>
        <w:tc>
          <w:tcPr>
            <w:tcW w:w="1525" w:type="dxa"/>
            <w:tcBorders>
              <w:top w:val="nil"/>
              <w:left w:val="nil"/>
              <w:bottom w:val="nil"/>
              <w:right w:val="nil"/>
            </w:tcBorders>
            <w:vAlign w:val="center"/>
            <w:hideMark/>
          </w:tcPr>
          <w:p w14:paraId="3F339430" w14:textId="28558570"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31</w:t>
            </w:r>
            <w:r w:rsidR="001B7331" w:rsidRPr="006E34D2">
              <w:rPr>
                <w:rFonts w:eastAsia="Times New Roman" w:cs="Times New Roman"/>
                <w:color w:val="000000"/>
                <w:kern w:val="0"/>
                <w:sz w:val="19"/>
                <w:szCs w:val="22"/>
                <w:lang w:val="en-US"/>
                <w14:ligatures w14:val="none"/>
              </w:rPr>
              <w:t xml:space="preserve"> </w:t>
            </w:r>
            <w:r w:rsidR="000A35BD" w:rsidRPr="006E34D2">
              <w:rPr>
                <w:rFonts w:eastAsia="Times New Roman" w:cs="Times New Roman"/>
                <w:color w:val="000000"/>
                <w:kern w:val="0"/>
                <w:sz w:val="19"/>
                <w:szCs w:val="22"/>
                <w:lang w:val="en-US"/>
                <w14:ligatures w14:val="none"/>
              </w:rPr>
              <w:t>J</w:t>
            </w:r>
            <w:r w:rsidRPr="006E34D2">
              <w:rPr>
                <w:rFonts w:eastAsia="Times New Roman" w:cs="Times New Roman"/>
                <w:color w:val="000000"/>
                <w:kern w:val="0"/>
                <w:sz w:val="19"/>
                <w:szCs w:val="22"/>
                <w:lang w:val="en-US"/>
                <w14:ligatures w14:val="none"/>
              </w:rPr>
              <w:t>an</w:t>
            </w:r>
            <w:r w:rsidR="001B7331" w:rsidRPr="006E34D2">
              <w:rPr>
                <w:rFonts w:eastAsia="Times New Roman" w:cs="Times New Roman"/>
                <w:color w:val="000000"/>
                <w:kern w:val="0"/>
                <w:sz w:val="19"/>
                <w:szCs w:val="22"/>
                <w:lang w:val="en-US"/>
                <w14:ligatures w14:val="none"/>
              </w:rPr>
              <w:t xml:space="preserve"> </w:t>
            </w:r>
            <w:r w:rsidR="00CA1084" w:rsidRPr="006E34D2">
              <w:rPr>
                <w:rFonts w:eastAsia="Times New Roman" w:cs="Times New Roman"/>
                <w:color w:val="000000"/>
                <w:kern w:val="0"/>
                <w:sz w:val="19"/>
                <w:szCs w:val="22"/>
                <w:lang w:val="en-US"/>
                <w14:ligatures w14:val="none"/>
              </w:rPr>
              <w:t>20</w:t>
            </w:r>
            <w:r w:rsidRPr="006E34D2">
              <w:rPr>
                <w:rFonts w:eastAsia="Times New Roman" w:cs="Times New Roman"/>
                <w:color w:val="000000"/>
                <w:kern w:val="0"/>
                <w:sz w:val="19"/>
                <w:szCs w:val="22"/>
                <w:lang w:val="en-US"/>
                <w14:ligatures w14:val="none"/>
              </w:rPr>
              <w:t>22</w:t>
            </w:r>
          </w:p>
        </w:tc>
        <w:tc>
          <w:tcPr>
            <w:tcW w:w="1514" w:type="dxa"/>
            <w:tcBorders>
              <w:top w:val="nil"/>
              <w:left w:val="nil"/>
              <w:bottom w:val="nil"/>
              <w:right w:val="nil"/>
            </w:tcBorders>
            <w:vAlign w:val="center"/>
            <w:hideMark/>
          </w:tcPr>
          <w:p w14:paraId="38C8D20D"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28 Feb 2022</w:t>
            </w:r>
          </w:p>
        </w:tc>
        <w:tc>
          <w:tcPr>
            <w:tcW w:w="1149" w:type="dxa"/>
            <w:tcBorders>
              <w:top w:val="nil"/>
              <w:left w:val="nil"/>
              <w:bottom w:val="nil"/>
              <w:right w:val="nil"/>
            </w:tcBorders>
            <w:vAlign w:val="center"/>
            <w:hideMark/>
          </w:tcPr>
          <w:p w14:paraId="0B2F03AF"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4</w:t>
            </w:r>
          </w:p>
        </w:tc>
        <w:tc>
          <w:tcPr>
            <w:tcW w:w="1250" w:type="dxa"/>
            <w:tcBorders>
              <w:top w:val="nil"/>
              <w:left w:val="nil"/>
              <w:bottom w:val="nil"/>
              <w:right w:val="nil"/>
            </w:tcBorders>
            <w:vAlign w:val="center"/>
            <w:hideMark/>
          </w:tcPr>
          <w:p w14:paraId="25AD0494"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 to 6</w:t>
            </w:r>
          </w:p>
        </w:tc>
        <w:tc>
          <w:tcPr>
            <w:tcW w:w="1151" w:type="dxa"/>
            <w:tcBorders>
              <w:top w:val="nil"/>
              <w:left w:val="nil"/>
              <w:bottom w:val="nil"/>
              <w:right w:val="nil"/>
            </w:tcBorders>
            <w:vAlign w:val="center"/>
            <w:hideMark/>
          </w:tcPr>
          <w:p w14:paraId="7995577C"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1.000</w:t>
            </w:r>
          </w:p>
        </w:tc>
      </w:tr>
      <w:tr w:rsidR="00EB33CA" w:rsidRPr="006E34D2" w14:paraId="335181AA" w14:textId="77777777" w:rsidTr="00EB33CA">
        <w:trPr>
          <w:cantSplit/>
          <w:trHeight w:val="509"/>
        </w:trPr>
        <w:tc>
          <w:tcPr>
            <w:tcW w:w="2247" w:type="dxa"/>
            <w:tcBorders>
              <w:top w:val="nil"/>
              <w:left w:val="nil"/>
              <w:bottom w:val="nil"/>
              <w:right w:val="nil"/>
            </w:tcBorders>
            <w:vAlign w:val="center"/>
            <w:hideMark/>
          </w:tcPr>
          <w:p w14:paraId="4785A946"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2023</w:t>
            </w:r>
          </w:p>
        </w:tc>
        <w:tc>
          <w:tcPr>
            <w:tcW w:w="1525" w:type="dxa"/>
            <w:tcBorders>
              <w:top w:val="nil"/>
              <w:left w:val="nil"/>
              <w:bottom w:val="nil"/>
              <w:right w:val="nil"/>
            </w:tcBorders>
            <w:vAlign w:val="center"/>
            <w:hideMark/>
          </w:tcPr>
          <w:p w14:paraId="6DBBBBF7" w14:textId="62110D31"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 xml:space="preserve">20 </w:t>
            </w:r>
            <w:r w:rsidR="000A35BD" w:rsidRPr="006E34D2">
              <w:rPr>
                <w:rFonts w:eastAsia="Times New Roman" w:cs="Times New Roman"/>
                <w:color w:val="000000"/>
                <w:kern w:val="0"/>
                <w:sz w:val="19"/>
                <w:szCs w:val="22"/>
                <w:lang w:val="en-US"/>
                <w14:ligatures w14:val="none"/>
              </w:rPr>
              <w:t>F</w:t>
            </w:r>
            <w:r w:rsidRPr="006E34D2">
              <w:rPr>
                <w:rFonts w:eastAsia="Times New Roman" w:cs="Times New Roman"/>
                <w:color w:val="000000"/>
                <w:kern w:val="0"/>
                <w:sz w:val="19"/>
                <w:szCs w:val="22"/>
                <w:lang w:val="en-US"/>
                <w14:ligatures w14:val="none"/>
              </w:rPr>
              <w:t>eb 2023</w:t>
            </w:r>
          </w:p>
        </w:tc>
        <w:tc>
          <w:tcPr>
            <w:tcW w:w="1514" w:type="dxa"/>
            <w:tcBorders>
              <w:top w:val="nil"/>
              <w:left w:val="nil"/>
              <w:bottom w:val="nil"/>
              <w:right w:val="nil"/>
            </w:tcBorders>
            <w:vAlign w:val="center"/>
            <w:hideMark/>
          </w:tcPr>
          <w:p w14:paraId="5626F541" w14:textId="635D0189"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13</w:t>
            </w:r>
            <w:r w:rsidR="00716243" w:rsidRPr="006E34D2">
              <w:rPr>
                <w:rFonts w:eastAsia="Times New Roman" w:cs="Times New Roman"/>
                <w:color w:val="000000"/>
                <w:kern w:val="0"/>
                <w:sz w:val="19"/>
                <w:szCs w:val="22"/>
                <w:lang w:val="en-US"/>
                <w14:ligatures w14:val="none"/>
              </w:rPr>
              <w:t xml:space="preserve"> </w:t>
            </w:r>
            <w:r w:rsidR="000A35BD" w:rsidRPr="006E34D2">
              <w:rPr>
                <w:rFonts w:eastAsia="Times New Roman" w:cs="Times New Roman"/>
                <w:color w:val="000000"/>
                <w:kern w:val="0"/>
                <w:sz w:val="19"/>
                <w:szCs w:val="22"/>
                <w:lang w:val="en-US"/>
                <w14:ligatures w14:val="none"/>
              </w:rPr>
              <w:t>M</w:t>
            </w:r>
            <w:r w:rsidRPr="006E34D2">
              <w:rPr>
                <w:rFonts w:eastAsia="Times New Roman" w:cs="Times New Roman"/>
                <w:color w:val="000000"/>
                <w:kern w:val="0"/>
                <w:sz w:val="19"/>
                <w:szCs w:val="22"/>
                <w:lang w:val="en-US"/>
                <w14:ligatures w14:val="none"/>
              </w:rPr>
              <w:t>ar</w:t>
            </w:r>
            <w:r w:rsidR="00716243" w:rsidRPr="006E34D2">
              <w:rPr>
                <w:rFonts w:eastAsia="Times New Roman" w:cs="Times New Roman"/>
                <w:color w:val="000000"/>
                <w:kern w:val="0"/>
                <w:sz w:val="19"/>
                <w:szCs w:val="22"/>
                <w:lang w:val="en-US"/>
                <w14:ligatures w14:val="none"/>
              </w:rPr>
              <w:t xml:space="preserve"> 20</w:t>
            </w:r>
            <w:r w:rsidRPr="006E34D2">
              <w:rPr>
                <w:rFonts w:eastAsia="Times New Roman" w:cs="Times New Roman"/>
                <w:color w:val="000000"/>
                <w:kern w:val="0"/>
                <w:sz w:val="19"/>
                <w:szCs w:val="22"/>
                <w:lang w:val="en-US"/>
                <w14:ligatures w14:val="none"/>
              </w:rPr>
              <w:t>23</w:t>
            </w:r>
          </w:p>
        </w:tc>
        <w:tc>
          <w:tcPr>
            <w:tcW w:w="1149" w:type="dxa"/>
            <w:tcBorders>
              <w:top w:val="nil"/>
              <w:left w:val="nil"/>
              <w:bottom w:val="nil"/>
              <w:right w:val="nil"/>
            </w:tcBorders>
            <w:vAlign w:val="center"/>
            <w:hideMark/>
          </w:tcPr>
          <w:p w14:paraId="2F9BA8A3"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w:t>
            </w:r>
          </w:p>
        </w:tc>
        <w:tc>
          <w:tcPr>
            <w:tcW w:w="1250" w:type="dxa"/>
            <w:tcBorders>
              <w:top w:val="nil"/>
              <w:left w:val="nil"/>
              <w:bottom w:val="nil"/>
              <w:right w:val="nil"/>
            </w:tcBorders>
            <w:vAlign w:val="center"/>
            <w:hideMark/>
          </w:tcPr>
          <w:p w14:paraId="01A14FE2"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 to 4</w:t>
            </w:r>
          </w:p>
        </w:tc>
        <w:tc>
          <w:tcPr>
            <w:tcW w:w="1151" w:type="dxa"/>
            <w:tcBorders>
              <w:top w:val="nil"/>
              <w:left w:val="nil"/>
              <w:bottom w:val="nil"/>
              <w:right w:val="nil"/>
            </w:tcBorders>
            <w:vAlign w:val="center"/>
            <w:hideMark/>
          </w:tcPr>
          <w:p w14:paraId="24823C56"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0.911</w:t>
            </w:r>
          </w:p>
        </w:tc>
      </w:tr>
      <w:tr w:rsidR="00EB33CA" w:rsidRPr="006E34D2" w14:paraId="62FED3C4" w14:textId="77777777" w:rsidTr="00EB33CA">
        <w:trPr>
          <w:cantSplit/>
          <w:trHeight w:val="509"/>
        </w:trPr>
        <w:tc>
          <w:tcPr>
            <w:tcW w:w="2247" w:type="dxa"/>
            <w:tcBorders>
              <w:top w:val="nil"/>
              <w:left w:val="nil"/>
              <w:bottom w:val="nil"/>
              <w:right w:val="nil"/>
            </w:tcBorders>
            <w:vAlign w:val="center"/>
            <w:hideMark/>
          </w:tcPr>
          <w:p w14:paraId="58E8349B"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2024</w:t>
            </w:r>
          </w:p>
        </w:tc>
        <w:tc>
          <w:tcPr>
            <w:tcW w:w="1525" w:type="dxa"/>
            <w:tcBorders>
              <w:top w:val="nil"/>
              <w:left w:val="nil"/>
              <w:bottom w:val="nil"/>
              <w:right w:val="nil"/>
            </w:tcBorders>
            <w:vAlign w:val="center"/>
            <w:hideMark/>
          </w:tcPr>
          <w:p w14:paraId="5F36F855" w14:textId="3A9D9D2A"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 xml:space="preserve">15 </w:t>
            </w:r>
            <w:r w:rsidR="000A35BD" w:rsidRPr="006E34D2">
              <w:rPr>
                <w:rFonts w:eastAsia="Times New Roman" w:cs="Times New Roman"/>
                <w:color w:val="000000"/>
                <w:kern w:val="0"/>
                <w:sz w:val="19"/>
                <w:szCs w:val="22"/>
                <w:lang w:val="en-US"/>
                <w14:ligatures w14:val="none"/>
              </w:rPr>
              <w:t>A</w:t>
            </w:r>
            <w:r w:rsidRPr="006E34D2">
              <w:rPr>
                <w:rFonts w:eastAsia="Times New Roman" w:cs="Times New Roman"/>
                <w:color w:val="000000"/>
                <w:kern w:val="0"/>
                <w:sz w:val="19"/>
                <w:szCs w:val="22"/>
                <w:lang w:val="en-US"/>
                <w14:ligatures w14:val="none"/>
              </w:rPr>
              <w:t>pr 2024</w:t>
            </w:r>
          </w:p>
        </w:tc>
        <w:tc>
          <w:tcPr>
            <w:tcW w:w="1514" w:type="dxa"/>
            <w:tcBorders>
              <w:top w:val="nil"/>
              <w:left w:val="nil"/>
              <w:bottom w:val="nil"/>
              <w:right w:val="nil"/>
            </w:tcBorders>
            <w:vAlign w:val="center"/>
            <w:hideMark/>
          </w:tcPr>
          <w:p w14:paraId="5AE1CB1D"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29 Apr 2024</w:t>
            </w:r>
          </w:p>
        </w:tc>
        <w:tc>
          <w:tcPr>
            <w:tcW w:w="1149" w:type="dxa"/>
            <w:tcBorders>
              <w:top w:val="nil"/>
              <w:left w:val="nil"/>
              <w:bottom w:val="nil"/>
              <w:right w:val="nil"/>
            </w:tcBorders>
            <w:vAlign w:val="center"/>
            <w:hideMark/>
          </w:tcPr>
          <w:p w14:paraId="233A0981"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w:t>
            </w:r>
          </w:p>
        </w:tc>
        <w:tc>
          <w:tcPr>
            <w:tcW w:w="1250" w:type="dxa"/>
            <w:tcBorders>
              <w:top w:val="nil"/>
              <w:left w:val="nil"/>
              <w:bottom w:val="nil"/>
              <w:right w:val="nil"/>
            </w:tcBorders>
            <w:vAlign w:val="center"/>
            <w:hideMark/>
          </w:tcPr>
          <w:p w14:paraId="048B57E8"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 to 3</w:t>
            </w:r>
          </w:p>
        </w:tc>
        <w:tc>
          <w:tcPr>
            <w:tcW w:w="1151" w:type="dxa"/>
            <w:tcBorders>
              <w:top w:val="nil"/>
              <w:left w:val="nil"/>
              <w:bottom w:val="nil"/>
              <w:right w:val="nil"/>
            </w:tcBorders>
            <w:vAlign w:val="center"/>
            <w:hideMark/>
          </w:tcPr>
          <w:p w14:paraId="70B8220A"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0.970</w:t>
            </w:r>
          </w:p>
        </w:tc>
      </w:tr>
      <w:tr w:rsidR="00EB33CA" w:rsidRPr="006E34D2" w14:paraId="0544DF81" w14:textId="77777777" w:rsidTr="00EB33CA">
        <w:trPr>
          <w:cantSplit/>
          <w:trHeight w:val="509"/>
        </w:trPr>
        <w:tc>
          <w:tcPr>
            <w:tcW w:w="2247" w:type="dxa"/>
            <w:tcBorders>
              <w:top w:val="nil"/>
              <w:left w:val="nil"/>
              <w:bottom w:val="nil"/>
              <w:right w:val="nil"/>
            </w:tcBorders>
            <w:vAlign w:val="center"/>
            <w:hideMark/>
          </w:tcPr>
          <w:p w14:paraId="650EE30A"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2025</w:t>
            </w:r>
          </w:p>
        </w:tc>
        <w:tc>
          <w:tcPr>
            <w:tcW w:w="1525" w:type="dxa"/>
            <w:tcBorders>
              <w:top w:val="nil"/>
              <w:left w:val="nil"/>
              <w:bottom w:val="nil"/>
              <w:right w:val="nil"/>
            </w:tcBorders>
            <w:vAlign w:val="center"/>
            <w:hideMark/>
          </w:tcPr>
          <w:p w14:paraId="0728D280" w14:textId="4BED609E"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 xml:space="preserve">5 </w:t>
            </w:r>
            <w:r w:rsidR="000A35BD" w:rsidRPr="006E34D2">
              <w:rPr>
                <w:rFonts w:eastAsia="Times New Roman" w:cs="Times New Roman"/>
                <w:color w:val="000000"/>
                <w:kern w:val="0"/>
                <w:sz w:val="19"/>
                <w:szCs w:val="22"/>
                <w:lang w:val="en-US"/>
                <w14:ligatures w14:val="none"/>
              </w:rPr>
              <w:t>M</w:t>
            </w:r>
            <w:r w:rsidRPr="006E34D2">
              <w:rPr>
                <w:rFonts w:eastAsia="Times New Roman" w:cs="Times New Roman"/>
                <w:color w:val="000000"/>
                <w:kern w:val="0"/>
                <w:sz w:val="19"/>
                <w:szCs w:val="22"/>
                <w:lang w:val="en-US"/>
                <w14:ligatures w14:val="none"/>
              </w:rPr>
              <w:t>ay 2025</w:t>
            </w:r>
          </w:p>
        </w:tc>
        <w:tc>
          <w:tcPr>
            <w:tcW w:w="1514" w:type="dxa"/>
            <w:tcBorders>
              <w:top w:val="nil"/>
              <w:left w:val="nil"/>
              <w:bottom w:val="nil"/>
              <w:right w:val="nil"/>
            </w:tcBorders>
            <w:vAlign w:val="center"/>
            <w:hideMark/>
          </w:tcPr>
          <w:p w14:paraId="44202023"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19 May 2025</w:t>
            </w:r>
          </w:p>
        </w:tc>
        <w:tc>
          <w:tcPr>
            <w:tcW w:w="1149" w:type="dxa"/>
            <w:tcBorders>
              <w:top w:val="nil"/>
              <w:left w:val="nil"/>
              <w:bottom w:val="nil"/>
              <w:right w:val="nil"/>
            </w:tcBorders>
            <w:vAlign w:val="center"/>
            <w:hideMark/>
          </w:tcPr>
          <w:p w14:paraId="1F7DBBEE"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2</w:t>
            </w:r>
          </w:p>
        </w:tc>
        <w:tc>
          <w:tcPr>
            <w:tcW w:w="1250" w:type="dxa"/>
            <w:tcBorders>
              <w:top w:val="nil"/>
              <w:left w:val="nil"/>
              <w:bottom w:val="nil"/>
              <w:right w:val="nil"/>
            </w:tcBorders>
            <w:vAlign w:val="center"/>
            <w:hideMark/>
          </w:tcPr>
          <w:p w14:paraId="359F4B70"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1 to 3</w:t>
            </w:r>
          </w:p>
        </w:tc>
        <w:tc>
          <w:tcPr>
            <w:tcW w:w="1151" w:type="dxa"/>
            <w:tcBorders>
              <w:top w:val="nil"/>
              <w:left w:val="nil"/>
              <w:bottom w:val="nil"/>
              <w:right w:val="nil"/>
            </w:tcBorders>
            <w:vAlign w:val="center"/>
            <w:hideMark/>
          </w:tcPr>
          <w:p w14:paraId="3B1DE772" w14:textId="77777777" w:rsidR="00EB33CA" w:rsidRPr="0045473D" w:rsidRDefault="00EB33C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9"/>
                <w:szCs w:val="22"/>
                <w:lang w:val="en-US"/>
                <w14:ligatures w14:val="none"/>
              </w:rPr>
              <w:t>0.999</w:t>
            </w:r>
          </w:p>
        </w:tc>
      </w:tr>
    </w:tbl>
    <w:p w14:paraId="5B77CA6F" w14:textId="15DC914D" w:rsidR="00677A63" w:rsidRPr="0045473D" w:rsidRDefault="000E2648" w:rsidP="006E34D2">
      <w:pPr>
        <w:spacing w:before="40" w:after="120" w:line="240" w:lineRule="auto"/>
        <w:jc w:val="both"/>
        <w:rPr>
          <w:rFonts w:cs="Times New Roman"/>
          <w:szCs w:val="22"/>
          <w:lang w:val="en-US"/>
        </w:rPr>
      </w:pPr>
      <w:r w:rsidRPr="006E34D2">
        <w:rPr>
          <w:rFonts w:eastAsia="Times New Roman" w:cs="Times New Roman"/>
          <w:b/>
          <w:sz w:val="20"/>
          <w:lang w:val="en-US"/>
        </w:rPr>
        <w:t xml:space="preserve">Footnote: </w:t>
      </w:r>
      <w:r w:rsidRPr="006E34D2">
        <w:rPr>
          <w:rFonts w:eastAsia="Times New Roman" w:cs="Times New Roman"/>
          <w:sz w:val="20"/>
          <w:lang w:val="en-US"/>
        </w:rPr>
        <w:t>The reference series excludes children aged &lt;5 years, preventing a part–whole comparison in which the focal group contributes to both trajectories. Positive lead time indicates an earlier peak in children aged &lt;5 years. The 2021 estimate is boundary-sensitive and should not be interpreted as a stable within-season delay.</w:t>
      </w:r>
      <w:r w:rsidR="00B15A9A" w:rsidRPr="006E34D2">
        <w:rPr>
          <w:rFonts w:eastAsia="Times New Roman" w:cs="Times New Roman"/>
          <w:sz w:val="20"/>
          <w:lang w:val="en-US"/>
        </w:rPr>
        <w:t xml:space="preserve"> Median lead times were calculated from the posterior distribution of draw-wise peak-time differences and therefore do not necessarily equal the arithmetic difference between the marginal median peak dates shown in the table.</w:t>
      </w:r>
    </w:p>
    <w:p w14:paraId="4AAD1456" w14:textId="416690CB" w:rsidR="00857B35" w:rsidRPr="0045473D" w:rsidRDefault="001A1380" w:rsidP="0045473D">
      <w:pPr>
        <w:keepNext/>
        <w:spacing w:before="120" w:after="60" w:line="276" w:lineRule="auto"/>
        <w:jc w:val="both"/>
        <w:rPr>
          <w:rFonts w:cs="Times New Roman"/>
          <w:lang w:val="en-US"/>
        </w:rPr>
      </w:pPr>
      <w:r w:rsidRPr="006E34D2">
        <w:rPr>
          <w:rFonts w:eastAsia="Times New Roman" w:cs="Times New Roman"/>
          <w:b/>
          <w:lang w:val="en-US"/>
        </w:rPr>
        <w:br w:type="column"/>
      </w:r>
      <w:r w:rsidR="00677A63" w:rsidRPr="006E34D2">
        <w:rPr>
          <w:rFonts w:eastAsia="Times New Roman" w:cs="Times New Roman"/>
          <w:b/>
          <w:lang w:val="en-US"/>
        </w:rPr>
        <w:lastRenderedPageBreak/>
        <w:t>Table S9. Posterior lead-lag comparisons between children aged &lt;5 years and adult age groups.</w:t>
      </w:r>
    </w:p>
    <w:tbl>
      <w:tblPr>
        <w:tblW w:w="9341" w:type="dxa"/>
        <w:tblCellMar>
          <w:left w:w="70" w:type="dxa"/>
          <w:right w:w="70" w:type="dxa"/>
        </w:tblCellMar>
        <w:tblLook w:val="04A0" w:firstRow="1" w:lastRow="0" w:firstColumn="1" w:lastColumn="0" w:noHBand="0" w:noVBand="1"/>
      </w:tblPr>
      <w:tblGrid>
        <w:gridCol w:w="1972"/>
        <w:gridCol w:w="1543"/>
        <w:gridCol w:w="1305"/>
        <w:gridCol w:w="1433"/>
        <w:gridCol w:w="995"/>
        <w:gridCol w:w="1097"/>
        <w:gridCol w:w="996"/>
      </w:tblGrid>
      <w:tr w:rsidR="00475C5A" w:rsidRPr="006E34D2" w14:paraId="7DEB99CF" w14:textId="77777777" w:rsidTr="00932476">
        <w:trPr>
          <w:cantSplit/>
          <w:trHeight w:val="1018"/>
          <w:tblHeader/>
        </w:trPr>
        <w:tc>
          <w:tcPr>
            <w:tcW w:w="1972" w:type="dxa"/>
            <w:tcBorders>
              <w:top w:val="nil"/>
              <w:left w:val="nil"/>
              <w:bottom w:val="nil"/>
              <w:right w:val="nil"/>
            </w:tcBorders>
            <w:vAlign w:val="center"/>
            <w:hideMark/>
          </w:tcPr>
          <w:p w14:paraId="3FFAE74D"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8"/>
                <w:szCs w:val="22"/>
                <w:lang w:val="en-US"/>
                <w14:ligatures w14:val="none"/>
              </w:rPr>
              <w:t>ISO epidemiological year</w:t>
            </w:r>
          </w:p>
        </w:tc>
        <w:tc>
          <w:tcPr>
            <w:tcW w:w="1543" w:type="dxa"/>
            <w:tcBorders>
              <w:top w:val="nil"/>
              <w:left w:val="nil"/>
              <w:bottom w:val="nil"/>
              <w:right w:val="nil"/>
            </w:tcBorders>
            <w:vAlign w:val="center"/>
            <w:hideMark/>
          </w:tcPr>
          <w:p w14:paraId="17884E84"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8"/>
                <w:szCs w:val="22"/>
                <w:lang w:val="en-US"/>
                <w14:ligatures w14:val="none"/>
              </w:rPr>
              <w:t>Comparison</w:t>
            </w:r>
          </w:p>
        </w:tc>
        <w:tc>
          <w:tcPr>
            <w:tcW w:w="1305" w:type="dxa"/>
            <w:tcBorders>
              <w:top w:val="nil"/>
              <w:left w:val="nil"/>
              <w:bottom w:val="nil"/>
              <w:right w:val="nil"/>
            </w:tcBorders>
            <w:vAlign w:val="center"/>
            <w:hideMark/>
          </w:tcPr>
          <w:p w14:paraId="6338D3C0"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8"/>
                <w:lang w:val="en-US"/>
              </w:rPr>
              <w:t>&lt;5 years: median peak date</w:t>
            </w:r>
          </w:p>
        </w:tc>
        <w:tc>
          <w:tcPr>
            <w:tcW w:w="1433" w:type="dxa"/>
            <w:tcBorders>
              <w:top w:val="nil"/>
              <w:left w:val="nil"/>
              <w:bottom w:val="nil"/>
              <w:right w:val="nil"/>
            </w:tcBorders>
            <w:vAlign w:val="center"/>
            <w:hideMark/>
          </w:tcPr>
          <w:p w14:paraId="162056A0"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8"/>
                <w:szCs w:val="22"/>
                <w:lang w:val="en-US"/>
                <w14:ligatures w14:val="none"/>
              </w:rPr>
              <w:t>Comparator median peak date</w:t>
            </w:r>
          </w:p>
        </w:tc>
        <w:tc>
          <w:tcPr>
            <w:tcW w:w="995" w:type="dxa"/>
            <w:tcBorders>
              <w:top w:val="nil"/>
              <w:left w:val="nil"/>
              <w:bottom w:val="nil"/>
              <w:right w:val="nil"/>
            </w:tcBorders>
            <w:vAlign w:val="center"/>
            <w:hideMark/>
          </w:tcPr>
          <w:p w14:paraId="71A804D9"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8"/>
                <w:szCs w:val="22"/>
                <w:lang w:val="en-US"/>
                <w14:ligatures w14:val="none"/>
              </w:rPr>
              <w:t>Median lead time, weeks</w:t>
            </w:r>
          </w:p>
        </w:tc>
        <w:tc>
          <w:tcPr>
            <w:tcW w:w="1097" w:type="dxa"/>
            <w:tcBorders>
              <w:top w:val="nil"/>
              <w:left w:val="nil"/>
              <w:bottom w:val="nil"/>
              <w:right w:val="nil"/>
            </w:tcBorders>
            <w:vAlign w:val="center"/>
            <w:hideMark/>
          </w:tcPr>
          <w:p w14:paraId="55CEF909" w14:textId="77777777" w:rsidR="00475C5A" w:rsidRPr="0045473D" w:rsidRDefault="00475C5A"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bCs/>
                <w:color w:val="000000"/>
                <w:kern w:val="0"/>
                <w:sz w:val="18"/>
                <w:szCs w:val="22"/>
                <w:lang w:val="en-US"/>
                <w14:ligatures w14:val="none"/>
              </w:rPr>
              <w:t>95% credible interval, weeks</w:t>
            </w:r>
          </w:p>
        </w:tc>
        <w:tc>
          <w:tcPr>
            <w:tcW w:w="996" w:type="dxa"/>
            <w:tcBorders>
              <w:top w:val="nil"/>
              <w:left w:val="nil"/>
              <w:bottom w:val="nil"/>
              <w:right w:val="nil"/>
            </w:tcBorders>
            <w:vAlign w:val="center"/>
            <w:hideMark/>
          </w:tcPr>
          <w:p w14:paraId="0034A005" w14:textId="5A412903" w:rsidR="00475C5A" w:rsidRPr="0045473D" w:rsidRDefault="006E34D2" w:rsidP="0045473D">
            <w:pPr>
              <w:spacing w:after="0" w:line="240" w:lineRule="auto"/>
              <w:jc w:val="both"/>
              <w:rPr>
                <w:rFonts w:eastAsia="Times New Roman" w:cs="Times New Roman"/>
                <w:b/>
                <w:bCs/>
                <w:color w:val="000000"/>
                <w:kern w:val="0"/>
                <w:szCs w:val="22"/>
                <w:lang w:val="en-US" w:eastAsia="pt-BR"/>
                <w14:ligatures w14:val="none"/>
              </w:rPr>
            </w:pPr>
            <w:r w:rsidRPr="006E34D2">
              <w:rPr>
                <w:rFonts w:eastAsia="Times New Roman" w:cs="Times New Roman"/>
                <w:b/>
                <w:sz w:val="18"/>
                <w:lang w:val="en-US"/>
              </w:rPr>
              <w:t>P (</w:t>
            </w:r>
            <w:r w:rsidR="00475C5A" w:rsidRPr="006E34D2">
              <w:rPr>
                <w:rFonts w:eastAsia="Times New Roman" w:cs="Times New Roman"/>
                <w:b/>
                <w:sz w:val="18"/>
                <w:lang w:val="en-US"/>
              </w:rPr>
              <w:t>&lt;5 years peaked earlier)</w:t>
            </w:r>
          </w:p>
        </w:tc>
      </w:tr>
      <w:tr w:rsidR="00475C5A" w:rsidRPr="006E34D2" w14:paraId="3FC3A4D0" w14:textId="77777777" w:rsidTr="00932476">
        <w:trPr>
          <w:cantSplit/>
          <w:trHeight w:val="611"/>
        </w:trPr>
        <w:tc>
          <w:tcPr>
            <w:tcW w:w="1972" w:type="dxa"/>
            <w:tcBorders>
              <w:top w:val="nil"/>
              <w:left w:val="nil"/>
              <w:bottom w:val="nil"/>
              <w:right w:val="nil"/>
            </w:tcBorders>
            <w:vAlign w:val="center"/>
            <w:hideMark/>
          </w:tcPr>
          <w:p w14:paraId="52788AA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2022</w:t>
            </w:r>
          </w:p>
        </w:tc>
        <w:tc>
          <w:tcPr>
            <w:tcW w:w="1543" w:type="dxa"/>
            <w:tcBorders>
              <w:top w:val="nil"/>
              <w:left w:val="nil"/>
              <w:bottom w:val="nil"/>
              <w:right w:val="nil"/>
            </w:tcBorders>
            <w:vAlign w:val="center"/>
            <w:hideMark/>
          </w:tcPr>
          <w:p w14:paraId="756C9CB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18–59 years</w:t>
            </w:r>
          </w:p>
        </w:tc>
        <w:tc>
          <w:tcPr>
            <w:tcW w:w="1305" w:type="dxa"/>
            <w:tcBorders>
              <w:top w:val="nil"/>
              <w:left w:val="nil"/>
              <w:bottom w:val="nil"/>
              <w:right w:val="nil"/>
            </w:tcBorders>
            <w:vAlign w:val="center"/>
            <w:hideMark/>
          </w:tcPr>
          <w:p w14:paraId="62C4BCBE" w14:textId="294956D9"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31</w:t>
            </w:r>
            <w:r w:rsidR="00932476" w:rsidRPr="006E34D2">
              <w:rPr>
                <w:rFonts w:eastAsia="Times New Roman" w:cs="Times New Roman"/>
                <w:color w:val="000000"/>
                <w:kern w:val="0"/>
                <w:sz w:val="18"/>
                <w:szCs w:val="22"/>
                <w:lang w:val="en-US"/>
                <w14:ligatures w14:val="none"/>
              </w:rPr>
              <w:t xml:space="preserve"> </w:t>
            </w:r>
            <w:r w:rsidR="005E3FAE" w:rsidRPr="006E34D2">
              <w:rPr>
                <w:rFonts w:eastAsia="Times New Roman" w:cs="Times New Roman"/>
                <w:color w:val="000000"/>
                <w:kern w:val="0"/>
                <w:sz w:val="18"/>
                <w:szCs w:val="22"/>
                <w:lang w:val="en-US"/>
                <w14:ligatures w14:val="none"/>
              </w:rPr>
              <w:t>J</w:t>
            </w:r>
            <w:r w:rsidRPr="006E34D2">
              <w:rPr>
                <w:rFonts w:eastAsia="Times New Roman" w:cs="Times New Roman"/>
                <w:color w:val="000000"/>
                <w:kern w:val="0"/>
                <w:sz w:val="18"/>
                <w:szCs w:val="22"/>
                <w:lang w:val="en-US"/>
                <w14:ligatures w14:val="none"/>
              </w:rPr>
              <w:t>an</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22</w:t>
            </w:r>
          </w:p>
        </w:tc>
        <w:tc>
          <w:tcPr>
            <w:tcW w:w="1433" w:type="dxa"/>
            <w:tcBorders>
              <w:top w:val="nil"/>
              <w:left w:val="nil"/>
              <w:bottom w:val="nil"/>
              <w:right w:val="nil"/>
            </w:tcBorders>
            <w:vAlign w:val="center"/>
            <w:hideMark/>
          </w:tcPr>
          <w:p w14:paraId="3089C1EE"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28 Feb 2022</w:t>
            </w:r>
          </w:p>
        </w:tc>
        <w:tc>
          <w:tcPr>
            <w:tcW w:w="995" w:type="dxa"/>
            <w:tcBorders>
              <w:top w:val="nil"/>
              <w:left w:val="nil"/>
              <w:bottom w:val="nil"/>
              <w:right w:val="nil"/>
            </w:tcBorders>
            <w:vAlign w:val="center"/>
            <w:hideMark/>
          </w:tcPr>
          <w:p w14:paraId="2FE1996F"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4</w:t>
            </w:r>
          </w:p>
        </w:tc>
        <w:tc>
          <w:tcPr>
            <w:tcW w:w="1097" w:type="dxa"/>
            <w:tcBorders>
              <w:top w:val="nil"/>
              <w:left w:val="nil"/>
              <w:bottom w:val="nil"/>
              <w:right w:val="nil"/>
            </w:tcBorders>
            <w:vAlign w:val="center"/>
            <w:hideMark/>
          </w:tcPr>
          <w:p w14:paraId="7CC8063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 to 6</w:t>
            </w:r>
          </w:p>
        </w:tc>
        <w:tc>
          <w:tcPr>
            <w:tcW w:w="996" w:type="dxa"/>
            <w:tcBorders>
              <w:top w:val="nil"/>
              <w:left w:val="nil"/>
              <w:bottom w:val="nil"/>
              <w:right w:val="nil"/>
            </w:tcBorders>
            <w:vAlign w:val="center"/>
            <w:hideMark/>
          </w:tcPr>
          <w:p w14:paraId="20A39CD0"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1.000</w:t>
            </w:r>
          </w:p>
        </w:tc>
      </w:tr>
      <w:tr w:rsidR="00475C5A" w:rsidRPr="006E34D2" w14:paraId="4EA4702A" w14:textId="77777777" w:rsidTr="00932476">
        <w:trPr>
          <w:cantSplit/>
          <w:trHeight w:val="611"/>
        </w:trPr>
        <w:tc>
          <w:tcPr>
            <w:tcW w:w="1972" w:type="dxa"/>
            <w:tcBorders>
              <w:top w:val="nil"/>
              <w:left w:val="nil"/>
              <w:bottom w:val="nil"/>
              <w:right w:val="nil"/>
            </w:tcBorders>
            <w:vAlign w:val="center"/>
            <w:hideMark/>
          </w:tcPr>
          <w:p w14:paraId="4F96A3D1"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2022</w:t>
            </w:r>
          </w:p>
        </w:tc>
        <w:tc>
          <w:tcPr>
            <w:tcW w:w="1543" w:type="dxa"/>
            <w:tcBorders>
              <w:top w:val="nil"/>
              <w:left w:val="nil"/>
              <w:bottom w:val="nil"/>
              <w:right w:val="nil"/>
            </w:tcBorders>
            <w:vAlign w:val="center"/>
            <w:hideMark/>
          </w:tcPr>
          <w:p w14:paraId="6117641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60–79 years</w:t>
            </w:r>
          </w:p>
        </w:tc>
        <w:tc>
          <w:tcPr>
            <w:tcW w:w="1305" w:type="dxa"/>
            <w:tcBorders>
              <w:top w:val="nil"/>
              <w:left w:val="nil"/>
              <w:bottom w:val="nil"/>
              <w:right w:val="nil"/>
            </w:tcBorders>
            <w:vAlign w:val="center"/>
            <w:hideMark/>
          </w:tcPr>
          <w:p w14:paraId="5968888C" w14:textId="6C190D26"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31</w:t>
            </w:r>
            <w:r w:rsidR="00932476" w:rsidRPr="006E34D2">
              <w:rPr>
                <w:rFonts w:eastAsia="Times New Roman" w:cs="Times New Roman"/>
                <w:color w:val="000000"/>
                <w:kern w:val="0"/>
                <w:sz w:val="18"/>
                <w:szCs w:val="22"/>
                <w:lang w:val="en-US"/>
                <w14:ligatures w14:val="none"/>
              </w:rPr>
              <w:t xml:space="preserve"> </w:t>
            </w:r>
            <w:r w:rsidR="005E3FAE" w:rsidRPr="006E34D2">
              <w:rPr>
                <w:rFonts w:eastAsia="Times New Roman" w:cs="Times New Roman"/>
                <w:color w:val="000000"/>
                <w:kern w:val="0"/>
                <w:sz w:val="18"/>
                <w:szCs w:val="22"/>
                <w:lang w:val="en-US"/>
                <w14:ligatures w14:val="none"/>
              </w:rPr>
              <w:t>J</w:t>
            </w:r>
            <w:r w:rsidRPr="006E34D2">
              <w:rPr>
                <w:rFonts w:eastAsia="Times New Roman" w:cs="Times New Roman"/>
                <w:color w:val="000000"/>
                <w:kern w:val="0"/>
                <w:sz w:val="18"/>
                <w:szCs w:val="22"/>
                <w:lang w:val="en-US"/>
                <w14:ligatures w14:val="none"/>
              </w:rPr>
              <w:t>an</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22</w:t>
            </w:r>
          </w:p>
        </w:tc>
        <w:tc>
          <w:tcPr>
            <w:tcW w:w="1433" w:type="dxa"/>
            <w:tcBorders>
              <w:top w:val="nil"/>
              <w:left w:val="nil"/>
              <w:bottom w:val="nil"/>
              <w:right w:val="nil"/>
            </w:tcBorders>
            <w:vAlign w:val="center"/>
            <w:hideMark/>
          </w:tcPr>
          <w:p w14:paraId="1A4B3EC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28 Feb 2022</w:t>
            </w:r>
          </w:p>
        </w:tc>
        <w:tc>
          <w:tcPr>
            <w:tcW w:w="995" w:type="dxa"/>
            <w:tcBorders>
              <w:top w:val="nil"/>
              <w:left w:val="nil"/>
              <w:bottom w:val="nil"/>
              <w:right w:val="nil"/>
            </w:tcBorders>
            <w:vAlign w:val="center"/>
            <w:hideMark/>
          </w:tcPr>
          <w:p w14:paraId="53B4ED1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4</w:t>
            </w:r>
          </w:p>
        </w:tc>
        <w:tc>
          <w:tcPr>
            <w:tcW w:w="1097" w:type="dxa"/>
            <w:tcBorders>
              <w:top w:val="nil"/>
              <w:left w:val="nil"/>
              <w:bottom w:val="nil"/>
              <w:right w:val="nil"/>
            </w:tcBorders>
            <w:vAlign w:val="center"/>
            <w:hideMark/>
          </w:tcPr>
          <w:p w14:paraId="5EF7F15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 to 7</w:t>
            </w:r>
          </w:p>
        </w:tc>
        <w:tc>
          <w:tcPr>
            <w:tcW w:w="996" w:type="dxa"/>
            <w:tcBorders>
              <w:top w:val="nil"/>
              <w:left w:val="nil"/>
              <w:bottom w:val="nil"/>
              <w:right w:val="nil"/>
            </w:tcBorders>
            <w:vAlign w:val="center"/>
            <w:hideMark/>
          </w:tcPr>
          <w:p w14:paraId="68F308C6"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0.998</w:t>
            </w:r>
          </w:p>
        </w:tc>
      </w:tr>
      <w:tr w:rsidR="00475C5A" w:rsidRPr="006E34D2" w14:paraId="24AFED1A" w14:textId="77777777" w:rsidTr="00932476">
        <w:trPr>
          <w:cantSplit/>
          <w:trHeight w:val="407"/>
        </w:trPr>
        <w:tc>
          <w:tcPr>
            <w:tcW w:w="1972" w:type="dxa"/>
            <w:tcBorders>
              <w:top w:val="nil"/>
              <w:left w:val="nil"/>
              <w:bottom w:val="nil"/>
              <w:right w:val="nil"/>
            </w:tcBorders>
            <w:vAlign w:val="center"/>
            <w:hideMark/>
          </w:tcPr>
          <w:p w14:paraId="156FEC1A"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2022</w:t>
            </w:r>
          </w:p>
        </w:tc>
        <w:tc>
          <w:tcPr>
            <w:tcW w:w="1543" w:type="dxa"/>
            <w:tcBorders>
              <w:top w:val="nil"/>
              <w:left w:val="nil"/>
              <w:bottom w:val="nil"/>
              <w:right w:val="nil"/>
            </w:tcBorders>
            <w:vAlign w:val="center"/>
            <w:hideMark/>
          </w:tcPr>
          <w:p w14:paraId="01C16A0E"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≥80 years</w:t>
            </w:r>
          </w:p>
        </w:tc>
        <w:tc>
          <w:tcPr>
            <w:tcW w:w="1305" w:type="dxa"/>
            <w:tcBorders>
              <w:top w:val="nil"/>
              <w:left w:val="nil"/>
              <w:bottom w:val="nil"/>
              <w:right w:val="nil"/>
            </w:tcBorders>
            <w:vAlign w:val="center"/>
            <w:hideMark/>
          </w:tcPr>
          <w:p w14:paraId="740E4EEF" w14:textId="48C73AA1"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31</w:t>
            </w:r>
            <w:r w:rsidR="00932476" w:rsidRPr="006E34D2">
              <w:rPr>
                <w:rFonts w:eastAsia="Times New Roman" w:cs="Times New Roman"/>
                <w:color w:val="000000"/>
                <w:kern w:val="0"/>
                <w:sz w:val="18"/>
                <w:szCs w:val="22"/>
                <w:lang w:val="en-US"/>
                <w14:ligatures w14:val="none"/>
              </w:rPr>
              <w:t xml:space="preserve"> </w:t>
            </w:r>
            <w:r w:rsidR="005E3FAE" w:rsidRPr="006E34D2">
              <w:rPr>
                <w:rFonts w:eastAsia="Times New Roman" w:cs="Times New Roman"/>
                <w:color w:val="000000"/>
                <w:kern w:val="0"/>
                <w:sz w:val="18"/>
                <w:szCs w:val="22"/>
                <w:lang w:val="en-US"/>
                <w14:ligatures w14:val="none"/>
              </w:rPr>
              <w:t>J</w:t>
            </w:r>
            <w:r w:rsidRPr="006E34D2">
              <w:rPr>
                <w:rFonts w:eastAsia="Times New Roman" w:cs="Times New Roman"/>
                <w:color w:val="000000"/>
                <w:kern w:val="0"/>
                <w:sz w:val="18"/>
                <w:szCs w:val="22"/>
                <w:lang w:val="en-US"/>
                <w14:ligatures w14:val="none"/>
              </w:rPr>
              <w:t>an</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22</w:t>
            </w:r>
          </w:p>
        </w:tc>
        <w:tc>
          <w:tcPr>
            <w:tcW w:w="1433" w:type="dxa"/>
            <w:tcBorders>
              <w:top w:val="nil"/>
              <w:left w:val="nil"/>
              <w:bottom w:val="nil"/>
              <w:right w:val="nil"/>
            </w:tcBorders>
            <w:vAlign w:val="center"/>
            <w:hideMark/>
          </w:tcPr>
          <w:p w14:paraId="63F71B57" w14:textId="34013C5F"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31</w:t>
            </w:r>
            <w:r w:rsidR="00932476" w:rsidRPr="006E34D2">
              <w:rPr>
                <w:rFonts w:eastAsia="Times New Roman" w:cs="Times New Roman"/>
                <w:color w:val="000000"/>
                <w:kern w:val="0"/>
                <w:sz w:val="18"/>
                <w:szCs w:val="22"/>
                <w:lang w:val="en-US"/>
                <w14:ligatures w14:val="none"/>
              </w:rPr>
              <w:t xml:space="preserve"> </w:t>
            </w:r>
            <w:r w:rsidR="00A86CDC" w:rsidRPr="006E34D2">
              <w:rPr>
                <w:rFonts w:eastAsia="Times New Roman" w:cs="Times New Roman"/>
                <w:color w:val="000000"/>
                <w:kern w:val="0"/>
                <w:sz w:val="18"/>
                <w:szCs w:val="22"/>
                <w:lang w:val="en-US"/>
                <w14:ligatures w14:val="none"/>
              </w:rPr>
              <w:t>J</w:t>
            </w:r>
            <w:r w:rsidRPr="006E34D2">
              <w:rPr>
                <w:rFonts w:eastAsia="Times New Roman" w:cs="Times New Roman"/>
                <w:color w:val="000000"/>
                <w:kern w:val="0"/>
                <w:sz w:val="18"/>
                <w:szCs w:val="22"/>
                <w:lang w:val="en-US"/>
                <w14:ligatures w14:val="none"/>
              </w:rPr>
              <w:t>an</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22</w:t>
            </w:r>
          </w:p>
        </w:tc>
        <w:tc>
          <w:tcPr>
            <w:tcW w:w="995" w:type="dxa"/>
            <w:tcBorders>
              <w:top w:val="nil"/>
              <w:left w:val="nil"/>
              <w:bottom w:val="nil"/>
              <w:right w:val="nil"/>
            </w:tcBorders>
            <w:vAlign w:val="center"/>
            <w:hideMark/>
          </w:tcPr>
          <w:p w14:paraId="19E0B46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w:t>
            </w:r>
          </w:p>
        </w:tc>
        <w:tc>
          <w:tcPr>
            <w:tcW w:w="1097" w:type="dxa"/>
            <w:tcBorders>
              <w:top w:val="nil"/>
              <w:left w:val="nil"/>
              <w:bottom w:val="nil"/>
              <w:right w:val="nil"/>
            </w:tcBorders>
            <w:vAlign w:val="center"/>
            <w:hideMark/>
          </w:tcPr>
          <w:p w14:paraId="5C754DB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-5 to 4</w:t>
            </w:r>
          </w:p>
        </w:tc>
        <w:tc>
          <w:tcPr>
            <w:tcW w:w="996" w:type="dxa"/>
            <w:tcBorders>
              <w:top w:val="nil"/>
              <w:left w:val="nil"/>
              <w:bottom w:val="nil"/>
              <w:right w:val="nil"/>
            </w:tcBorders>
            <w:vAlign w:val="center"/>
            <w:hideMark/>
          </w:tcPr>
          <w:p w14:paraId="1B33938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0.413</w:t>
            </w:r>
          </w:p>
        </w:tc>
      </w:tr>
      <w:tr w:rsidR="00475C5A" w:rsidRPr="006E34D2" w14:paraId="2FFE613A" w14:textId="77777777" w:rsidTr="00932476">
        <w:trPr>
          <w:cantSplit/>
          <w:trHeight w:val="611"/>
        </w:trPr>
        <w:tc>
          <w:tcPr>
            <w:tcW w:w="1972" w:type="dxa"/>
            <w:tcBorders>
              <w:top w:val="nil"/>
              <w:left w:val="nil"/>
              <w:bottom w:val="nil"/>
              <w:right w:val="nil"/>
            </w:tcBorders>
            <w:vAlign w:val="center"/>
            <w:hideMark/>
          </w:tcPr>
          <w:p w14:paraId="0C27BB5E"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2023</w:t>
            </w:r>
          </w:p>
        </w:tc>
        <w:tc>
          <w:tcPr>
            <w:tcW w:w="1543" w:type="dxa"/>
            <w:tcBorders>
              <w:top w:val="nil"/>
              <w:left w:val="nil"/>
              <w:bottom w:val="nil"/>
              <w:right w:val="nil"/>
            </w:tcBorders>
            <w:vAlign w:val="center"/>
            <w:hideMark/>
          </w:tcPr>
          <w:p w14:paraId="6B4BAC1C"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18–59 years</w:t>
            </w:r>
          </w:p>
        </w:tc>
        <w:tc>
          <w:tcPr>
            <w:tcW w:w="1305" w:type="dxa"/>
            <w:tcBorders>
              <w:top w:val="nil"/>
              <w:left w:val="nil"/>
              <w:bottom w:val="nil"/>
              <w:right w:val="nil"/>
            </w:tcBorders>
            <w:vAlign w:val="center"/>
            <w:hideMark/>
          </w:tcPr>
          <w:p w14:paraId="5116996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 Feb 2023</w:t>
            </w:r>
          </w:p>
        </w:tc>
        <w:tc>
          <w:tcPr>
            <w:tcW w:w="1433" w:type="dxa"/>
            <w:tcBorders>
              <w:top w:val="nil"/>
              <w:left w:val="nil"/>
              <w:bottom w:val="nil"/>
              <w:right w:val="nil"/>
            </w:tcBorders>
            <w:vAlign w:val="center"/>
            <w:hideMark/>
          </w:tcPr>
          <w:p w14:paraId="6B078ED5" w14:textId="089EFA2C"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13</w:t>
            </w:r>
            <w:r w:rsidR="00932476" w:rsidRPr="006E34D2">
              <w:rPr>
                <w:rFonts w:eastAsia="Times New Roman" w:cs="Times New Roman"/>
                <w:color w:val="000000"/>
                <w:kern w:val="0"/>
                <w:sz w:val="18"/>
                <w:szCs w:val="22"/>
                <w:lang w:val="en-US"/>
                <w14:ligatures w14:val="none"/>
              </w:rPr>
              <w:t xml:space="preserve"> </w:t>
            </w:r>
            <w:r w:rsidR="00A90427" w:rsidRPr="006E34D2">
              <w:rPr>
                <w:rFonts w:eastAsia="Times New Roman" w:cs="Times New Roman"/>
                <w:color w:val="000000"/>
                <w:kern w:val="0"/>
                <w:sz w:val="18"/>
                <w:szCs w:val="22"/>
                <w:lang w:val="en-US"/>
                <w14:ligatures w14:val="none"/>
              </w:rPr>
              <w:t>M</w:t>
            </w:r>
            <w:r w:rsidRPr="006E34D2">
              <w:rPr>
                <w:rFonts w:eastAsia="Times New Roman" w:cs="Times New Roman"/>
                <w:color w:val="000000"/>
                <w:kern w:val="0"/>
                <w:sz w:val="18"/>
                <w:szCs w:val="22"/>
                <w:lang w:val="en-US"/>
                <w14:ligatures w14:val="none"/>
              </w:rPr>
              <w:t>ar</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23</w:t>
            </w:r>
          </w:p>
        </w:tc>
        <w:tc>
          <w:tcPr>
            <w:tcW w:w="995" w:type="dxa"/>
            <w:tcBorders>
              <w:top w:val="nil"/>
              <w:left w:val="nil"/>
              <w:bottom w:val="nil"/>
              <w:right w:val="nil"/>
            </w:tcBorders>
            <w:vAlign w:val="center"/>
            <w:hideMark/>
          </w:tcPr>
          <w:p w14:paraId="1BFF64B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w:t>
            </w:r>
          </w:p>
        </w:tc>
        <w:tc>
          <w:tcPr>
            <w:tcW w:w="1097" w:type="dxa"/>
            <w:tcBorders>
              <w:top w:val="nil"/>
              <w:left w:val="nil"/>
              <w:bottom w:val="nil"/>
              <w:right w:val="nil"/>
            </w:tcBorders>
            <w:vAlign w:val="center"/>
            <w:hideMark/>
          </w:tcPr>
          <w:p w14:paraId="2FC854BE"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 to 4</w:t>
            </w:r>
          </w:p>
        </w:tc>
        <w:tc>
          <w:tcPr>
            <w:tcW w:w="996" w:type="dxa"/>
            <w:tcBorders>
              <w:top w:val="nil"/>
              <w:left w:val="nil"/>
              <w:bottom w:val="nil"/>
              <w:right w:val="nil"/>
            </w:tcBorders>
            <w:vAlign w:val="center"/>
            <w:hideMark/>
          </w:tcPr>
          <w:p w14:paraId="3367CBB3"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0.999</w:t>
            </w:r>
          </w:p>
        </w:tc>
      </w:tr>
      <w:tr w:rsidR="00475C5A" w:rsidRPr="006E34D2" w14:paraId="33F8227D" w14:textId="77777777" w:rsidTr="00932476">
        <w:trPr>
          <w:cantSplit/>
          <w:trHeight w:val="611"/>
        </w:trPr>
        <w:tc>
          <w:tcPr>
            <w:tcW w:w="1972" w:type="dxa"/>
            <w:tcBorders>
              <w:top w:val="nil"/>
              <w:left w:val="nil"/>
              <w:bottom w:val="nil"/>
              <w:right w:val="nil"/>
            </w:tcBorders>
            <w:vAlign w:val="center"/>
            <w:hideMark/>
          </w:tcPr>
          <w:p w14:paraId="4CE4C7AF"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2023</w:t>
            </w:r>
          </w:p>
        </w:tc>
        <w:tc>
          <w:tcPr>
            <w:tcW w:w="1543" w:type="dxa"/>
            <w:tcBorders>
              <w:top w:val="nil"/>
              <w:left w:val="nil"/>
              <w:bottom w:val="nil"/>
              <w:right w:val="nil"/>
            </w:tcBorders>
            <w:vAlign w:val="center"/>
            <w:hideMark/>
          </w:tcPr>
          <w:p w14:paraId="7FCD67B3"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60–79 years</w:t>
            </w:r>
          </w:p>
        </w:tc>
        <w:tc>
          <w:tcPr>
            <w:tcW w:w="1305" w:type="dxa"/>
            <w:tcBorders>
              <w:top w:val="nil"/>
              <w:left w:val="nil"/>
              <w:bottom w:val="nil"/>
              <w:right w:val="nil"/>
            </w:tcBorders>
            <w:vAlign w:val="center"/>
            <w:hideMark/>
          </w:tcPr>
          <w:p w14:paraId="06104A26"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 Feb 2023</w:t>
            </w:r>
          </w:p>
        </w:tc>
        <w:tc>
          <w:tcPr>
            <w:tcW w:w="1433" w:type="dxa"/>
            <w:tcBorders>
              <w:top w:val="nil"/>
              <w:left w:val="nil"/>
              <w:bottom w:val="nil"/>
              <w:right w:val="nil"/>
            </w:tcBorders>
            <w:vAlign w:val="center"/>
            <w:hideMark/>
          </w:tcPr>
          <w:p w14:paraId="39F93AB1" w14:textId="78CF1C3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13</w:t>
            </w:r>
            <w:r w:rsidR="00932476" w:rsidRPr="006E34D2">
              <w:rPr>
                <w:rFonts w:eastAsia="Times New Roman" w:cs="Times New Roman"/>
                <w:color w:val="000000"/>
                <w:kern w:val="0"/>
                <w:sz w:val="18"/>
                <w:szCs w:val="22"/>
                <w:lang w:val="en-US"/>
                <w14:ligatures w14:val="none"/>
              </w:rPr>
              <w:t xml:space="preserve"> </w:t>
            </w:r>
            <w:r w:rsidR="00A90427" w:rsidRPr="006E34D2">
              <w:rPr>
                <w:rFonts w:eastAsia="Times New Roman" w:cs="Times New Roman"/>
                <w:color w:val="000000"/>
                <w:kern w:val="0"/>
                <w:sz w:val="18"/>
                <w:szCs w:val="22"/>
                <w:lang w:val="en-US"/>
                <w14:ligatures w14:val="none"/>
              </w:rPr>
              <w:t>M</w:t>
            </w:r>
            <w:r w:rsidRPr="006E34D2">
              <w:rPr>
                <w:rFonts w:eastAsia="Times New Roman" w:cs="Times New Roman"/>
                <w:color w:val="000000"/>
                <w:kern w:val="0"/>
                <w:sz w:val="18"/>
                <w:szCs w:val="22"/>
                <w:lang w:val="en-US"/>
                <w14:ligatures w14:val="none"/>
              </w:rPr>
              <w:t>ar</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23</w:t>
            </w:r>
          </w:p>
        </w:tc>
        <w:tc>
          <w:tcPr>
            <w:tcW w:w="995" w:type="dxa"/>
            <w:tcBorders>
              <w:top w:val="nil"/>
              <w:left w:val="nil"/>
              <w:bottom w:val="nil"/>
              <w:right w:val="nil"/>
            </w:tcBorders>
            <w:vAlign w:val="center"/>
            <w:hideMark/>
          </w:tcPr>
          <w:p w14:paraId="294D7C8E"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w:t>
            </w:r>
          </w:p>
        </w:tc>
        <w:tc>
          <w:tcPr>
            <w:tcW w:w="1097" w:type="dxa"/>
            <w:tcBorders>
              <w:top w:val="nil"/>
              <w:left w:val="nil"/>
              <w:bottom w:val="nil"/>
              <w:right w:val="nil"/>
            </w:tcBorders>
            <w:vAlign w:val="center"/>
            <w:hideMark/>
          </w:tcPr>
          <w:p w14:paraId="1CB02EC7"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 to 5</w:t>
            </w:r>
          </w:p>
        </w:tc>
        <w:tc>
          <w:tcPr>
            <w:tcW w:w="996" w:type="dxa"/>
            <w:tcBorders>
              <w:top w:val="nil"/>
              <w:left w:val="nil"/>
              <w:bottom w:val="nil"/>
              <w:right w:val="nil"/>
            </w:tcBorders>
            <w:vAlign w:val="center"/>
            <w:hideMark/>
          </w:tcPr>
          <w:p w14:paraId="2DFF3DF1"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1.000</w:t>
            </w:r>
          </w:p>
        </w:tc>
      </w:tr>
      <w:tr w:rsidR="00475C5A" w:rsidRPr="006E34D2" w14:paraId="75DCD3E7" w14:textId="77777777" w:rsidTr="00932476">
        <w:trPr>
          <w:cantSplit/>
          <w:trHeight w:val="407"/>
        </w:trPr>
        <w:tc>
          <w:tcPr>
            <w:tcW w:w="1972" w:type="dxa"/>
            <w:tcBorders>
              <w:top w:val="nil"/>
              <w:left w:val="nil"/>
              <w:bottom w:val="nil"/>
              <w:right w:val="nil"/>
            </w:tcBorders>
            <w:vAlign w:val="center"/>
            <w:hideMark/>
          </w:tcPr>
          <w:p w14:paraId="514FEA61"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2023</w:t>
            </w:r>
          </w:p>
        </w:tc>
        <w:tc>
          <w:tcPr>
            <w:tcW w:w="1543" w:type="dxa"/>
            <w:tcBorders>
              <w:top w:val="nil"/>
              <w:left w:val="nil"/>
              <w:bottom w:val="nil"/>
              <w:right w:val="nil"/>
            </w:tcBorders>
            <w:vAlign w:val="center"/>
            <w:hideMark/>
          </w:tcPr>
          <w:p w14:paraId="01DF645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≥80 years</w:t>
            </w:r>
          </w:p>
        </w:tc>
        <w:tc>
          <w:tcPr>
            <w:tcW w:w="1305" w:type="dxa"/>
            <w:tcBorders>
              <w:top w:val="nil"/>
              <w:left w:val="nil"/>
              <w:bottom w:val="nil"/>
              <w:right w:val="nil"/>
            </w:tcBorders>
            <w:vAlign w:val="center"/>
            <w:hideMark/>
          </w:tcPr>
          <w:p w14:paraId="7218C33A"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 Feb 2023</w:t>
            </w:r>
          </w:p>
        </w:tc>
        <w:tc>
          <w:tcPr>
            <w:tcW w:w="1433" w:type="dxa"/>
            <w:tcBorders>
              <w:top w:val="nil"/>
              <w:left w:val="nil"/>
              <w:bottom w:val="nil"/>
              <w:right w:val="nil"/>
            </w:tcBorders>
            <w:vAlign w:val="center"/>
            <w:hideMark/>
          </w:tcPr>
          <w:p w14:paraId="3B068AAC" w14:textId="3ED843CA"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13</w:t>
            </w:r>
            <w:r w:rsidR="00932476" w:rsidRPr="006E34D2">
              <w:rPr>
                <w:rFonts w:eastAsia="Times New Roman" w:cs="Times New Roman"/>
                <w:color w:val="000000"/>
                <w:kern w:val="0"/>
                <w:sz w:val="18"/>
                <w:szCs w:val="22"/>
                <w:lang w:val="en-US"/>
                <w14:ligatures w14:val="none"/>
              </w:rPr>
              <w:t xml:space="preserve"> </w:t>
            </w:r>
            <w:r w:rsidR="00A90427" w:rsidRPr="006E34D2">
              <w:rPr>
                <w:rFonts w:eastAsia="Times New Roman" w:cs="Times New Roman"/>
                <w:color w:val="000000"/>
                <w:kern w:val="0"/>
                <w:sz w:val="18"/>
                <w:szCs w:val="22"/>
                <w:lang w:val="en-US"/>
                <w14:ligatures w14:val="none"/>
              </w:rPr>
              <w:t>M</w:t>
            </w:r>
            <w:r w:rsidRPr="006E34D2">
              <w:rPr>
                <w:rFonts w:eastAsia="Times New Roman" w:cs="Times New Roman"/>
                <w:color w:val="000000"/>
                <w:kern w:val="0"/>
                <w:sz w:val="18"/>
                <w:szCs w:val="22"/>
                <w:lang w:val="en-US"/>
                <w14:ligatures w14:val="none"/>
              </w:rPr>
              <w:t>ar</w:t>
            </w:r>
            <w:r w:rsidR="00932476" w:rsidRPr="006E34D2">
              <w:rPr>
                <w:rFonts w:eastAsia="Times New Roman" w:cs="Times New Roman"/>
                <w:color w:val="000000"/>
                <w:kern w:val="0"/>
                <w:sz w:val="18"/>
                <w:szCs w:val="22"/>
                <w:lang w:val="en-US"/>
                <w14:ligatures w14:val="none"/>
              </w:rPr>
              <w:t xml:space="preserve"> 20</w:t>
            </w:r>
            <w:r w:rsidRPr="006E34D2">
              <w:rPr>
                <w:rFonts w:eastAsia="Times New Roman" w:cs="Times New Roman"/>
                <w:color w:val="000000"/>
                <w:kern w:val="0"/>
                <w:sz w:val="18"/>
                <w:szCs w:val="22"/>
                <w:lang w:val="en-US"/>
                <w14:ligatures w14:val="none"/>
              </w:rPr>
              <w:t>23</w:t>
            </w:r>
          </w:p>
        </w:tc>
        <w:tc>
          <w:tcPr>
            <w:tcW w:w="995" w:type="dxa"/>
            <w:tcBorders>
              <w:top w:val="nil"/>
              <w:left w:val="nil"/>
              <w:bottom w:val="nil"/>
              <w:right w:val="nil"/>
            </w:tcBorders>
            <w:vAlign w:val="center"/>
            <w:hideMark/>
          </w:tcPr>
          <w:p w14:paraId="0502C9F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3</w:t>
            </w:r>
          </w:p>
        </w:tc>
        <w:tc>
          <w:tcPr>
            <w:tcW w:w="1097" w:type="dxa"/>
            <w:tcBorders>
              <w:top w:val="nil"/>
              <w:left w:val="nil"/>
              <w:bottom w:val="nil"/>
              <w:right w:val="nil"/>
            </w:tcBorders>
            <w:vAlign w:val="center"/>
            <w:hideMark/>
          </w:tcPr>
          <w:p w14:paraId="570AEEA2"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 to 5</w:t>
            </w:r>
          </w:p>
        </w:tc>
        <w:tc>
          <w:tcPr>
            <w:tcW w:w="996" w:type="dxa"/>
            <w:tcBorders>
              <w:top w:val="nil"/>
              <w:left w:val="nil"/>
              <w:bottom w:val="nil"/>
              <w:right w:val="nil"/>
            </w:tcBorders>
            <w:vAlign w:val="center"/>
            <w:hideMark/>
          </w:tcPr>
          <w:p w14:paraId="597197E3"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0.974</w:t>
            </w:r>
          </w:p>
        </w:tc>
      </w:tr>
      <w:tr w:rsidR="00475C5A" w:rsidRPr="006E34D2" w14:paraId="6C3A88DC" w14:textId="77777777" w:rsidTr="00932476">
        <w:trPr>
          <w:cantSplit/>
          <w:trHeight w:val="611"/>
        </w:trPr>
        <w:tc>
          <w:tcPr>
            <w:tcW w:w="1972" w:type="dxa"/>
            <w:tcBorders>
              <w:top w:val="nil"/>
              <w:left w:val="nil"/>
              <w:bottom w:val="nil"/>
              <w:right w:val="nil"/>
            </w:tcBorders>
            <w:vAlign w:val="center"/>
            <w:hideMark/>
          </w:tcPr>
          <w:p w14:paraId="33BA291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2024</w:t>
            </w:r>
          </w:p>
        </w:tc>
        <w:tc>
          <w:tcPr>
            <w:tcW w:w="1543" w:type="dxa"/>
            <w:tcBorders>
              <w:top w:val="nil"/>
              <w:left w:val="nil"/>
              <w:bottom w:val="nil"/>
              <w:right w:val="nil"/>
            </w:tcBorders>
            <w:vAlign w:val="center"/>
            <w:hideMark/>
          </w:tcPr>
          <w:p w14:paraId="07C77861"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18–59 years</w:t>
            </w:r>
          </w:p>
        </w:tc>
        <w:tc>
          <w:tcPr>
            <w:tcW w:w="1305" w:type="dxa"/>
            <w:tcBorders>
              <w:top w:val="nil"/>
              <w:left w:val="nil"/>
              <w:bottom w:val="nil"/>
              <w:right w:val="nil"/>
            </w:tcBorders>
            <w:vAlign w:val="center"/>
            <w:hideMark/>
          </w:tcPr>
          <w:p w14:paraId="0A61E1F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15 Apr 2024</w:t>
            </w:r>
          </w:p>
        </w:tc>
        <w:tc>
          <w:tcPr>
            <w:tcW w:w="1433" w:type="dxa"/>
            <w:tcBorders>
              <w:top w:val="nil"/>
              <w:left w:val="nil"/>
              <w:bottom w:val="nil"/>
              <w:right w:val="nil"/>
            </w:tcBorders>
            <w:vAlign w:val="center"/>
            <w:hideMark/>
          </w:tcPr>
          <w:p w14:paraId="68270B42"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22 Apr 2024</w:t>
            </w:r>
          </w:p>
        </w:tc>
        <w:tc>
          <w:tcPr>
            <w:tcW w:w="995" w:type="dxa"/>
            <w:tcBorders>
              <w:top w:val="nil"/>
              <w:left w:val="nil"/>
              <w:bottom w:val="nil"/>
              <w:right w:val="nil"/>
            </w:tcBorders>
            <w:vAlign w:val="center"/>
            <w:hideMark/>
          </w:tcPr>
          <w:p w14:paraId="3CE7E23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w:t>
            </w:r>
          </w:p>
        </w:tc>
        <w:tc>
          <w:tcPr>
            <w:tcW w:w="1097" w:type="dxa"/>
            <w:tcBorders>
              <w:top w:val="nil"/>
              <w:left w:val="nil"/>
              <w:bottom w:val="nil"/>
              <w:right w:val="nil"/>
            </w:tcBorders>
            <w:vAlign w:val="center"/>
            <w:hideMark/>
          </w:tcPr>
          <w:p w14:paraId="26DDCF11"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 to 3</w:t>
            </w:r>
          </w:p>
        </w:tc>
        <w:tc>
          <w:tcPr>
            <w:tcW w:w="996" w:type="dxa"/>
            <w:tcBorders>
              <w:top w:val="nil"/>
              <w:left w:val="nil"/>
              <w:bottom w:val="nil"/>
              <w:right w:val="nil"/>
            </w:tcBorders>
            <w:vAlign w:val="center"/>
            <w:hideMark/>
          </w:tcPr>
          <w:p w14:paraId="265D816A"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0.989</w:t>
            </w:r>
          </w:p>
        </w:tc>
      </w:tr>
      <w:tr w:rsidR="00475C5A" w:rsidRPr="006E34D2" w14:paraId="1E1B5120" w14:textId="77777777" w:rsidTr="00932476">
        <w:trPr>
          <w:cantSplit/>
          <w:trHeight w:val="611"/>
        </w:trPr>
        <w:tc>
          <w:tcPr>
            <w:tcW w:w="1972" w:type="dxa"/>
            <w:tcBorders>
              <w:top w:val="nil"/>
              <w:left w:val="nil"/>
              <w:bottom w:val="nil"/>
              <w:right w:val="nil"/>
            </w:tcBorders>
            <w:vAlign w:val="center"/>
            <w:hideMark/>
          </w:tcPr>
          <w:p w14:paraId="1CA15975"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2024</w:t>
            </w:r>
          </w:p>
        </w:tc>
        <w:tc>
          <w:tcPr>
            <w:tcW w:w="1543" w:type="dxa"/>
            <w:tcBorders>
              <w:top w:val="nil"/>
              <w:left w:val="nil"/>
              <w:bottom w:val="nil"/>
              <w:right w:val="nil"/>
            </w:tcBorders>
            <w:vAlign w:val="center"/>
            <w:hideMark/>
          </w:tcPr>
          <w:p w14:paraId="74F1A8F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60–79 years</w:t>
            </w:r>
          </w:p>
        </w:tc>
        <w:tc>
          <w:tcPr>
            <w:tcW w:w="1305" w:type="dxa"/>
            <w:tcBorders>
              <w:top w:val="nil"/>
              <w:left w:val="nil"/>
              <w:bottom w:val="nil"/>
              <w:right w:val="nil"/>
            </w:tcBorders>
            <w:vAlign w:val="center"/>
            <w:hideMark/>
          </w:tcPr>
          <w:p w14:paraId="75EB957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15 Apr 2024</w:t>
            </w:r>
          </w:p>
        </w:tc>
        <w:tc>
          <w:tcPr>
            <w:tcW w:w="1433" w:type="dxa"/>
            <w:tcBorders>
              <w:top w:val="nil"/>
              <w:left w:val="nil"/>
              <w:bottom w:val="nil"/>
              <w:right w:val="nil"/>
            </w:tcBorders>
            <w:vAlign w:val="center"/>
            <w:hideMark/>
          </w:tcPr>
          <w:p w14:paraId="69D20E1C"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29 Apr 2024</w:t>
            </w:r>
          </w:p>
        </w:tc>
        <w:tc>
          <w:tcPr>
            <w:tcW w:w="995" w:type="dxa"/>
            <w:tcBorders>
              <w:top w:val="nil"/>
              <w:left w:val="nil"/>
              <w:bottom w:val="nil"/>
              <w:right w:val="nil"/>
            </w:tcBorders>
            <w:vAlign w:val="center"/>
            <w:hideMark/>
          </w:tcPr>
          <w:p w14:paraId="3A74293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w:t>
            </w:r>
          </w:p>
        </w:tc>
        <w:tc>
          <w:tcPr>
            <w:tcW w:w="1097" w:type="dxa"/>
            <w:tcBorders>
              <w:top w:val="nil"/>
              <w:left w:val="nil"/>
              <w:bottom w:val="nil"/>
              <w:right w:val="nil"/>
            </w:tcBorders>
            <w:vAlign w:val="center"/>
            <w:hideMark/>
          </w:tcPr>
          <w:p w14:paraId="155D925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 to 3</w:t>
            </w:r>
          </w:p>
        </w:tc>
        <w:tc>
          <w:tcPr>
            <w:tcW w:w="996" w:type="dxa"/>
            <w:tcBorders>
              <w:top w:val="nil"/>
              <w:left w:val="nil"/>
              <w:bottom w:val="nil"/>
              <w:right w:val="nil"/>
            </w:tcBorders>
            <w:vAlign w:val="center"/>
            <w:hideMark/>
          </w:tcPr>
          <w:p w14:paraId="41C42DBC"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0.999</w:t>
            </w:r>
          </w:p>
        </w:tc>
      </w:tr>
      <w:tr w:rsidR="00475C5A" w:rsidRPr="006E34D2" w14:paraId="79D650B4" w14:textId="77777777" w:rsidTr="00932476">
        <w:trPr>
          <w:cantSplit/>
          <w:trHeight w:val="407"/>
        </w:trPr>
        <w:tc>
          <w:tcPr>
            <w:tcW w:w="1972" w:type="dxa"/>
            <w:tcBorders>
              <w:top w:val="nil"/>
              <w:left w:val="nil"/>
              <w:bottom w:val="nil"/>
              <w:right w:val="nil"/>
            </w:tcBorders>
            <w:vAlign w:val="center"/>
            <w:hideMark/>
          </w:tcPr>
          <w:p w14:paraId="19040B93"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2024</w:t>
            </w:r>
          </w:p>
        </w:tc>
        <w:tc>
          <w:tcPr>
            <w:tcW w:w="1543" w:type="dxa"/>
            <w:tcBorders>
              <w:top w:val="nil"/>
              <w:left w:val="nil"/>
              <w:bottom w:val="nil"/>
              <w:right w:val="nil"/>
            </w:tcBorders>
            <w:vAlign w:val="center"/>
            <w:hideMark/>
          </w:tcPr>
          <w:p w14:paraId="4B3CBCC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≥80 years</w:t>
            </w:r>
          </w:p>
        </w:tc>
        <w:tc>
          <w:tcPr>
            <w:tcW w:w="1305" w:type="dxa"/>
            <w:tcBorders>
              <w:top w:val="nil"/>
              <w:left w:val="nil"/>
              <w:bottom w:val="nil"/>
              <w:right w:val="nil"/>
            </w:tcBorders>
            <w:vAlign w:val="center"/>
            <w:hideMark/>
          </w:tcPr>
          <w:p w14:paraId="7423D95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15 Apr 2024</w:t>
            </w:r>
          </w:p>
        </w:tc>
        <w:tc>
          <w:tcPr>
            <w:tcW w:w="1433" w:type="dxa"/>
            <w:tcBorders>
              <w:top w:val="nil"/>
              <w:left w:val="nil"/>
              <w:bottom w:val="nil"/>
              <w:right w:val="nil"/>
            </w:tcBorders>
            <w:vAlign w:val="center"/>
            <w:hideMark/>
          </w:tcPr>
          <w:p w14:paraId="1E56BD46"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29 Apr 2024</w:t>
            </w:r>
          </w:p>
        </w:tc>
        <w:tc>
          <w:tcPr>
            <w:tcW w:w="995" w:type="dxa"/>
            <w:tcBorders>
              <w:top w:val="nil"/>
              <w:left w:val="nil"/>
              <w:bottom w:val="nil"/>
              <w:right w:val="nil"/>
            </w:tcBorders>
            <w:vAlign w:val="center"/>
            <w:hideMark/>
          </w:tcPr>
          <w:p w14:paraId="00A7DCE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w:t>
            </w:r>
          </w:p>
        </w:tc>
        <w:tc>
          <w:tcPr>
            <w:tcW w:w="1097" w:type="dxa"/>
            <w:tcBorders>
              <w:top w:val="nil"/>
              <w:left w:val="nil"/>
              <w:bottom w:val="nil"/>
              <w:right w:val="nil"/>
            </w:tcBorders>
            <w:vAlign w:val="center"/>
            <w:hideMark/>
          </w:tcPr>
          <w:p w14:paraId="42D265C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 to 4</w:t>
            </w:r>
          </w:p>
        </w:tc>
        <w:tc>
          <w:tcPr>
            <w:tcW w:w="996" w:type="dxa"/>
            <w:tcBorders>
              <w:top w:val="nil"/>
              <w:left w:val="nil"/>
              <w:bottom w:val="nil"/>
              <w:right w:val="nil"/>
            </w:tcBorders>
            <w:vAlign w:val="center"/>
            <w:hideMark/>
          </w:tcPr>
          <w:p w14:paraId="1C9777A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0.998</w:t>
            </w:r>
          </w:p>
        </w:tc>
      </w:tr>
      <w:tr w:rsidR="00475C5A" w:rsidRPr="006E34D2" w14:paraId="23B89098" w14:textId="77777777" w:rsidTr="00932476">
        <w:trPr>
          <w:cantSplit/>
          <w:trHeight w:val="611"/>
        </w:trPr>
        <w:tc>
          <w:tcPr>
            <w:tcW w:w="1972" w:type="dxa"/>
            <w:tcBorders>
              <w:top w:val="nil"/>
              <w:left w:val="nil"/>
              <w:bottom w:val="nil"/>
              <w:right w:val="nil"/>
            </w:tcBorders>
            <w:vAlign w:val="center"/>
            <w:hideMark/>
          </w:tcPr>
          <w:p w14:paraId="2DE3001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2025</w:t>
            </w:r>
          </w:p>
        </w:tc>
        <w:tc>
          <w:tcPr>
            <w:tcW w:w="1543" w:type="dxa"/>
            <w:tcBorders>
              <w:top w:val="nil"/>
              <w:left w:val="nil"/>
              <w:bottom w:val="nil"/>
              <w:right w:val="nil"/>
            </w:tcBorders>
            <w:vAlign w:val="center"/>
            <w:hideMark/>
          </w:tcPr>
          <w:p w14:paraId="7886CE50"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18–59 years</w:t>
            </w:r>
          </w:p>
        </w:tc>
        <w:tc>
          <w:tcPr>
            <w:tcW w:w="1305" w:type="dxa"/>
            <w:tcBorders>
              <w:top w:val="nil"/>
              <w:left w:val="nil"/>
              <w:bottom w:val="nil"/>
              <w:right w:val="nil"/>
            </w:tcBorders>
            <w:vAlign w:val="center"/>
            <w:hideMark/>
          </w:tcPr>
          <w:p w14:paraId="66A5C51A"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5 May 2025</w:t>
            </w:r>
          </w:p>
        </w:tc>
        <w:tc>
          <w:tcPr>
            <w:tcW w:w="1433" w:type="dxa"/>
            <w:tcBorders>
              <w:top w:val="nil"/>
              <w:left w:val="nil"/>
              <w:bottom w:val="nil"/>
              <w:right w:val="nil"/>
            </w:tcBorders>
            <w:vAlign w:val="center"/>
            <w:hideMark/>
          </w:tcPr>
          <w:p w14:paraId="008761F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12 May 2025</w:t>
            </w:r>
          </w:p>
        </w:tc>
        <w:tc>
          <w:tcPr>
            <w:tcW w:w="995" w:type="dxa"/>
            <w:tcBorders>
              <w:top w:val="nil"/>
              <w:left w:val="nil"/>
              <w:bottom w:val="nil"/>
              <w:right w:val="nil"/>
            </w:tcBorders>
            <w:vAlign w:val="center"/>
            <w:hideMark/>
          </w:tcPr>
          <w:p w14:paraId="64C633A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w:t>
            </w:r>
          </w:p>
        </w:tc>
        <w:tc>
          <w:tcPr>
            <w:tcW w:w="1097" w:type="dxa"/>
            <w:tcBorders>
              <w:top w:val="nil"/>
              <w:left w:val="nil"/>
              <w:bottom w:val="nil"/>
              <w:right w:val="nil"/>
            </w:tcBorders>
            <w:vAlign w:val="center"/>
            <w:hideMark/>
          </w:tcPr>
          <w:p w14:paraId="22B9196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 to 2</w:t>
            </w:r>
          </w:p>
        </w:tc>
        <w:tc>
          <w:tcPr>
            <w:tcW w:w="996" w:type="dxa"/>
            <w:tcBorders>
              <w:top w:val="nil"/>
              <w:left w:val="nil"/>
              <w:bottom w:val="nil"/>
              <w:right w:val="nil"/>
            </w:tcBorders>
            <w:vAlign w:val="center"/>
            <w:hideMark/>
          </w:tcPr>
          <w:p w14:paraId="320FD058"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0.935</w:t>
            </w:r>
          </w:p>
        </w:tc>
      </w:tr>
      <w:tr w:rsidR="00475C5A" w:rsidRPr="006E34D2" w14:paraId="13AC1BA9" w14:textId="77777777" w:rsidTr="00932476">
        <w:trPr>
          <w:cantSplit/>
          <w:trHeight w:val="611"/>
        </w:trPr>
        <w:tc>
          <w:tcPr>
            <w:tcW w:w="1972" w:type="dxa"/>
            <w:tcBorders>
              <w:top w:val="nil"/>
              <w:left w:val="nil"/>
              <w:bottom w:val="nil"/>
              <w:right w:val="nil"/>
            </w:tcBorders>
            <w:vAlign w:val="center"/>
            <w:hideMark/>
          </w:tcPr>
          <w:p w14:paraId="7A8FDBC6"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2025</w:t>
            </w:r>
          </w:p>
        </w:tc>
        <w:tc>
          <w:tcPr>
            <w:tcW w:w="1543" w:type="dxa"/>
            <w:tcBorders>
              <w:top w:val="nil"/>
              <w:left w:val="nil"/>
              <w:bottom w:val="nil"/>
              <w:right w:val="nil"/>
            </w:tcBorders>
            <w:vAlign w:val="center"/>
            <w:hideMark/>
          </w:tcPr>
          <w:p w14:paraId="7BEF42D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60–79 years</w:t>
            </w:r>
          </w:p>
        </w:tc>
        <w:tc>
          <w:tcPr>
            <w:tcW w:w="1305" w:type="dxa"/>
            <w:tcBorders>
              <w:top w:val="nil"/>
              <w:left w:val="nil"/>
              <w:bottom w:val="nil"/>
              <w:right w:val="nil"/>
            </w:tcBorders>
            <w:vAlign w:val="center"/>
            <w:hideMark/>
          </w:tcPr>
          <w:p w14:paraId="24E46BD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5 May 2025</w:t>
            </w:r>
          </w:p>
        </w:tc>
        <w:tc>
          <w:tcPr>
            <w:tcW w:w="1433" w:type="dxa"/>
            <w:tcBorders>
              <w:top w:val="nil"/>
              <w:left w:val="nil"/>
              <w:bottom w:val="nil"/>
              <w:right w:val="nil"/>
            </w:tcBorders>
            <w:vAlign w:val="center"/>
            <w:hideMark/>
          </w:tcPr>
          <w:p w14:paraId="6A0A6F1F"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19 May 2025</w:t>
            </w:r>
          </w:p>
        </w:tc>
        <w:tc>
          <w:tcPr>
            <w:tcW w:w="995" w:type="dxa"/>
            <w:tcBorders>
              <w:top w:val="nil"/>
              <w:left w:val="nil"/>
              <w:bottom w:val="nil"/>
              <w:right w:val="nil"/>
            </w:tcBorders>
            <w:vAlign w:val="center"/>
            <w:hideMark/>
          </w:tcPr>
          <w:p w14:paraId="2D55EBC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w:t>
            </w:r>
          </w:p>
        </w:tc>
        <w:tc>
          <w:tcPr>
            <w:tcW w:w="1097" w:type="dxa"/>
            <w:tcBorders>
              <w:top w:val="nil"/>
              <w:left w:val="nil"/>
              <w:bottom w:val="nil"/>
              <w:right w:val="nil"/>
            </w:tcBorders>
            <w:vAlign w:val="center"/>
            <w:hideMark/>
          </w:tcPr>
          <w:p w14:paraId="5443F4C2"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 to 3</w:t>
            </w:r>
          </w:p>
        </w:tc>
        <w:tc>
          <w:tcPr>
            <w:tcW w:w="996" w:type="dxa"/>
            <w:tcBorders>
              <w:top w:val="nil"/>
              <w:left w:val="nil"/>
              <w:bottom w:val="nil"/>
              <w:right w:val="nil"/>
            </w:tcBorders>
            <w:vAlign w:val="center"/>
            <w:hideMark/>
          </w:tcPr>
          <w:p w14:paraId="4E1195C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0.988</w:t>
            </w:r>
          </w:p>
        </w:tc>
      </w:tr>
      <w:tr w:rsidR="00475C5A" w:rsidRPr="006E34D2" w14:paraId="6D4A32EE" w14:textId="77777777" w:rsidTr="00932476">
        <w:trPr>
          <w:cantSplit/>
          <w:trHeight w:val="407"/>
        </w:trPr>
        <w:tc>
          <w:tcPr>
            <w:tcW w:w="1972" w:type="dxa"/>
            <w:tcBorders>
              <w:top w:val="nil"/>
              <w:left w:val="nil"/>
              <w:bottom w:val="nil"/>
              <w:right w:val="nil"/>
            </w:tcBorders>
            <w:vAlign w:val="center"/>
            <w:hideMark/>
          </w:tcPr>
          <w:p w14:paraId="4CADDB7D"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2025</w:t>
            </w:r>
          </w:p>
        </w:tc>
        <w:tc>
          <w:tcPr>
            <w:tcW w:w="1543" w:type="dxa"/>
            <w:tcBorders>
              <w:top w:val="nil"/>
              <w:left w:val="nil"/>
              <w:bottom w:val="nil"/>
              <w:right w:val="nil"/>
            </w:tcBorders>
            <w:vAlign w:val="center"/>
            <w:hideMark/>
          </w:tcPr>
          <w:p w14:paraId="44CA33FC"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&lt;5 vs ≥80 years</w:t>
            </w:r>
          </w:p>
        </w:tc>
        <w:tc>
          <w:tcPr>
            <w:tcW w:w="1305" w:type="dxa"/>
            <w:tcBorders>
              <w:top w:val="nil"/>
              <w:left w:val="nil"/>
              <w:bottom w:val="nil"/>
              <w:right w:val="nil"/>
            </w:tcBorders>
            <w:vAlign w:val="center"/>
            <w:hideMark/>
          </w:tcPr>
          <w:p w14:paraId="1C3921C4"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5 May 2025</w:t>
            </w:r>
          </w:p>
        </w:tc>
        <w:tc>
          <w:tcPr>
            <w:tcW w:w="1433" w:type="dxa"/>
            <w:tcBorders>
              <w:top w:val="nil"/>
              <w:left w:val="nil"/>
              <w:bottom w:val="nil"/>
              <w:right w:val="nil"/>
            </w:tcBorders>
            <w:vAlign w:val="center"/>
            <w:hideMark/>
          </w:tcPr>
          <w:p w14:paraId="56D12029"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19 May 2025</w:t>
            </w:r>
          </w:p>
        </w:tc>
        <w:tc>
          <w:tcPr>
            <w:tcW w:w="995" w:type="dxa"/>
            <w:tcBorders>
              <w:top w:val="nil"/>
              <w:left w:val="nil"/>
              <w:bottom w:val="nil"/>
              <w:right w:val="nil"/>
            </w:tcBorders>
            <w:vAlign w:val="center"/>
            <w:hideMark/>
          </w:tcPr>
          <w:p w14:paraId="2FCBBB6F"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2</w:t>
            </w:r>
          </w:p>
        </w:tc>
        <w:tc>
          <w:tcPr>
            <w:tcW w:w="1097" w:type="dxa"/>
            <w:tcBorders>
              <w:top w:val="nil"/>
              <w:left w:val="nil"/>
              <w:bottom w:val="nil"/>
              <w:right w:val="nil"/>
            </w:tcBorders>
            <w:vAlign w:val="center"/>
            <w:hideMark/>
          </w:tcPr>
          <w:p w14:paraId="35E25270"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 to 3</w:t>
            </w:r>
          </w:p>
        </w:tc>
        <w:tc>
          <w:tcPr>
            <w:tcW w:w="996" w:type="dxa"/>
            <w:tcBorders>
              <w:top w:val="nil"/>
              <w:left w:val="nil"/>
              <w:bottom w:val="nil"/>
              <w:right w:val="nil"/>
            </w:tcBorders>
            <w:vAlign w:val="center"/>
            <w:hideMark/>
          </w:tcPr>
          <w:p w14:paraId="4681669B" w14:textId="77777777" w:rsidR="00475C5A" w:rsidRPr="0045473D" w:rsidRDefault="00475C5A" w:rsidP="0045473D">
            <w:pPr>
              <w:spacing w:after="0" w:line="240" w:lineRule="auto"/>
              <w:jc w:val="both"/>
              <w:rPr>
                <w:rFonts w:eastAsia="Times New Roman" w:cs="Times New Roman"/>
                <w:color w:val="000000"/>
                <w:kern w:val="0"/>
                <w:szCs w:val="22"/>
                <w:lang w:val="en-US" w:eastAsia="pt-BR"/>
                <w14:ligatures w14:val="none"/>
              </w:rPr>
            </w:pPr>
            <w:r w:rsidRPr="006E34D2">
              <w:rPr>
                <w:rFonts w:eastAsia="Times New Roman" w:cs="Times New Roman"/>
                <w:color w:val="000000"/>
                <w:kern w:val="0"/>
                <w:sz w:val="18"/>
                <w:szCs w:val="22"/>
                <w:lang w:val="en-US"/>
                <w14:ligatures w14:val="none"/>
              </w:rPr>
              <w:t>0.950</w:t>
            </w:r>
          </w:p>
        </w:tc>
      </w:tr>
    </w:tbl>
    <w:p w14:paraId="147E3D03" w14:textId="77777777" w:rsidR="00677A63" w:rsidRPr="0045473D" w:rsidRDefault="00677A63" w:rsidP="0045473D">
      <w:pPr>
        <w:spacing w:line="240" w:lineRule="auto"/>
        <w:ind w:firstLine="708"/>
        <w:jc w:val="both"/>
        <w:rPr>
          <w:rFonts w:cs="Times New Roman"/>
          <w:b/>
          <w:bCs/>
          <w:lang w:val="en-US"/>
        </w:rPr>
      </w:pPr>
    </w:p>
    <w:p w14:paraId="7E579222" w14:textId="77777777" w:rsidR="00944F5B" w:rsidRPr="006E34D2" w:rsidRDefault="00F85AA8" w:rsidP="006E34D2">
      <w:pPr>
        <w:spacing w:before="40" w:after="120" w:line="240" w:lineRule="auto"/>
        <w:jc w:val="both"/>
        <w:rPr>
          <w:rFonts w:eastAsia="Times New Roman" w:cs="Times New Roman"/>
          <w:sz w:val="20"/>
          <w:lang w:val="en-US"/>
        </w:rPr>
      </w:pPr>
      <w:r w:rsidRPr="006E34D2">
        <w:rPr>
          <w:rFonts w:eastAsia="Times New Roman" w:cs="Times New Roman"/>
          <w:b/>
          <w:sz w:val="20"/>
          <w:lang w:val="en-US"/>
        </w:rPr>
        <w:t xml:space="preserve">Footnote: </w:t>
      </w:r>
      <w:r w:rsidRPr="006E34D2">
        <w:rPr>
          <w:rFonts w:eastAsia="Times New Roman" w:cs="Times New Roman"/>
          <w:sz w:val="20"/>
          <w:lang w:val="en-US"/>
        </w:rPr>
        <w:t xml:space="preserve">Positive lead time indicates that children aged &lt;5 years peaked earlier than the comparator. Comparisons with the 5–17-year group were secondary and are not shown. </w:t>
      </w:r>
      <w:r w:rsidR="00944F5B" w:rsidRPr="006E34D2">
        <w:rPr>
          <w:rFonts w:eastAsia="Times New Roman" w:cs="Times New Roman"/>
          <w:sz w:val="20"/>
          <w:lang w:val="en-US"/>
        </w:rPr>
        <w:t>Pairwise comparisons between children aged &lt;5 years and adult age groups for 2021 are not shown in this table because several comparator peaks occurred near the epidemiological-year boundary, making the corresponding lead-lag estimates unstable.</w:t>
      </w:r>
    </w:p>
    <w:p w14:paraId="65F9088A" w14:textId="77777777" w:rsidR="00944F5B" w:rsidRPr="006E34D2" w:rsidRDefault="00944F5B" w:rsidP="006E34D2">
      <w:pPr>
        <w:spacing w:before="40" w:after="120" w:line="240" w:lineRule="auto"/>
        <w:ind w:firstLine="708"/>
        <w:jc w:val="both"/>
        <w:rPr>
          <w:rFonts w:eastAsia="Times New Roman" w:cs="Times New Roman"/>
          <w:sz w:val="20"/>
          <w:lang w:val="en-US"/>
        </w:rPr>
      </w:pPr>
    </w:p>
    <w:p w14:paraId="65FFFB0B" w14:textId="008E1645" w:rsidR="00BD210D" w:rsidRPr="006E34D2" w:rsidRDefault="003B29C8" w:rsidP="006E34D2">
      <w:pPr>
        <w:spacing w:before="40" w:after="120" w:line="240" w:lineRule="auto"/>
        <w:ind w:firstLine="708"/>
        <w:jc w:val="both"/>
        <w:rPr>
          <w:rFonts w:eastAsia="Times New Roman" w:cs="Times New Roman"/>
          <w:lang w:val="en-US"/>
        </w:rPr>
      </w:pPr>
      <w:r w:rsidRPr="006E34D2">
        <w:rPr>
          <w:rFonts w:eastAsia="Times New Roman" w:cs="Times New Roman"/>
          <w:lang w:val="en-US"/>
        </w:rPr>
        <w:t>Complete Bayesian outputs are provided in Supplementary Data Files S4–S6: pairwise posterior lead-lag comparisons (S4), posterior peak-week draws by age group and year (S5), and comparisons between children aged &lt;5 years and the reference series excluding that group (S6).</w:t>
      </w:r>
    </w:p>
    <w:p w14:paraId="221F68E4" w14:textId="77777777" w:rsidR="00C66F63" w:rsidRPr="0045473D" w:rsidRDefault="00C66F63" w:rsidP="006E34D2">
      <w:pPr>
        <w:spacing w:before="40" w:after="120" w:line="240" w:lineRule="auto"/>
        <w:ind w:firstLine="708"/>
        <w:jc w:val="both"/>
        <w:rPr>
          <w:rFonts w:cs="Times New Roman"/>
          <w:lang w:val="en-US"/>
        </w:rPr>
      </w:pPr>
    </w:p>
    <w:p w14:paraId="630E6906" w14:textId="77777777" w:rsidR="00725FB0" w:rsidRPr="006E34D2" w:rsidRDefault="00725FB0" w:rsidP="0045473D">
      <w:pPr>
        <w:spacing w:line="360" w:lineRule="auto"/>
        <w:ind w:firstLine="708"/>
        <w:jc w:val="both"/>
        <w:rPr>
          <w:rFonts w:eastAsia="Times New Roman" w:cs="Times New Roman"/>
          <w:b/>
          <w:lang w:val="en-US"/>
        </w:rPr>
      </w:pPr>
      <w:r w:rsidRPr="006E34D2">
        <w:rPr>
          <w:rFonts w:eastAsia="Times New Roman" w:cs="Times New Roman"/>
          <w:b/>
          <w:lang w:val="en-US"/>
        </w:rPr>
        <w:t>Supplementary Method S6. Software, reproducibility, and analytical traceability</w:t>
      </w:r>
    </w:p>
    <w:p w14:paraId="3ADFFE0C" w14:textId="77777777" w:rsidR="00725FB0" w:rsidRPr="006E34D2" w:rsidRDefault="00725FB0" w:rsidP="0045473D">
      <w:pPr>
        <w:spacing w:line="360" w:lineRule="auto"/>
        <w:ind w:firstLine="708"/>
        <w:jc w:val="both"/>
        <w:rPr>
          <w:rFonts w:eastAsia="Times New Roman" w:cs="Times New Roman"/>
          <w:bCs/>
          <w:lang w:val="en-US"/>
        </w:rPr>
      </w:pPr>
      <w:r w:rsidRPr="006E34D2">
        <w:rPr>
          <w:rFonts w:eastAsia="Times New Roman" w:cs="Times New Roman"/>
          <w:bCs/>
          <w:lang w:val="en-US"/>
        </w:rPr>
        <w:t>Data processing and analysis used Microsoft Power BI Desktop 2.155.756.0, Python 3.11.13, and R 4.3.3; Bayesian models were fitted in PyMC 5.27.0. Internal sample-level identifiers, centralized configuration files, audit outputs, and intermediate analytical artifacts supported traceability across extraction, cleaning, linkage, territorial enrichment, descriptive analysis, and Bayesian modelling.</w:t>
      </w:r>
    </w:p>
    <w:p w14:paraId="3E21D74B" w14:textId="77777777" w:rsidR="00725FB0" w:rsidRPr="006E34D2" w:rsidRDefault="00725FB0" w:rsidP="0045473D">
      <w:pPr>
        <w:spacing w:line="360" w:lineRule="auto"/>
        <w:ind w:firstLine="708"/>
        <w:jc w:val="both"/>
        <w:rPr>
          <w:rFonts w:eastAsia="Times New Roman" w:cs="Times New Roman"/>
          <w:bCs/>
          <w:lang w:val="en-US"/>
        </w:rPr>
      </w:pPr>
    </w:p>
    <w:p w14:paraId="334D3648" w14:textId="77777777" w:rsidR="00725FB0" w:rsidRPr="006E34D2" w:rsidRDefault="00725FB0" w:rsidP="0045473D">
      <w:pPr>
        <w:spacing w:line="360" w:lineRule="auto"/>
        <w:ind w:firstLine="708"/>
        <w:jc w:val="both"/>
        <w:rPr>
          <w:rFonts w:eastAsia="Times New Roman" w:cs="Times New Roman"/>
          <w:bCs/>
          <w:lang w:val="en-US"/>
        </w:rPr>
      </w:pPr>
      <w:r w:rsidRPr="006E34D2">
        <w:rPr>
          <w:rFonts w:eastAsia="Times New Roman" w:cs="Times New Roman"/>
          <w:bCs/>
          <w:lang w:val="en-US"/>
        </w:rPr>
        <w:lastRenderedPageBreak/>
        <w:t>Public reproducibility begins from a de-identified study-level analytical dataset derived from routine laboratory surveillance records, containing the variables required to reproduce the downstream analyses reported in this study. The accompanying public repository provides the analytical dataset, data dictionary, dataset-construction specification, supporting aggregate and territorial inputs, and article-specific R and Python scripts required to reproduce the reported descriptive, temporal, territorial, surveillance-stream, age-stratified, and Bayesian results.</w:t>
      </w:r>
    </w:p>
    <w:p w14:paraId="21FFFD13" w14:textId="073C4807" w:rsidR="00ED6996" w:rsidRPr="0045473D" w:rsidRDefault="00725FB0" w:rsidP="0045473D">
      <w:pPr>
        <w:spacing w:line="360" w:lineRule="auto"/>
        <w:ind w:firstLine="708"/>
        <w:jc w:val="both"/>
        <w:rPr>
          <w:rFonts w:cs="Times New Roman"/>
          <w:bCs/>
          <w:lang w:val="en-US"/>
        </w:rPr>
      </w:pPr>
      <w:r w:rsidRPr="006E34D2">
        <w:rPr>
          <w:rFonts w:eastAsia="Times New Roman" w:cs="Times New Roman"/>
          <w:bCs/>
          <w:lang w:val="en-US"/>
        </w:rPr>
        <w:t>The underlying individual-level GAL and SIVEP-Gripe records, private identifier mappings, operational configuration files, intermediate internal datasets, and the complete GALAXIS/JANUS implementation are not included in the public repository because of data-governance, confidentiality, institutional, and software-development constraints. Analyses used the laboratory sample code as the internal sample-level identifier, whereas the public analytical dataset uses pseudonymous study identifiers. Direct personal identifiers and variables presenting a potential risk of re-identification are not included in the public dataset.</w:t>
      </w:r>
    </w:p>
    <w:p w14:paraId="05780FA1" w14:textId="75503B4D" w:rsidR="00C91C7D" w:rsidRPr="0045473D" w:rsidRDefault="002526A5" w:rsidP="0045473D">
      <w:pPr>
        <w:keepNext/>
        <w:spacing w:before="200" w:after="100" w:line="276" w:lineRule="auto"/>
        <w:jc w:val="both"/>
        <w:rPr>
          <w:rFonts w:cs="Times New Roman"/>
          <w:lang w:val="en-US"/>
        </w:rPr>
      </w:pPr>
      <w:r w:rsidRPr="006E34D2">
        <w:rPr>
          <w:rFonts w:eastAsia="Times New Roman" w:cs="Times New Roman"/>
          <w:b/>
          <w:sz w:val="24"/>
          <w:lang w:val="en-US"/>
        </w:rPr>
        <w:t>2. Supplementary Figures</w:t>
      </w:r>
    </w:p>
    <w:p w14:paraId="14101784" w14:textId="2C9B6F40" w:rsidR="00296763" w:rsidRPr="0045473D" w:rsidRDefault="00296763" w:rsidP="006E34D2">
      <w:pPr>
        <w:spacing w:before="40" w:after="120" w:line="276" w:lineRule="auto"/>
        <w:jc w:val="both"/>
        <w:rPr>
          <w:rFonts w:cs="Times New Roman"/>
          <w:lang w:val="en-US"/>
        </w:rPr>
      </w:pPr>
      <w:r w:rsidRPr="006E34D2">
        <w:rPr>
          <w:rFonts w:eastAsia="Times New Roman" w:cs="Times New Roman"/>
          <w:b/>
          <w:sz w:val="20"/>
          <w:lang w:val="en-US"/>
        </w:rPr>
        <w:t xml:space="preserve">General note for Supplementary Figures S1–S9: </w:t>
      </w:r>
      <w:r w:rsidRPr="006E34D2">
        <w:rPr>
          <w:rFonts w:eastAsia="Times New Roman" w:cs="Times New Roman"/>
          <w:sz w:val="20"/>
          <w:lang w:val="en-US"/>
        </w:rPr>
        <w:t>The figures summarize testing activity or laboratory-detected RSV activity among samples processed through the Funed/Lacen-MG workflow. They describe the observed surveillance sample stream and should not be interpreted as direct estimates of population incidence, disease burden, transmission intensity, healthcare access, causal spatial effects, or individual risk.</w:t>
      </w:r>
    </w:p>
    <w:p w14:paraId="67FCF08F" w14:textId="613763F3" w:rsidR="00740352" w:rsidRPr="0045473D" w:rsidRDefault="00E970EF" w:rsidP="0045473D">
      <w:pPr>
        <w:keepNext/>
        <w:pageBreakBefore/>
        <w:spacing w:after="0" w:line="240" w:lineRule="auto"/>
        <w:jc w:val="both"/>
        <w:rPr>
          <w:rFonts w:cs="Times New Roman"/>
          <w:lang w:val="en-US"/>
        </w:rPr>
      </w:pPr>
      <w:r w:rsidRPr="006E34D2">
        <w:rPr>
          <w:rFonts w:eastAsia="Times New Roman" w:cs="Times New Roman"/>
          <w:noProof/>
          <w:lang w:val="en-US"/>
        </w:rPr>
        <w:lastRenderedPageBreak/>
        <w:drawing>
          <wp:inline distT="0" distB="0" distL="0" distR="0" wp14:anchorId="25024BE7" wp14:editId="51E8009B">
            <wp:extent cx="5759450" cy="7487285"/>
            <wp:effectExtent l="0" t="0" r="0" b="0"/>
            <wp:docPr id="10621949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94961" name="Imagem 1062194961"/>
                    <pic:cNvPicPr/>
                  </pic:nvPicPr>
                  <pic:blipFill>
                    <a:blip r:embed="rId8"/>
                    <a:stretch>
                      <a:fillRect/>
                    </a:stretch>
                  </pic:blipFill>
                  <pic:spPr>
                    <a:xfrm>
                      <a:off x="0" y="0"/>
                      <a:ext cx="5759450" cy="7487285"/>
                    </a:xfrm>
                    <a:prstGeom prst="rect">
                      <a:avLst/>
                    </a:prstGeom>
                  </pic:spPr>
                </pic:pic>
              </a:graphicData>
            </a:graphic>
          </wp:inline>
        </w:drawing>
      </w:r>
      <w:r w:rsidR="00740352" w:rsidRPr="006E34D2">
        <w:rPr>
          <w:rFonts w:eastAsia="Times New Roman" w:cs="Times New Roman"/>
          <w:lang w:val="en-US"/>
        </w:rPr>
        <w:t xml:space="preserve">   </w:t>
      </w:r>
    </w:p>
    <w:p w14:paraId="6DA57949" w14:textId="3D7F6ECC" w:rsidR="00740352" w:rsidRPr="0045473D" w:rsidRDefault="00740352" w:rsidP="006E34D2">
      <w:pPr>
        <w:keepLines/>
        <w:spacing w:before="80" w:line="276" w:lineRule="auto"/>
        <w:jc w:val="both"/>
        <w:rPr>
          <w:rFonts w:cs="Times New Roman"/>
          <w:szCs w:val="22"/>
          <w:lang w:val="en-US"/>
        </w:rPr>
      </w:pPr>
      <w:r w:rsidRPr="006E34D2">
        <w:rPr>
          <w:rFonts w:eastAsia="Times New Roman" w:cs="Times New Roman"/>
          <w:b/>
          <w:sz w:val="20"/>
          <w:lang w:val="en-US"/>
        </w:rPr>
        <w:t xml:space="preserve">Figure S1. Weekly RSV testing volume in Minas Gerais, Brazil, 2021–2025. </w:t>
      </w:r>
      <w:r w:rsidR="00106587" w:rsidRPr="006E34D2">
        <w:rPr>
          <w:rFonts w:eastAsia="Times New Roman" w:cs="Times New Roman"/>
          <w:bCs/>
          <w:sz w:val="20"/>
          <w:lang w:val="en-US"/>
        </w:rPr>
        <w:t>Bars show unique laboratory samples tested for RSV by ISO week and epidemiological year within the ISO-week analytical panel; annual totals are reported in each panel. These testing-volume counts include inconclusive outcomes and therefore describe the composition of the laboratory-tested sample stream rather than the valid denominator used for RSV positivity calculations. The overlaid curve summarizes the within-year pattern in testing volume.</w:t>
      </w:r>
    </w:p>
    <w:p w14:paraId="514605E5" w14:textId="69D150C5" w:rsidR="00740352" w:rsidRPr="0045473D" w:rsidRDefault="00E970EF" w:rsidP="0045473D">
      <w:pPr>
        <w:keepNext/>
        <w:pageBreakBefore/>
        <w:spacing w:after="0" w:line="240" w:lineRule="auto"/>
        <w:jc w:val="both"/>
        <w:rPr>
          <w:rFonts w:cs="Times New Roman"/>
          <w:lang w:val="en-US"/>
        </w:rPr>
      </w:pPr>
      <w:r w:rsidRPr="0045473D">
        <w:rPr>
          <w:rFonts w:cs="Times New Roman"/>
          <w:noProof/>
          <w:lang w:val="en-US"/>
        </w:rPr>
        <w:lastRenderedPageBreak/>
        <w:drawing>
          <wp:inline distT="0" distB="0" distL="0" distR="0" wp14:anchorId="1E1497A5" wp14:editId="3039DFC2">
            <wp:extent cx="5759450" cy="8131175"/>
            <wp:effectExtent l="0" t="0" r="0" b="3175"/>
            <wp:docPr id="62765566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55660" name="Imagem 627655660"/>
                    <pic:cNvPicPr/>
                  </pic:nvPicPr>
                  <pic:blipFill>
                    <a:blip r:embed="rId9"/>
                    <a:stretch>
                      <a:fillRect/>
                    </a:stretch>
                  </pic:blipFill>
                  <pic:spPr>
                    <a:xfrm>
                      <a:off x="0" y="0"/>
                      <a:ext cx="5759450" cy="8131175"/>
                    </a:xfrm>
                    <a:prstGeom prst="rect">
                      <a:avLst/>
                    </a:prstGeom>
                  </pic:spPr>
                </pic:pic>
              </a:graphicData>
            </a:graphic>
          </wp:inline>
        </w:drawing>
      </w:r>
    </w:p>
    <w:p w14:paraId="4C2A2434" w14:textId="2FD558B6" w:rsidR="00D771A7" w:rsidRPr="0045473D" w:rsidRDefault="00711136" w:rsidP="006E34D2">
      <w:pPr>
        <w:keepLines/>
        <w:spacing w:before="80" w:line="276" w:lineRule="auto"/>
        <w:jc w:val="both"/>
        <w:rPr>
          <w:rFonts w:cs="Times New Roman"/>
          <w:szCs w:val="22"/>
          <w:lang w:val="en-US"/>
        </w:rPr>
      </w:pPr>
      <w:r w:rsidRPr="006E34D2">
        <w:rPr>
          <w:rFonts w:eastAsia="Times New Roman" w:cs="Times New Roman"/>
          <w:b/>
          <w:sz w:val="20"/>
          <w:lang w:val="en-US"/>
        </w:rPr>
        <w:t xml:space="preserve">Figure S2. Weekly RSV-detectable samples in Minas Gerais, Brazil, 2021–2025. </w:t>
      </w:r>
      <w:r w:rsidRPr="006E34D2">
        <w:rPr>
          <w:rFonts w:eastAsia="Times New Roman" w:cs="Times New Roman"/>
          <w:sz w:val="20"/>
          <w:lang w:val="en-US"/>
        </w:rPr>
        <w:t>Bars show unique RSV-detectable samples by ISO week and year; annual totals are reported in each panel. The curve summarizes the within-year pattern. Counts reflect laboratory-detected activity among tested samples.</w:t>
      </w:r>
    </w:p>
    <w:p w14:paraId="4151DCB1" w14:textId="25B2F44D" w:rsidR="00862A2E" w:rsidRPr="0045473D" w:rsidRDefault="00E970EF" w:rsidP="0045473D">
      <w:pPr>
        <w:keepNext/>
        <w:pageBreakBefore/>
        <w:spacing w:after="0" w:line="240" w:lineRule="auto"/>
        <w:jc w:val="both"/>
        <w:rPr>
          <w:rFonts w:cs="Times New Roman"/>
          <w:lang w:val="en-US"/>
        </w:rPr>
      </w:pPr>
      <w:r w:rsidRPr="0045473D">
        <w:rPr>
          <w:rFonts w:cs="Times New Roman"/>
          <w:noProof/>
          <w:lang w:val="en-US"/>
        </w:rPr>
        <w:lastRenderedPageBreak/>
        <w:drawing>
          <wp:inline distT="0" distB="0" distL="0" distR="0" wp14:anchorId="5D52E57E" wp14:editId="50CF65CB">
            <wp:extent cx="5759450" cy="6839585"/>
            <wp:effectExtent l="0" t="0" r="0" b="0"/>
            <wp:docPr id="155738725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87250" name="Imagem 1557387250"/>
                    <pic:cNvPicPr/>
                  </pic:nvPicPr>
                  <pic:blipFill>
                    <a:blip r:embed="rId10"/>
                    <a:stretch>
                      <a:fillRect/>
                    </a:stretch>
                  </pic:blipFill>
                  <pic:spPr>
                    <a:xfrm>
                      <a:off x="0" y="0"/>
                      <a:ext cx="5759450" cy="6839585"/>
                    </a:xfrm>
                    <a:prstGeom prst="rect">
                      <a:avLst/>
                    </a:prstGeom>
                  </pic:spPr>
                </pic:pic>
              </a:graphicData>
            </a:graphic>
          </wp:inline>
        </w:drawing>
      </w:r>
    </w:p>
    <w:p w14:paraId="601EC09B" w14:textId="5158EE47" w:rsidR="00D766AB" w:rsidRPr="0045473D" w:rsidRDefault="00E84ADC" w:rsidP="006E34D2">
      <w:pPr>
        <w:keepLines/>
        <w:spacing w:before="80" w:line="276" w:lineRule="auto"/>
        <w:jc w:val="both"/>
        <w:rPr>
          <w:rFonts w:cs="Times New Roman"/>
          <w:b/>
          <w:bCs/>
          <w:szCs w:val="22"/>
          <w:lang w:val="en-US"/>
        </w:rPr>
      </w:pPr>
      <w:r w:rsidRPr="006E34D2">
        <w:rPr>
          <w:rFonts w:eastAsia="Times New Roman" w:cs="Times New Roman"/>
          <w:b/>
          <w:sz w:val="20"/>
          <w:lang w:val="en-US"/>
        </w:rPr>
        <w:t xml:space="preserve">Figure S3. Complementary analyses of RSV seasonality in Minas Gerais, Brazil, 2021–2025. </w:t>
      </w:r>
      <w:r w:rsidRPr="006E34D2">
        <w:rPr>
          <w:rFonts w:eastAsia="Times New Roman" w:cs="Times New Roman"/>
          <w:sz w:val="20"/>
          <w:lang w:val="en-US"/>
        </w:rPr>
        <w:t xml:space="preserve">(A) Aggregated weekly profile of RSV-detectable samples across ISO years. (B) Autocorrelation function of the weekly detection series. (C) </w:t>
      </w:r>
      <w:r w:rsidR="00292AA5" w:rsidRPr="006E34D2">
        <w:rPr>
          <w:rFonts w:eastAsia="Times New Roman" w:cs="Times New Roman"/>
          <w:sz w:val="20"/>
          <w:lang w:val="en-US"/>
        </w:rPr>
        <w:t>Annual detection-count peak weeks on a circular ISO-week scale</w:t>
      </w:r>
      <w:r w:rsidRPr="006E34D2">
        <w:rPr>
          <w:rFonts w:eastAsia="Times New Roman" w:cs="Times New Roman"/>
          <w:sz w:val="20"/>
          <w:lang w:val="en-US"/>
        </w:rPr>
        <w:t>. (D) Seasonal-trend decomposition into observed, seasonal, trend, and remainder components. (E) Standardized observed detection series compared with the standardized seasonal component. These analyses describe temporal structure in laboratory-detected activity.</w:t>
      </w:r>
      <w:r w:rsidR="00594815" w:rsidRPr="006E34D2">
        <w:rPr>
          <w:rFonts w:eastAsia="Times New Roman" w:cs="Times New Roman"/>
          <w:szCs w:val="22"/>
          <w:lang w:val="en-US"/>
        </w:rPr>
        <w:br w:type="column"/>
      </w:r>
      <w:r w:rsidR="00E970EF" w:rsidRPr="0045473D">
        <w:rPr>
          <w:rFonts w:cs="Times New Roman"/>
          <w:b/>
          <w:bCs/>
          <w:noProof/>
          <w:szCs w:val="22"/>
          <w:lang w:val="en-US"/>
        </w:rPr>
        <w:lastRenderedPageBreak/>
        <w:drawing>
          <wp:inline distT="0" distB="0" distL="0" distR="0" wp14:anchorId="7860EEAF" wp14:editId="633DCC49">
            <wp:extent cx="5759450" cy="7679055"/>
            <wp:effectExtent l="0" t="0" r="0" b="0"/>
            <wp:docPr id="114795039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50392" name="Imagem 1147950392"/>
                    <pic:cNvPicPr/>
                  </pic:nvPicPr>
                  <pic:blipFill>
                    <a:blip r:embed="rId11"/>
                    <a:stretch>
                      <a:fillRect/>
                    </a:stretch>
                  </pic:blipFill>
                  <pic:spPr>
                    <a:xfrm>
                      <a:off x="0" y="0"/>
                      <a:ext cx="5759450" cy="7679055"/>
                    </a:xfrm>
                    <a:prstGeom prst="rect">
                      <a:avLst/>
                    </a:prstGeom>
                  </pic:spPr>
                </pic:pic>
              </a:graphicData>
            </a:graphic>
          </wp:inline>
        </w:drawing>
      </w:r>
    </w:p>
    <w:p w14:paraId="1570CB69" w14:textId="4AE2275B" w:rsidR="002038CB" w:rsidRPr="0045473D" w:rsidRDefault="00D4340D" w:rsidP="006E34D2">
      <w:pPr>
        <w:keepLines/>
        <w:spacing w:before="80" w:line="276" w:lineRule="auto"/>
        <w:jc w:val="both"/>
        <w:rPr>
          <w:rFonts w:cs="Times New Roman"/>
          <w:lang w:val="en-US"/>
        </w:rPr>
      </w:pPr>
      <w:r w:rsidRPr="006E34D2">
        <w:rPr>
          <w:rFonts w:eastAsia="Times New Roman" w:cs="Times New Roman"/>
          <w:b/>
          <w:sz w:val="20"/>
          <w:lang w:val="en-US"/>
        </w:rPr>
        <w:t xml:space="preserve">Figure S4. Comparison of three retrospective methods for defining laboratory-based RSV epidemic periods in Minas Gerais across four complete July–June seasons (2021–2022 to 2024–2025). </w:t>
      </w:r>
      <w:r w:rsidRPr="006E34D2">
        <w:rPr>
          <w:rFonts w:eastAsia="Times New Roman" w:cs="Times New Roman"/>
          <w:sz w:val="20"/>
          <w:lang w:val="en-US"/>
        </w:rPr>
        <w:t>The panels show the 3% positivity-threshold, RS10, and 10FB methods defined in Supplementary Method S3A. Blue or green curves show the method-specific metric, and red dashed lines show the corresponding threshold. Dashed green, solid orange, and dotted purple vertical lines mark onset, peak, and offset; shading marks the defined period. No period was displayed when the method-specific criteria were not met.</w:t>
      </w:r>
    </w:p>
    <w:p w14:paraId="1547731D" w14:textId="33F264FF" w:rsidR="00F43AF2" w:rsidRPr="0045473D" w:rsidRDefault="00E970EF" w:rsidP="0045473D">
      <w:pPr>
        <w:keepNext/>
        <w:pageBreakBefore/>
        <w:spacing w:after="0" w:line="240" w:lineRule="auto"/>
        <w:jc w:val="both"/>
        <w:rPr>
          <w:lang w:val="en-US"/>
        </w:rPr>
      </w:pPr>
      <w:r w:rsidRPr="0045473D">
        <w:rPr>
          <w:noProof/>
          <w:lang w:val="en-US"/>
        </w:rPr>
        <w:lastRenderedPageBreak/>
        <w:drawing>
          <wp:inline distT="0" distB="0" distL="0" distR="0" wp14:anchorId="75195AA8" wp14:editId="4EAF574A">
            <wp:extent cx="5759450" cy="5335270"/>
            <wp:effectExtent l="0" t="0" r="0" b="0"/>
            <wp:docPr id="166272840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28408" name="Imagem 1662728408"/>
                    <pic:cNvPicPr/>
                  </pic:nvPicPr>
                  <pic:blipFill>
                    <a:blip r:embed="rId12"/>
                    <a:stretch>
                      <a:fillRect/>
                    </a:stretch>
                  </pic:blipFill>
                  <pic:spPr>
                    <a:xfrm>
                      <a:off x="0" y="0"/>
                      <a:ext cx="5759450" cy="5335270"/>
                    </a:xfrm>
                    <a:prstGeom prst="rect">
                      <a:avLst/>
                    </a:prstGeom>
                  </pic:spPr>
                </pic:pic>
              </a:graphicData>
            </a:graphic>
          </wp:inline>
        </w:drawing>
      </w:r>
    </w:p>
    <w:p w14:paraId="2F3CE98C" w14:textId="58DB5993" w:rsidR="00280933" w:rsidRPr="0045473D" w:rsidRDefault="00280933" w:rsidP="006E34D2">
      <w:pPr>
        <w:keepLines/>
        <w:spacing w:before="80" w:line="276" w:lineRule="auto"/>
        <w:jc w:val="both"/>
        <w:rPr>
          <w:rFonts w:cs="Times New Roman"/>
          <w:lang w:val="en-US"/>
        </w:rPr>
      </w:pPr>
      <w:r w:rsidRPr="006E34D2">
        <w:rPr>
          <w:rFonts w:eastAsia="Times New Roman" w:cs="Times New Roman"/>
          <w:b/>
          <w:sz w:val="20"/>
          <w:lang w:val="en-US"/>
        </w:rPr>
        <w:t xml:space="preserve">Figure S5. Annual laboratory-detected RSV activity by health macroregion in Minas Gerais, Brazil, 2021–2025. </w:t>
      </w:r>
      <w:r w:rsidRPr="006E34D2">
        <w:rPr>
          <w:rFonts w:eastAsia="Times New Roman" w:cs="Times New Roman"/>
          <w:sz w:val="20"/>
          <w:lang w:val="en-US"/>
        </w:rPr>
        <w:t xml:space="preserve">The heatmap shows empirical Bayes-smoothed RSV-detectable samples per 100,000 residents by macroregion and ISO year. Rows are health macroregions and columns are years. </w:t>
      </w:r>
      <w:r w:rsidR="00574FDE" w:rsidRPr="006E34D2">
        <w:rPr>
          <w:rFonts w:eastAsia="Times New Roman" w:cs="Times New Roman"/>
          <w:sz w:val="20"/>
          <w:lang w:val="en-US"/>
        </w:rPr>
        <w:t xml:space="preserve">Rates use unique RSV-detectable samples as the numerator and 2024 municipal population estimates from IBGE, aggregated to the health macroregion level, as fixed denominators across all study years; empirical Bayes smoothing reduces instability associated with small counts. </w:t>
      </w:r>
      <w:r w:rsidRPr="006E34D2">
        <w:rPr>
          <w:rFonts w:eastAsia="Times New Roman" w:cs="Times New Roman"/>
          <w:sz w:val="20"/>
          <w:lang w:val="en-US"/>
        </w:rPr>
        <w:t>This laboratory-based indicator depends on the tested sample stream and is not a population-incidence estimate.</w:t>
      </w:r>
    </w:p>
    <w:p w14:paraId="413E2EF2" w14:textId="77777777" w:rsidR="002038CB" w:rsidRPr="0045473D" w:rsidRDefault="002038CB" w:rsidP="0045473D">
      <w:pPr>
        <w:jc w:val="both"/>
        <w:rPr>
          <w:rFonts w:cs="Times New Roman"/>
          <w:lang w:val="en-US"/>
        </w:rPr>
      </w:pPr>
    </w:p>
    <w:p w14:paraId="103D04F8" w14:textId="77777777" w:rsidR="00310225" w:rsidRPr="0045473D" w:rsidRDefault="00310225" w:rsidP="0045473D">
      <w:pPr>
        <w:jc w:val="both"/>
        <w:rPr>
          <w:rFonts w:cs="Times New Roman"/>
          <w:lang w:val="en-US"/>
        </w:rPr>
      </w:pPr>
    </w:p>
    <w:p w14:paraId="5A2489F7" w14:textId="19A448B1" w:rsidR="00310225" w:rsidRPr="0045473D" w:rsidRDefault="00D27DF2" w:rsidP="0045473D">
      <w:pPr>
        <w:keepNext/>
        <w:pageBreakBefore/>
        <w:spacing w:after="0" w:line="240" w:lineRule="auto"/>
        <w:jc w:val="both"/>
        <w:rPr>
          <w:rFonts w:cs="Times New Roman"/>
          <w:lang w:val="en-US"/>
        </w:rPr>
      </w:pPr>
      <w:r>
        <w:rPr>
          <w:rFonts w:cs="Times New Roman"/>
          <w:noProof/>
          <w:lang w:val="en-US"/>
        </w:rPr>
        <w:lastRenderedPageBreak/>
        <w:drawing>
          <wp:inline distT="0" distB="0" distL="0" distR="0" wp14:anchorId="4E857123" wp14:editId="78C2698C">
            <wp:extent cx="5759450" cy="4031615"/>
            <wp:effectExtent l="0" t="0" r="0" b="6985"/>
            <wp:docPr id="104470307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03078" name="Imagem 1044703078"/>
                    <pic:cNvPicPr/>
                  </pic:nvPicPr>
                  <pic:blipFill>
                    <a:blip r:embed="rId13"/>
                    <a:stretch>
                      <a:fillRect/>
                    </a:stretch>
                  </pic:blipFill>
                  <pic:spPr>
                    <a:xfrm>
                      <a:off x="0" y="0"/>
                      <a:ext cx="5759450" cy="4031615"/>
                    </a:xfrm>
                    <a:prstGeom prst="rect">
                      <a:avLst/>
                    </a:prstGeom>
                  </pic:spPr>
                </pic:pic>
              </a:graphicData>
            </a:graphic>
          </wp:inline>
        </w:drawing>
      </w:r>
    </w:p>
    <w:p w14:paraId="72957F7E" w14:textId="77777777" w:rsidR="00090C28" w:rsidRPr="00090C28" w:rsidRDefault="00090C28" w:rsidP="00090C28">
      <w:pPr>
        <w:keepLines/>
        <w:spacing w:before="80" w:line="276" w:lineRule="auto"/>
        <w:jc w:val="both"/>
        <w:rPr>
          <w:rFonts w:eastAsia="Times New Roman" w:cs="Times New Roman"/>
          <w:b/>
          <w:bCs/>
          <w:sz w:val="20"/>
        </w:rPr>
      </w:pPr>
      <w:r w:rsidRPr="00090C28">
        <w:rPr>
          <w:rFonts w:eastAsia="Times New Roman" w:cs="Times New Roman"/>
          <w:b/>
          <w:bCs/>
          <w:sz w:val="20"/>
        </w:rPr>
        <w:t xml:space="preserve">Figure S6. Local spatial autocorrelation of laboratory-detected RSV activity across health macroregions in Minas Gerais, Brazil, 2021–2025. </w:t>
      </w:r>
      <w:r w:rsidRPr="00090C28">
        <w:rPr>
          <w:rFonts w:eastAsia="Times New Roman" w:cs="Times New Roman"/>
          <w:sz w:val="20"/>
        </w:rPr>
        <w:t>The geographic context maps locate Minas Gerais within South America and Brazil and show the state’s 14 health macroregions; macroregion abbreviations are defined in the figure. The annual maps present Local Indicators of Spatial Association (Local Moran’s I) calculated from empirical Bayes-smoothed laboratory-detected RSV activity, defined as the number of unique RSV-detectable samples processed by Funed per 100,000 residents. Municipal population estimates for 2024 from the Brazilian Institute of Geography and Statistics (IBGE), aggregated to the health macroregion level, were used as fixed denominators across all study years. Local spatial configurations with nominal, unadjusted p values ≤ 0.05 were classified as high–high (high activity surrounded by high activity), low–low (low surrounded by low), high–low (high surrounded by low), or low–high (low surrounded by high); all other macroregions were classified as not significant. These exploratory patterns describe spatial clustering within the laboratory-tested population and should not be interpreted as population incidence, healthcare access, transmission intensity, or causal spatial effects.</w:t>
      </w:r>
    </w:p>
    <w:p w14:paraId="66BF3A85" w14:textId="703A80F6" w:rsidR="00F50493" w:rsidRPr="0045473D" w:rsidRDefault="00EB0B2F" w:rsidP="006E34D2">
      <w:pPr>
        <w:keepLines/>
        <w:spacing w:before="80" w:line="276" w:lineRule="auto"/>
        <w:jc w:val="both"/>
        <w:rPr>
          <w:rFonts w:cs="Times New Roman"/>
          <w:lang w:val="en-US"/>
        </w:rPr>
      </w:pPr>
      <w:r w:rsidRPr="006E34D2">
        <w:rPr>
          <w:rFonts w:eastAsia="Times New Roman" w:cs="Times New Roman"/>
          <w:lang w:val="en-US"/>
        </w:rPr>
        <w:br w:type="column"/>
      </w:r>
      <w:r w:rsidR="00E970EF" w:rsidRPr="0045473D">
        <w:rPr>
          <w:rFonts w:cs="Times New Roman"/>
          <w:noProof/>
          <w:lang w:val="en-US"/>
        </w:rPr>
        <w:lastRenderedPageBreak/>
        <w:drawing>
          <wp:inline distT="0" distB="0" distL="0" distR="0" wp14:anchorId="07BA265A" wp14:editId="01F4A1DB">
            <wp:extent cx="5759450" cy="4188460"/>
            <wp:effectExtent l="0" t="0" r="0" b="2540"/>
            <wp:docPr id="127430557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05576" name="Imagem 1274305576"/>
                    <pic:cNvPicPr/>
                  </pic:nvPicPr>
                  <pic:blipFill>
                    <a:blip r:embed="rId14"/>
                    <a:stretch>
                      <a:fillRect/>
                    </a:stretch>
                  </pic:blipFill>
                  <pic:spPr>
                    <a:xfrm>
                      <a:off x="0" y="0"/>
                      <a:ext cx="5759450" cy="4188460"/>
                    </a:xfrm>
                    <a:prstGeom prst="rect">
                      <a:avLst/>
                    </a:prstGeom>
                  </pic:spPr>
                </pic:pic>
              </a:graphicData>
            </a:graphic>
          </wp:inline>
        </w:drawing>
      </w:r>
    </w:p>
    <w:p w14:paraId="03937CC9" w14:textId="7EB0EC9D" w:rsidR="0051000D" w:rsidRPr="006E34D2" w:rsidRDefault="003D400B" w:rsidP="006E34D2">
      <w:pPr>
        <w:keepLines/>
        <w:spacing w:before="80" w:line="276" w:lineRule="auto"/>
        <w:jc w:val="both"/>
        <w:rPr>
          <w:rFonts w:eastAsia="Times New Roman" w:cs="Times New Roman"/>
          <w:sz w:val="20"/>
          <w:lang w:val="en-US"/>
        </w:rPr>
      </w:pPr>
      <w:r w:rsidRPr="006E34D2">
        <w:rPr>
          <w:rFonts w:eastAsia="Times New Roman" w:cs="Times New Roman"/>
          <w:b/>
          <w:sz w:val="20"/>
          <w:lang w:val="en-US"/>
        </w:rPr>
        <w:t xml:space="preserve">Figure S7. Annual RSV testing intensity by health macroregion in Minas Gerais, Brazil, 2021–2025. </w:t>
      </w:r>
      <w:r w:rsidR="00B80BC2" w:rsidRPr="006E34D2">
        <w:rPr>
          <w:rFonts w:eastAsia="Times New Roman" w:cs="Times New Roman"/>
          <w:sz w:val="20"/>
          <w:lang w:val="en-US"/>
        </w:rPr>
        <w:t>The heatmap shows unique laboratory samples tested for RSV within the ISO-week analytical panel per 100,000 residents by health macroregion and ISO year. These testing-volume counts include samples with inconclusive outcomes.</w:t>
      </w:r>
      <w:r w:rsidRPr="006E34D2">
        <w:rPr>
          <w:rFonts w:eastAsia="Times New Roman" w:cs="Times New Roman"/>
          <w:sz w:val="20"/>
          <w:lang w:val="en-US"/>
        </w:rPr>
        <w:t xml:space="preserve"> </w:t>
      </w:r>
      <w:r w:rsidR="0030247E" w:rsidRPr="006E34D2">
        <w:rPr>
          <w:rFonts w:eastAsia="Times New Roman" w:cs="Times New Roman"/>
          <w:sz w:val="20"/>
          <w:lang w:val="en-US"/>
        </w:rPr>
        <w:t>Rows are health macroregions and columns are years; 2024 municipal population estimates from IBGE, aggregated to the health macroregion level, were used as fixed denominators across all study years.</w:t>
      </w:r>
      <w:r w:rsidR="005B7A76" w:rsidRPr="006E34D2">
        <w:rPr>
          <w:rFonts w:eastAsia="Times New Roman" w:cs="Times New Roman"/>
          <w:sz w:val="20"/>
          <w:lang w:val="en-US"/>
        </w:rPr>
        <w:t xml:space="preserve"> </w:t>
      </w:r>
      <w:r w:rsidRPr="006E34D2">
        <w:rPr>
          <w:rFonts w:eastAsia="Times New Roman" w:cs="Times New Roman"/>
          <w:sz w:val="20"/>
          <w:lang w:val="en-US"/>
        </w:rPr>
        <w:t>The indicator measures laboratory testing activity, not positivity or population incidence.</w:t>
      </w:r>
    </w:p>
    <w:p w14:paraId="5AB4DC7D" w14:textId="00E6BDD6" w:rsidR="000C17CF" w:rsidRPr="0045473D" w:rsidRDefault="0051000D" w:rsidP="006E34D2">
      <w:pPr>
        <w:keepLines/>
        <w:spacing w:before="80" w:line="276" w:lineRule="auto"/>
        <w:jc w:val="both"/>
        <w:rPr>
          <w:rFonts w:cs="Times New Roman"/>
          <w:lang w:val="en-US"/>
        </w:rPr>
      </w:pPr>
      <w:r w:rsidRPr="006E34D2">
        <w:rPr>
          <w:rFonts w:eastAsia="Times New Roman" w:cs="Times New Roman"/>
          <w:sz w:val="20"/>
          <w:lang w:val="en-US"/>
        </w:rPr>
        <w:br w:type="column"/>
      </w:r>
      <w:r w:rsidR="00A143D4" w:rsidRPr="0045473D">
        <w:rPr>
          <w:rFonts w:cs="Times New Roman"/>
          <w:noProof/>
          <w:lang w:val="en-US"/>
        </w:rPr>
        <w:lastRenderedPageBreak/>
        <w:drawing>
          <wp:inline distT="0" distB="0" distL="0" distR="0" wp14:anchorId="2F0D74F6" wp14:editId="086807CF">
            <wp:extent cx="5759450" cy="3291205"/>
            <wp:effectExtent l="0" t="0" r="0" b="4445"/>
            <wp:docPr id="183700753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07533" name="Imagem 1837007533"/>
                    <pic:cNvPicPr/>
                  </pic:nvPicPr>
                  <pic:blipFill>
                    <a:blip r:embed="rId15"/>
                    <a:stretch>
                      <a:fillRect/>
                    </a:stretch>
                  </pic:blipFill>
                  <pic:spPr>
                    <a:xfrm>
                      <a:off x="0" y="0"/>
                      <a:ext cx="5759450" cy="3291205"/>
                    </a:xfrm>
                    <a:prstGeom prst="rect">
                      <a:avLst/>
                    </a:prstGeom>
                  </pic:spPr>
                </pic:pic>
              </a:graphicData>
            </a:graphic>
          </wp:inline>
        </w:drawing>
      </w:r>
    </w:p>
    <w:p w14:paraId="40911EDD" w14:textId="7B295757" w:rsidR="00FE51F5" w:rsidRPr="0045473D" w:rsidRDefault="0022267A" w:rsidP="006E34D2">
      <w:pPr>
        <w:keepLines/>
        <w:spacing w:before="80" w:line="276" w:lineRule="auto"/>
        <w:jc w:val="both"/>
        <w:rPr>
          <w:rFonts w:cs="Times New Roman"/>
          <w:lang w:val="en-US"/>
        </w:rPr>
      </w:pPr>
      <w:r w:rsidRPr="006E34D2">
        <w:rPr>
          <w:rFonts w:eastAsia="Times New Roman" w:cs="Times New Roman"/>
          <w:b/>
          <w:sz w:val="20"/>
          <w:lang w:val="en-US"/>
        </w:rPr>
        <w:t xml:space="preserve">Figure S8. Weekly RSV testing volume by health macroregion in Minas Gerais, Brazil, 2021–2025. </w:t>
      </w:r>
      <w:r w:rsidR="003A5D98" w:rsidRPr="006E34D2">
        <w:rPr>
          <w:rFonts w:eastAsia="Times New Roman" w:cs="Times New Roman"/>
          <w:sz w:val="20"/>
          <w:lang w:val="en-US"/>
        </w:rPr>
        <w:t>The heatmap shows unique laboratory samples tested for RSV within the ISO-week analytical panel by health macroregion and ISO year-week. These testing-volume counts include samples with inconclusive outcomes.</w:t>
      </w:r>
      <w:r w:rsidRPr="006E34D2">
        <w:rPr>
          <w:rFonts w:eastAsia="Times New Roman" w:cs="Times New Roman"/>
          <w:sz w:val="20"/>
          <w:lang w:val="en-US"/>
        </w:rPr>
        <w:t xml:space="preserve"> Rows are macroregions and columns are consecutive ISO year-week combinations. The figure describes the temporal and territorial distribution of laboratory testing volume, not positivity or population incidence.</w:t>
      </w:r>
      <w:r w:rsidR="00347DFA" w:rsidRPr="006E34D2">
        <w:rPr>
          <w:rFonts w:eastAsia="Times New Roman" w:cs="Times New Roman"/>
          <w:szCs w:val="22"/>
          <w:lang w:val="en-US"/>
        </w:rPr>
        <w:br w:type="column"/>
      </w:r>
      <w:r w:rsidR="00116E8E">
        <w:rPr>
          <w:rFonts w:cs="Times New Roman"/>
          <w:noProof/>
          <w:lang w:val="en-US"/>
        </w:rPr>
        <w:lastRenderedPageBreak/>
        <w:drawing>
          <wp:inline distT="0" distB="0" distL="0" distR="0" wp14:anchorId="7C0894EB" wp14:editId="3B75646E">
            <wp:extent cx="5759450" cy="3599815"/>
            <wp:effectExtent l="0" t="0" r="0" b="635"/>
            <wp:docPr id="123412882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28825" name="Imagem 1234128825"/>
                    <pic:cNvPicPr/>
                  </pic:nvPicPr>
                  <pic:blipFill>
                    <a:blip r:embed="rId16"/>
                    <a:stretch>
                      <a:fillRect/>
                    </a:stretch>
                  </pic:blipFill>
                  <pic:spPr>
                    <a:xfrm>
                      <a:off x="0" y="0"/>
                      <a:ext cx="5759450" cy="3599815"/>
                    </a:xfrm>
                    <a:prstGeom prst="rect">
                      <a:avLst/>
                    </a:prstGeom>
                  </pic:spPr>
                </pic:pic>
              </a:graphicData>
            </a:graphic>
          </wp:inline>
        </w:drawing>
      </w:r>
    </w:p>
    <w:p w14:paraId="0DBAB7E1" w14:textId="3EB84AE2" w:rsidR="005574BE" w:rsidRPr="0045473D" w:rsidRDefault="009C658B" w:rsidP="006E34D2">
      <w:pPr>
        <w:keepLines/>
        <w:spacing w:before="80" w:line="276" w:lineRule="auto"/>
        <w:jc w:val="both"/>
        <w:rPr>
          <w:rFonts w:cs="Times New Roman"/>
          <w:szCs w:val="22"/>
          <w:lang w:val="en-US"/>
        </w:rPr>
      </w:pPr>
      <w:r w:rsidRPr="006E34D2">
        <w:rPr>
          <w:rFonts w:eastAsia="Times New Roman" w:cs="Times New Roman"/>
          <w:b/>
          <w:sz w:val="20"/>
          <w:lang w:val="en-US"/>
        </w:rPr>
        <w:t xml:space="preserve">Figure S9. Local spatial autocorrelation of RSV testing intensity by health macroregion in Minas Gerais, Brazil, 2021–2025. </w:t>
      </w:r>
      <w:r w:rsidRPr="006E34D2">
        <w:rPr>
          <w:rFonts w:eastAsia="Times New Roman" w:cs="Times New Roman"/>
          <w:sz w:val="20"/>
          <w:lang w:val="en-US"/>
        </w:rPr>
        <w:t xml:space="preserve">Panel A locates Minas Gerais within Brazil; Panel B shows the 14 health macroregions and abbreviations. </w:t>
      </w:r>
      <w:r w:rsidR="002A0BDB" w:rsidRPr="006E34D2">
        <w:rPr>
          <w:rFonts w:eastAsia="Times New Roman" w:cs="Times New Roman"/>
          <w:sz w:val="20"/>
          <w:lang w:val="en-US"/>
        </w:rPr>
        <w:t>Panels C1–C5 show annual Local Indicators of Spatial Association for laboratory samples tested for RSV within the ISO-week analytical panel per 100,000 residents. These testing-volume counts include samples with inconclusive outcomes</w:t>
      </w:r>
      <w:r w:rsidR="007D5A0C" w:rsidRPr="006E34D2">
        <w:rPr>
          <w:rFonts w:eastAsia="Times New Roman" w:cs="Times New Roman"/>
          <w:sz w:val="20"/>
          <w:lang w:val="en-US"/>
        </w:rPr>
        <w:t xml:space="preserve">, using 2024 municipal population estimates from IBGE, aggregated to the health macroregion level, as fixed denominators across all study years. </w:t>
      </w:r>
      <w:r w:rsidR="006E67D3" w:rsidRPr="006E34D2">
        <w:rPr>
          <w:rFonts w:eastAsia="Times New Roman" w:cs="Times New Roman"/>
          <w:sz w:val="20"/>
          <w:lang w:val="en-US"/>
        </w:rPr>
        <w:t>Local configurations with nominal p ≤ 0.05 were classified as high–high, low–low, high–low, or low–high.</w:t>
      </w:r>
      <w:r w:rsidRPr="006E34D2">
        <w:rPr>
          <w:rFonts w:eastAsia="Times New Roman" w:cs="Times New Roman"/>
          <w:sz w:val="20"/>
          <w:lang w:val="en-US"/>
        </w:rPr>
        <w:t xml:space="preserve"> This exploratory analysis describes spatial structure in testing activity and does not estimate positivity, incidence, healthcare access, or causal spatial effects.</w:t>
      </w:r>
    </w:p>
    <w:sectPr w:rsidR="005574BE" w:rsidRPr="0045473D" w:rsidSect="004E0E05">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09D00" w14:textId="77777777" w:rsidR="003F3CC7" w:rsidRDefault="003F3CC7" w:rsidP="00437FAF">
      <w:pPr>
        <w:spacing w:after="0" w:line="240" w:lineRule="auto"/>
      </w:pPr>
      <w:r>
        <w:separator/>
      </w:r>
    </w:p>
  </w:endnote>
  <w:endnote w:type="continuationSeparator" w:id="0">
    <w:p w14:paraId="3D0A008B" w14:textId="77777777" w:rsidR="003F3CC7" w:rsidRDefault="003F3CC7" w:rsidP="0043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686467"/>
      <w:docPartObj>
        <w:docPartGallery w:val="Page Numbers (Bottom of Page)"/>
        <w:docPartUnique/>
      </w:docPartObj>
    </w:sdtPr>
    <w:sdtContent>
      <w:p w14:paraId="46AD3056" w14:textId="72D92E28" w:rsidR="00C85B9C" w:rsidRDefault="00C85B9C">
        <w:pPr>
          <w:pStyle w:val="Rodap"/>
          <w:jc w:val="right"/>
        </w:pPr>
        <w:r>
          <w:fldChar w:fldCharType="begin"/>
        </w:r>
        <w:r>
          <w:instrText>PAGE   \* MERGEFORMAT</w:instrText>
        </w:r>
        <w:r>
          <w:fldChar w:fldCharType="separate"/>
        </w:r>
        <w:r>
          <w:t>2</w:t>
        </w:r>
        <w:r>
          <w:fldChar w:fldCharType="end"/>
        </w:r>
      </w:p>
    </w:sdtContent>
  </w:sdt>
  <w:p w14:paraId="58A34C55" w14:textId="77777777" w:rsidR="00C85B9C" w:rsidRDefault="00C85B9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2B60A" w14:textId="77777777" w:rsidR="003F3CC7" w:rsidRDefault="003F3CC7" w:rsidP="00437FAF">
      <w:pPr>
        <w:spacing w:after="0" w:line="240" w:lineRule="auto"/>
      </w:pPr>
      <w:r>
        <w:separator/>
      </w:r>
    </w:p>
  </w:footnote>
  <w:footnote w:type="continuationSeparator" w:id="0">
    <w:p w14:paraId="04409643" w14:textId="77777777" w:rsidR="003F3CC7" w:rsidRDefault="003F3CC7" w:rsidP="00437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C3CFA"/>
    <w:multiLevelType w:val="hybridMultilevel"/>
    <w:tmpl w:val="49B875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7013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52"/>
    <w:rsid w:val="00002698"/>
    <w:rsid w:val="00004187"/>
    <w:rsid w:val="00004428"/>
    <w:rsid w:val="00005F34"/>
    <w:rsid w:val="000069F3"/>
    <w:rsid w:val="0002013B"/>
    <w:rsid w:val="00022A09"/>
    <w:rsid w:val="00031918"/>
    <w:rsid w:val="00032D67"/>
    <w:rsid w:val="0003365F"/>
    <w:rsid w:val="000462AF"/>
    <w:rsid w:val="0004713A"/>
    <w:rsid w:val="000520E3"/>
    <w:rsid w:val="00054411"/>
    <w:rsid w:val="000548D6"/>
    <w:rsid w:val="00056256"/>
    <w:rsid w:val="00072E6C"/>
    <w:rsid w:val="0008346B"/>
    <w:rsid w:val="0008653F"/>
    <w:rsid w:val="00090C28"/>
    <w:rsid w:val="00093D23"/>
    <w:rsid w:val="000A35BD"/>
    <w:rsid w:val="000A5DAE"/>
    <w:rsid w:val="000C127F"/>
    <w:rsid w:val="000C17CF"/>
    <w:rsid w:val="000C496A"/>
    <w:rsid w:val="000D342D"/>
    <w:rsid w:val="000D509D"/>
    <w:rsid w:val="000D5364"/>
    <w:rsid w:val="000D73B1"/>
    <w:rsid w:val="000E2648"/>
    <w:rsid w:val="000E3192"/>
    <w:rsid w:val="000E3200"/>
    <w:rsid w:val="000E46F5"/>
    <w:rsid w:val="000E53C4"/>
    <w:rsid w:val="000E5FEA"/>
    <w:rsid w:val="000E74AE"/>
    <w:rsid w:val="000F7B2E"/>
    <w:rsid w:val="00106587"/>
    <w:rsid w:val="00111C7A"/>
    <w:rsid w:val="00113C9B"/>
    <w:rsid w:val="00114295"/>
    <w:rsid w:val="00116E8E"/>
    <w:rsid w:val="00122051"/>
    <w:rsid w:val="001242AC"/>
    <w:rsid w:val="00144975"/>
    <w:rsid w:val="00147B6A"/>
    <w:rsid w:val="00157173"/>
    <w:rsid w:val="0016440F"/>
    <w:rsid w:val="001778CA"/>
    <w:rsid w:val="001821F7"/>
    <w:rsid w:val="00182842"/>
    <w:rsid w:val="001933A3"/>
    <w:rsid w:val="001A1380"/>
    <w:rsid w:val="001A363E"/>
    <w:rsid w:val="001A4DEC"/>
    <w:rsid w:val="001B6543"/>
    <w:rsid w:val="001B7331"/>
    <w:rsid w:val="001C525B"/>
    <w:rsid w:val="001E310E"/>
    <w:rsid w:val="001F4573"/>
    <w:rsid w:val="00200A99"/>
    <w:rsid w:val="00202C80"/>
    <w:rsid w:val="002038CB"/>
    <w:rsid w:val="00210EE1"/>
    <w:rsid w:val="002135B8"/>
    <w:rsid w:val="00216847"/>
    <w:rsid w:val="0022267A"/>
    <w:rsid w:val="00222A6B"/>
    <w:rsid w:val="00223EB8"/>
    <w:rsid w:val="002333C4"/>
    <w:rsid w:val="00240287"/>
    <w:rsid w:val="00245022"/>
    <w:rsid w:val="002526A5"/>
    <w:rsid w:val="0025377B"/>
    <w:rsid w:val="00257376"/>
    <w:rsid w:val="002607E8"/>
    <w:rsid w:val="00280933"/>
    <w:rsid w:val="00283293"/>
    <w:rsid w:val="00292AA5"/>
    <w:rsid w:val="0029342D"/>
    <w:rsid w:val="00296763"/>
    <w:rsid w:val="002A0BDB"/>
    <w:rsid w:val="002A5F8A"/>
    <w:rsid w:val="002A65D6"/>
    <w:rsid w:val="002C111B"/>
    <w:rsid w:val="002C216C"/>
    <w:rsid w:val="002C3D43"/>
    <w:rsid w:val="002D2290"/>
    <w:rsid w:val="002D2369"/>
    <w:rsid w:val="002E19AE"/>
    <w:rsid w:val="002E2D91"/>
    <w:rsid w:val="002F09F7"/>
    <w:rsid w:val="0030247E"/>
    <w:rsid w:val="00304DD1"/>
    <w:rsid w:val="003060C0"/>
    <w:rsid w:val="00306456"/>
    <w:rsid w:val="003075F9"/>
    <w:rsid w:val="00310225"/>
    <w:rsid w:val="003141D7"/>
    <w:rsid w:val="0032441B"/>
    <w:rsid w:val="003335B0"/>
    <w:rsid w:val="00342575"/>
    <w:rsid w:val="00342E6B"/>
    <w:rsid w:val="00347DFA"/>
    <w:rsid w:val="00351D5B"/>
    <w:rsid w:val="00353871"/>
    <w:rsid w:val="00367F3A"/>
    <w:rsid w:val="003725DC"/>
    <w:rsid w:val="00376EC0"/>
    <w:rsid w:val="00383441"/>
    <w:rsid w:val="00383A16"/>
    <w:rsid w:val="00395685"/>
    <w:rsid w:val="003A1BF8"/>
    <w:rsid w:val="003A1FF4"/>
    <w:rsid w:val="003A5586"/>
    <w:rsid w:val="003A5D98"/>
    <w:rsid w:val="003B29C8"/>
    <w:rsid w:val="003C07F0"/>
    <w:rsid w:val="003C2A7C"/>
    <w:rsid w:val="003D400B"/>
    <w:rsid w:val="003D62BF"/>
    <w:rsid w:val="003E6BF1"/>
    <w:rsid w:val="003E6E74"/>
    <w:rsid w:val="003F1F85"/>
    <w:rsid w:val="003F3CC7"/>
    <w:rsid w:val="003F5576"/>
    <w:rsid w:val="0040027F"/>
    <w:rsid w:val="00406F70"/>
    <w:rsid w:val="004113AF"/>
    <w:rsid w:val="0041706D"/>
    <w:rsid w:val="0042577C"/>
    <w:rsid w:val="00426C0F"/>
    <w:rsid w:val="0043095F"/>
    <w:rsid w:val="004356D2"/>
    <w:rsid w:val="00437FAF"/>
    <w:rsid w:val="00441B47"/>
    <w:rsid w:val="0045473D"/>
    <w:rsid w:val="00460BB3"/>
    <w:rsid w:val="0046222A"/>
    <w:rsid w:val="00465FE5"/>
    <w:rsid w:val="00467CAD"/>
    <w:rsid w:val="004750E0"/>
    <w:rsid w:val="00475C5A"/>
    <w:rsid w:val="004806F5"/>
    <w:rsid w:val="00481643"/>
    <w:rsid w:val="00482D61"/>
    <w:rsid w:val="00483422"/>
    <w:rsid w:val="0049208E"/>
    <w:rsid w:val="00495542"/>
    <w:rsid w:val="00496BCA"/>
    <w:rsid w:val="004A1BA8"/>
    <w:rsid w:val="004A5595"/>
    <w:rsid w:val="004A56E8"/>
    <w:rsid w:val="004A6DEF"/>
    <w:rsid w:val="004A7A24"/>
    <w:rsid w:val="004B1DFA"/>
    <w:rsid w:val="004C135B"/>
    <w:rsid w:val="004C23C8"/>
    <w:rsid w:val="004D09BB"/>
    <w:rsid w:val="004D3D01"/>
    <w:rsid w:val="004E0E05"/>
    <w:rsid w:val="004E237F"/>
    <w:rsid w:val="005049DE"/>
    <w:rsid w:val="00506557"/>
    <w:rsid w:val="00506E6E"/>
    <w:rsid w:val="00507756"/>
    <w:rsid w:val="0051000D"/>
    <w:rsid w:val="005134C6"/>
    <w:rsid w:val="00524E41"/>
    <w:rsid w:val="00531D7B"/>
    <w:rsid w:val="0054602F"/>
    <w:rsid w:val="005472FC"/>
    <w:rsid w:val="00557299"/>
    <w:rsid w:val="005574BE"/>
    <w:rsid w:val="005664D5"/>
    <w:rsid w:val="00574FDE"/>
    <w:rsid w:val="005757F6"/>
    <w:rsid w:val="00580814"/>
    <w:rsid w:val="005872E5"/>
    <w:rsid w:val="00590BC7"/>
    <w:rsid w:val="0059352B"/>
    <w:rsid w:val="00594602"/>
    <w:rsid w:val="00594815"/>
    <w:rsid w:val="00595340"/>
    <w:rsid w:val="005A46EB"/>
    <w:rsid w:val="005A76F4"/>
    <w:rsid w:val="005B13EA"/>
    <w:rsid w:val="005B3811"/>
    <w:rsid w:val="005B3F90"/>
    <w:rsid w:val="005B68F2"/>
    <w:rsid w:val="005B7A76"/>
    <w:rsid w:val="005C442B"/>
    <w:rsid w:val="005C7F98"/>
    <w:rsid w:val="005D0A39"/>
    <w:rsid w:val="005D1E62"/>
    <w:rsid w:val="005D2830"/>
    <w:rsid w:val="005D7FFA"/>
    <w:rsid w:val="005E3FAE"/>
    <w:rsid w:val="005E70DD"/>
    <w:rsid w:val="005F048D"/>
    <w:rsid w:val="005F25E2"/>
    <w:rsid w:val="006020A8"/>
    <w:rsid w:val="00607288"/>
    <w:rsid w:val="00613AE4"/>
    <w:rsid w:val="006142A8"/>
    <w:rsid w:val="00614513"/>
    <w:rsid w:val="00616E58"/>
    <w:rsid w:val="00620606"/>
    <w:rsid w:val="0062704C"/>
    <w:rsid w:val="0063627A"/>
    <w:rsid w:val="00637780"/>
    <w:rsid w:val="006407A2"/>
    <w:rsid w:val="00645450"/>
    <w:rsid w:val="006455AB"/>
    <w:rsid w:val="0065579E"/>
    <w:rsid w:val="00660ADD"/>
    <w:rsid w:val="0066484E"/>
    <w:rsid w:val="00675A7C"/>
    <w:rsid w:val="00676611"/>
    <w:rsid w:val="0067728F"/>
    <w:rsid w:val="00677A63"/>
    <w:rsid w:val="006829DD"/>
    <w:rsid w:val="00691223"/>
    <w:rsid w:val="006948D8"/>
    <w:rsid w:val="006961AF"/>
    <w:rsid w:val="0069620C"/>
    <w:rsid w:val="006970C6"/>
    <w:rsid w:val="006B1B64"/>
    <w:rsid w:val="006B2528"/>
    <w:rsid w:val="006B2FBE"/>
    <w:rsid w:val="006C078D"/>
    <w:rsid w:val="006C12C8"/>
    <w:rsid w:val="006C4411"/>
    <w:rsid w:val="006C56E7"/>
    <w:rsid w:val="006D0403"/>
    <w:rsid w:val="006D19F6"/>
    <w:rsid w:val="006E0729"/>
    <w:rsid w:val="006E0858"/>
    <w:rsid w:val="006E0FAC"/>
    <w:rsid w:val="006E15C4"/>
    <w:rsid w:val="006E1EB5"/>
    <w:rsid w:val="006E3442"/>
    <w:rsid w:val="006E34D2"/>
    <w:rsid w:val="006E67D3"/>
    <w:rsid w:val="006F3737"/>
    <w:rsid w:val="006F3E82"/>
    <w:rsid w:val="00702524"/>
    <w:rsid w:val="00706CED"/>
    <w:rsid w:val="0071082F"/>
    <w:rsid w:val="00711136"/>
    <w:rsid w:val="00711CE7"/>
    <w:rsid w:val="00716243"/>
    <w:rsid w:val="0072274C"/>
    <w:rsid w:val="00725FB0"/>
    <w:rsid w:val="007330B0"/>
    <w:rsid w:val="00734E20"/>
    <w:rsid w:val="00740352"/>
    <w:rsid w:val="007404E6"/>
    <w:rsid w:val="007417E2"/>
    <w:rsid w:val="00747338"/>
    <w:rsid w:val="00750614"/>
    <w:rsid w:val="007524DD"/>
    <w:rsid w:val="007554DE"/>
    <w:rsid w:val="00760A02"/>
    <w:rsid w:val="00764436"/>
    <w:rsid w:val="00766340"/>
    <w:rsid w:val="00767222"/>
    <w:rsid w:val="007740A9"/>
    <w:rsid w:val="00775DBE"/>
    <w:rsid w:val="007858E8"/>
    <w:rsid w:val="00793A4F"/>
    <w:rsid w:val="007A6127"/>
    <w:rsid w:val="007B1137"/>
    <w:rsid w:val="007B7EA2"/>
    <w:rsid w:val="007C0B99"/>
    <w:rsid w:val="007C7B03"/>
    <w:rsid w:val="007D10D4"/>
    <w:rsid w:val="007D1266"/>
    <w:rsid w:val="007D5099"/>
    <w:rsid w:val="007D52B9"/>
    <w:rsid w:val="007D5A0C"/>
    <w:rsid w:val="007E65E5"/>
    <w:rsid w:val="007E6ED0"/>
    <w:rsid w:val="007F3539"/>
    <w:rsid w:val="007F44E8"/>
    <w:rsid w:val="007F45A3"/>
    <w:rsid w:val="00800C6F"/>
    <w:rsid w:val="0080147E"/>
    <w:rsid w:val="0080386E"/>
    <w:rsid w:val="00803EF1"/>
    <w:rsid w:val="00810437"/>
    <w:rsid w:val="008158FC"/>
    <w:rsid w:val="008166B8"/>
    <w:rsid w:val="008225C6"/>
    <w:rsid w:val="00823599"/>
    <w:rsid w:val="00833EC1"/>
    <w:rsid w:val="008350D3"/>
    <w:rsid w:val="0084161D"/>
    <w:rsid w:val="00842F89"/>
    <w:rsid w:val="00852D93"/>
    <w:rsid w:val="00857B35"/>
    <w:rsid w:val="00862A2E"/>
    <w:rsid w:val="00865B9D"/>
    <w:rsid w:val="00874FD7"/>
    <w:rsid w:val="00877195"/>
    <w:rsid w:val="00881B43"/>
    <w:rsid w:val="00885201"/>
    <w:rsid w:val="00886C81"/>
    <w:rsid w:val="008936F2"/>
    <w:rsid w:val="00895963"/>
    <w:rsid w:val="008A15D1"/>
    <w:rsid w:val="008A15D7"/>
    <w:rsid w:val="008C0338"/>
    <w:rsid w:val="008C2A2F"/>
    <w:rsid w:val="008C70F5"/>
    <w:rsid w:val="008D178F"/>
    <w:rsid w:val="008D18F5"/>
    <w:rsid w:val="008F0E79"/>
    <w:rsid w:val="00910449"/>
    <w:rsid w:val="00910F42"/>
    <w:rsid w:val="00911B40"/>
    <w:rsid w:val="00916E1E"/>
    <w:rsid w:val="00924F4A"/>
    <w:rsid w:val="0092775D"/>
    <w:rsid w:val="00932476"/>
    <w:rsid w:val="00934FE9"/>
    <w:rsid w:val="00941A92"/>
    <w:rsid w:val="00944F5B"/>
    <w:rsid w:val="0094766D"/>
    <w:rsid w:val="0095111D"/>
    <w:rsid w:val="00952320"/>
    <w:rsid w:val="0095353F"/>
    <w:rsid w:val="0095751F"/>
    <w:rsid w:val="0097398A"/>
    <w:rsid w:val="0097499D"/>
    <w:rsid w:val="00981C37"/>
    <w:rsid w:val="0098799D"/>
    <w:rsid w:val="00992511"/>
    <w:rsid w:val="009A59D4"/>
    <w:rsid w:val="009A68B1"/>
    <w:rsid w:val="009B6436"/>
    <w:rsid w:val="009C5312"/>
    <w:rsid w:val="009C658B"/>
    <w:rsid w:val="009D309B"/>
    <w:rsid w:val="009D5408"/>
    <w:rsid w:val="009E033B"/>
    <w:rsid w:val="009E47BC"/>
    <w:rsid w:val="009F2470"/>
    <w:rsid w:val="009F27B2"/>
    <w:rsid w:val="009F2E51"/>
    <w:rsid w:val="009F4B0C"/>
    <w:rsid w:val="00A00D40"/>
    <w:rsid w:val="00A01457"/>
    <w:rsid w:val="00A02EDA"/>
    <w:rsid w:val="00A06F2B"/>
    <w:rsid w:val="00A11510"/>
    <w:rsid w:val="00A143D4"/>
    <w:rsid w:val="00A16B85"/>
    <w:rsid w:val="00A23257"/>
    <w:rsid w:val="00A23988"/>
    <w:rsid w:val="00A25673"/>
    <w:rsid w:val="00A2635B"/>
    <w:rsid w:val="00A30A88"/>
    <w:rsid w:val="00A343B8"/>
    <w:rsid w:val="00A35B0C"/>
    <w:rsid w:val="00A3730C"/>
    <w:rsid w:val="00A467D5"/>
    <w:rsid w:val="00A7072E"/>
    <w:rsid w:val="00A74374"/>
    <w:rsid w:val="00A750BA"/>
    <w:rsid w:val="00A81890"/>
    <w:rsid w:val="00A86CDC"/>
    <w:rsid w:val="00A90427"/>
    <w:rsid w:val="00A918E7"/>
    <w:rsid w:val="00A92271"/>
    <w:rsid w:val="00A92C95"/>
    <w:rsid w:val="00AA387D"/>
    <w:rsid w:val="00AA68FB"/>
    <w:rsid w:val="00AB3721"/>
    <w:rsid w:val="00AB43B8"/>
    <w:rsid w:val="00AC5E6B"/>
    <w:rsid w:val="00AC6AC5"/>
    <w:rsid w:val="00AD0851"/>
    <w:rsid w:val="00AD0C21"/>
    <w:rsid w:val="00AD340D"/>
    <w:rsid w:val="00AD66E2"/>
    <w:rsid w:val="00AD7242"/>
    <w:rsid w:val="00AE7A5A"/>
    <w:rsid w:val="00AF0EC9"/>
    <w:rsid w:val="00AF337C"/>
    <w:rsid w:val="00AF4E5B"/>
    <w:rsid w:val="00AF53B7"/>
    <w:rsid w:val="00AF6129"/>
    <w:rsid w:val="00B01035"/>
    <w:rsid w:val="00B15A9A"/>
    <w:rsid w:val="00B17212"/>
    <w:rsid w:val="00B223C6"/>
    <w:rsid w:val="00B301C9"/>
    <w:rsid w:val="00B344CE"/>
    <w:rsid w:val="00B350DB"/>
    <w:rsid w:val="00B35793"/>
    <w:rsid w:val="00B35B78"/>
    <w:rsid w:val="00B364BF"/>
    <w:rsid w:val="00B36B13"/>
    <w:rsid w:val="00B47CBE"/>
    <w:rsid w:val="00B547B5"/>
    <w:rsid w:val="00B61CCF"/>
    <w:rsid w:val="00B6422B"/>
    <w:rsid w:val="00B6447A"/>
    <w:rsid w:val="00B70BAE"/>
    <w:rsid w:val="00B74416"/>
    <w:rsid w:val="00B7577F"/>
    <w:rsid w:val="00B80BC2"/>
    <w:rsid w:val="00B81093"/>
    <w:rsid w:val="00B91162"/>
    <w:rsid w:val="00B917BC"/>
    <w:rsid w:val="00B943EC"/>
    <w:rsid w:val="00BA0052"/>
    <w:rsid w:val="00BA15FC"/>
    <w:rsid w:val="00BA2A72"/>
    <w:rsid w:val="00BA69C8"/>
    <w:rsid w:val="00BB2091"/>
    <w:rsid w:val="00BB5EBD"/>
    <w:rsid w:val="00BC0187"/>
    <w:rsid w:val="00BC0C1A"/>
    <w:rsid w:val="00BC2319"/>
    <w:rsid w:val="00BC46C7"/>
    <w:rsid w:val="00BC5765"/>
    <w:rsid w:val="00BD210D"/>
    <w:rsid w:val="00BD365C"/>
    <w:rsid w:val="00BE1FA9"/>
    <w:rsid w:val="00BE22DC"/>
    <w:rsid w:val="00BE5745"/>
    <w:rsid w:val="00BE63DF"/>
    <w:rsid w:val="00BE734E"/>
    <w:rsid w:val="00BE7760"/>
    <w:rsid w:val="00BF18B6"/>
    <w:rsid w:val="00C10836"/>
    <w:rsid w:val="00C2224A"/>
    <w:rsid w:val="00C229B5"/>
    <w:rsid w:val="00C30B59"/>
    <w:rsid w:val="00C329AA"/>
    <w:rsid w:val="00C36E42"/>
    <w:rsid w:val="00C3799B"/>
    <w:rsid w:val="00C4275D"/>
    <w:rsid w:val="00C47D25"/>
    <w:rsid w:val="00C5136D"/>
    <w:rsid w:val="00C563AC"/>
    <w:rsid w:val="00C57C35"/>
    <w:rsid w:val="00C648BA"/>
    <w:rsid w:val="00C66F63"/>
    <w:rsid w:val="00C71782"/>
    <w:rsid w:val="00C759C6"/>
    <w:rsid w:val="00C75F11"/>
    <w:rsid w:val="00C85B9C"/>
    <w:rsid w:val="00C87FC7"/>
    <w:rsid w:val="00C91835"/>
    <w:rsid w:val="00C91C7D"/>
    <w:rsid w:val="00C91DA1"/>
    <w:rsid w:val="00C934FC"/>
    <w:rsid w:val="00CA1084"/>
    <w:rsid w:val="00CA2686"/>
    <w:rsid w:val="00CA565D"/>
    <w:rsid w:val="00CB1D4A"/>
    <w:rsid w:val="00CB3EE7"/>
    <w:rsid w:val="00CC3791"/>
    <w:rsid w:val="00CC5BF8"/>
    <w:rsid w:val="00CE1A7F"/>
    <w:rsid w:val="00CF06D5"/>
    <w:rsid w:val="00CF0C64"/>
    <w:rsid w:val="00CF4F4A"/>
    <w:rsid w:val="00D02D2D"/>
    <w:rsid w:val="00D0460E"/>
    <w:rsid w:val="00D04EB7"/>
    <w:rsid w:val="00D059CB"/>
    <w:rsid w:val="00D06336"/>
    <w:rsid w:val="00D13178"/>
    <w:rsid w:val="00D14CC7"/>
    <w:rsid w:val="00D14D65"/>
    <w:rsid w:val="00D27DF2"/>
    <w:rsid w:val="00D27E30"/>
    <w:rsid w:val="00D312E1"/>
    <w:rsid w:val="00D331AF"/>
    <w:rsid w:val="00D36EF8"/>
    <w:rsid w:val="00D36F8B"/>
    <w:rsid w:val="00D37859"/>
    <w:rsid w:val="00D42483"/>
    <w:rsid w:val="00D4340D"/>
    <w:rsid w:val="00D447C8"/>
    <w:rsid w:val="00D479B2"/>
    <w:rsid w:val="00D5206D"/>
    <w:rsid w:val="00D53C3D"/>
    <w:rsid w:val="00D65872"/>
    <w:rsid w:val="00D66ED1"/>
    <w:rsid w:val="00D676CB"/>
    <w:rsid w:val="00D73198"/>
    <w:rsid w:val="00D73627"/>
    <w:rsid w:val="00D766AB"/>
    <w:rsid w:val="00D771A7"/>
    <w:rsid w:val="00D8296E"/>
    <w:rsid w:val="00DA42B3"/>
    <w:rsid w:val="00DA6849"/>
    <w:rsid w:val="00DB487D"/>
    <w:rsid w:val="00DC0AB8"/>
    <w:rsid w:val="00DC6C95"/>
    <w:rsid w:val="00DD3591"/>
    <w:rsid w:val="00DE1132"/>
    <w:rsid w:val="00DE7E1E"/>
    <w:rsid w:val="00DF0117"/>
    <w:rsid w:val="00DF257D"/>
    <w:rsid w:val="00DF5D57"/>
    <w:rsid w:val="00DF7E9E"/>
    <w:rsid w:val="00E03190"/>
    <w:rsid w:val="00E0763C"/>
    <w:rsid w:val="00E1416C"/>
    <w:rsid w:val="00E14C63"/>
    <w:rsid w:val="00E24A36"/>
    <w:rsid w:val="00E27787"/>
    <w:rsid w:val="00E30869"/>
    <w:rsid w:val="00E327D4"/>
    <w:rsid w:val="00E46EE9"/>
    <w:rsid w:val="00E515D4"/>
    <w:rsid w:val="00E82315"/>
    <w:rsid w:val="00E84ADC"/>
    <w:rsid w:val="00E96109"/>
    <w:rsid w:val="00E970EF"/>
    <w:rsid w:val="00EA3B46"/>
    <w:rsid w:val="00EB0B2F"/>
    <w:rsid w:val="00EB2F2D"/>
    <w:rsid w:val="00EB33CA"/>
    <w:rsid w:val="00ED0796"/>
    <w:rsid w:val="00ED3EA4"/>
    <w:rsid w:val="00ED6996"/>
    <w:rsid w:val="00EE1BFB"/>
    <w:rsid w:val="00EF71C8"/>
    <w:rsid w:val="00F012CD"/>
    <w:rsid w:val="00F02DBE"/>
    <w:rsid w:val="00F04BBF"/>
    <w:rsid w:val="00F078B2"/>
    <w:rsid w:val="00F11D3D"/>
    <w:rsid w:val="00F16A27"/>
    <w:rsid w:val="00F16A44"/>
    <w:rsid w:val="00F209BE"/>
    <w:rsid w:val="00F2252B"/>
    <w:rsid w:val="00F23AFE"/>
    <w:rsid w:val="00F33B95"/>
    <w:rsid w:val="00F34466"/>
    <w:rsid w:val="00F4390B"/>
    <w:rsid w:val="00F43AF2"/>
    <w:rsid w:val="00F44F69"/>
    <w:rsid w:val="00F50493"/>
    <w:rsid w:val="00F55155"/>
    <w:rsid w:val="00F61B66"/>
    <w:rsid w:val="00F62DD3"/>
    <w:rsid w:val="00F663B1"/>
    <w:rsid w:val="00F7089A"/>
    <w:rsid w:val="00F71E32"/>
    <w:rsid w:val="00F75648"/>
    <w:rsid w:val="00F85AA8"/>
    <w:rsid w:val="00F96849"/>
    <w:rsid w:val="00F970E0"/>
    <w:rsid w:val="00FA2085"/>
    <w:rsid w:val="00FA2714"/>
    <w:rsid w:val="00FB1967"/>
    <w:rsid w:val="00FB1EC6"/>
    <w:rsid w:val="00FC291B"/>
    <w:rsid w:val="00FD259C"/>
    <w:rsid w:val="00FD2EB5"/>
    <w:rsid w:val="00FD3FA8"/>
    <w:rsid w:val="00FD441A"/>
    <w:rsid w:val="00FE3DAB"/>
    <w:rsid w:val="00FE51F5"/>
    <w:rsid w:val="00FE69DB"/>
    <w:rsid w:val="00FF4C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C10FBC"/>
  <w14:defaultImageDpi w14:val="32767"/>
  <w15:chartTrackingRefBased/>
  <w15:docId w15:val="{46F711DA-62E2-4411-A9F6-40DB77C9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Ttulo1">
    <w:name w:val="heading 1"/>
    <w:basedOn w:val="Normal"/>
    <w:next w:val="Normal"/>
    <w:link w:val="Ttulo1Char"/>
    <w:uiPriority w:val="9"/>
    <w:qFormat/>
    <w:rsid w:val="00740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40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403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403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403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403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403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403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4035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4035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4035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4035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4035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4035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4035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4035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4035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40352"/>
    <w:rPr>
      <w:rFonts w:eastAsiaTheme="majorEastAsia" w:cstheme="majorBidi"/>
      <w:color w:val="272727" w:themeColor="text1" w:themeTint="D8"/>
    </w:rPr>
  </w:style>
  <w:style w:type="paragraph" w:styleId="Ttulo">
    <w:name w:val="Title"/>
    <w:basedOn w:val="Normal"/>
    <w:next w:val="Normal"/>
    <w:link w:val="TtuloChar"/>
    <w:uiPriority w:val="10"/>
    <w:qFormat/>
    <w:rsid w:val="00740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403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4035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4035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40352"/>
    <w:pPr>
      <w:spacing w:before="160"/>
      <w:jc w:val="center"/>
    </w:pPr>
    <w:rPr>
      <w:i/>
      <w:iCs/>
      <w:color w:val="404040" w:themeColor="text1" w:themeTint="BF"/>
    </w:rPr>
  </w:style>
  <w:style w:type="character" w:customStyle="1" w:styleId="CitaoChar">
    <w:name w:val="Citação Char"/>
    <w:basedOn w:val="Fontepargpadro"/>
    <w:link w:val="Citao"/>
    <w:uiPriority w:val="29"/>
    <w:rsid w:val="00740352"/>
    <w:rPr>
      <w:i/>
      <w:iCs/>
      <w:color w:val="404040" w:themeColor="text1" w:themeTint="BF"/>
    </w:rPr>
  </w:style>
  <w:style w:type="paragraph" w:styleId="PargrafodaLista">
    <w:name w:val="List Paragraph"/>
    <w:basedOn w:val="Normal"/>
    <w:uiPriority w:val="34"/>
    <w:qFormat/>
    <w:rsid w:val="00740352"/>
    <w:pPr>
      <w:ind w:left="720"/>
      <w:contextualSpacing/>
    </w:pPr>
  </w:style>
  <w:style w:type="character" w:styleId="nfaseIntensa">
    <w:name w:val="Intense Emphasis"/>
    <w:basedOn w:val="Fontepargpadro"/>
    <w:uiPriority w:val="21"/>
    <w:qFormat/>
    <w:rsid w:val="00740352"/>
    <w:rPr>
      <w:i/>
      <w:iCs/>
      <w:color w:val="0F4761" w:themeColor="accent1" w:themeShade="BF"/>
    </w:rPr>
  </w:style>
  <w:style w:type="paragraph" w:styleId="CitaoIntensa">
    <w:name w:val="Intense Quote"/>
    <w:basedOn w:val="Normal"/>
    <w:next w:val="Normal"/>
    <w:link w:val="CitaoIntensaChar"/>
    <w:uiPriority w:val="30"/>
    <w:qFormat/>
    <w:rsid w:val="00740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40352"/>
    <w:rPr>
      <w:i/>
      <w:iCs/>
      <w:color w:val="0F4761" w:themeColor="accent1" w:themeShade="BF"/>
    </w:rPr>
  </w:style>
  <w:style w:type="character" w:styleId="RefernciaIntensa">
    <w:name w:val="Intense Reference"/>
    <w:basedOn w:val="Fontepargpadro"/>
    <w:uiPriority w:val="32"/>
    <w:qFormat/>
    <w:rsid w:val="00740352"/>
    <w:rPr>
      <w:b/>
      <w:bCs/>
      <w:smallCaps/>
      <w:color w:val="0F4761" w:themeColor="accent1" w:themeShade="BF"/>
      <w:spacing w:val="5"/>
    </w:rPr>
  </w:style>
  <w:style w:type="paragraph" w:styleId="Cabealho">
    <w:name w:val="header"/>
    <w:basedOn w:val="Normal"/>
    <w:link w:val="CabealhoChar"/>
    <w:uiPriority w:val="99"/>
    <w:unhideWhenUsed/>
    <w:rsid w:val="00437FA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7FAF"/>
  </w:style>
  <w:style w:type="paragraph" w:styleId="Rodap">
    <w:name w:val="footer"/>
    <w:basedOn w:val="Normal"/>
    <w:link w:val="RodapChar"/>
    <w:uiPriority w:val="99"/>
    <w:unhideWhenUsed/>
    <w:rsid w:val="00437FAF"/>
    <w:pPr>
      <w:tabs>
        <w:tab w:val="center" w:pos="4252"/>
        <w:tab w:val="right" w:pos="8504"/>
      </w:tabs>
      <w:spacing w:after="0" w:line="240" w:lineRule="auto"/>
    </w:pPr>
  </w:style>
  <w:style w:type="character" w:customStyle="1" w:styleId="RodapChar">
    <w:name w:val="Rodapé Char"/>
    <w:basedOn w:val="Fontepargpadro"/>
    <w:link w:val="Rodap"/>
    <w:uiPriority w:val="99"/>
    <w:rsid w:val="00437FAF"/>
  </w:style>
  <w:style w:type="paragraph" w:styleId="Reviso">
    <w:name w:val="Revision"/>
    <w:hidden/>
    <w:uiPriority w:val="99"/>
    <w:semiHidden/>
    <w:rsid w:val="007108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54512-0213-4BF5-9816-EFA822947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1732</TotalTime>
  <Pages>22</Pages>
  <Words>5570</Words>
  <Characters>30083</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Leal</dc:creator>
  <cp:keywords/>
  <dc:description/>
  <cp:lastModifiedBy>André Leal</cp:lastModifiedBy>
  <cp:revision>489</cp:revision>
  <dcterms:created xsi:type="dcterms:W3CDTF">2026-05-28T11:27:00Z</dcterms:created>
  <dcterms:modified xsi:type="dcterms:W3CDTF">2026-08-27T14:42:00Z</dcterms:modified>
</cp:coreProperties>
</file>