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A96A">
      <w:pPr>
        <w:pStyle w:val="2"/>
        <w:rPr>
          <w:color w:val="auto"/>
        </w:rPr>
      </w:pPr>
      <w:bookmarkStart w:id="0" w:name="additional-file-1"/>
      <w:r>
        <w:rPr>
          <w:color w:val="auto"/>
        </w:rPr>
        <w:t>Additional file 1</w:t>
      </w:r>
    </w:p>
    <w:bookmarkEnd w:id="0"/>
    <w:p w14:paraId="76F8266E">
      <w:pPr>
        <w:pStyle w:val="2"/>
        <w:rPr>
          <w:color w:val="auto"/>
        </w:rPr>
      </w:pPr>
      <w:bookmarkStart w:id="1" w:name="supplementary-figures-and-tables"/>
      <w:r>
        <w:rPr>
          <w:color w:val="auto"/>
        </w:rPr>
        <w:t>Supplementary figures and tables</w:t>
      </w:r>
    </w:p>
    <w:p w14:paraId="1BD586D5">
      <w:pPr>
        <w:pStyle w:val="23"/>
      </w:pPr>
      <w:r>
        <w:rPr>
          <w:b/>
          <w:bCs/>
        </w:rPr>
        <w:t>Manuscript title:</w:t>
      </w:r>
      <w:r>
        <w:t xml:space="preserve"> MMP8⁺ cells in peripheral blood mononuclear cells as an independent prognostic marker of 60-day mortality in sepsis: a prospective observational cohort study</w:t>
      </w:r>
    </w:p>
    <w:p w14:paraId="50BE41BE">
      <w:pPr>
        <w:pStyle w:val="3"/>
      </w:pPr>
      <w:r>
        <w:rPr>
          <w:b/>
          <w:bCs/>
        </w:rPr>
        <w:t>Corresponding author:</w:t>
      </w:r>
      <w:r>
        <w:t xml:space="preserve"> Guangju Zhao (zgj_0523@126.com)</w:t>
      </w:r>
    </w:p>
    <w:p w14:paraId="764EF265">
      <w:pPr>
        <w:pStyle w:val="3"/>
      </w:pPr>
      <w:r>
        <w:rPr>
          <w:b/>
          <w:bCs/>
        </w:rPr>
        <w:t>Fig. S1.</w:t>
      </w:r>
      <w:r>
        <w:t xml:space="preserve"> Spearman correlation heatmap of flow-cytometric indicators, severity scores, cytokines and lymphocyte subsets.</w:t>
      </w:r>
    </w:p>
    <w:p w14:paraId="1591C6DB">
      <w:pPr>
        <w:jc w:val="center"/>
      </w:pPr>
      <w:r>
        <w:drawing>
          <wp:inline distT="0" distB="0" distL="114300" distR="114300">
            <wp:extent cx="5399405" cy="4589780"/>
            <wp:effectExtent l="0" t="0" r="1079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59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4AB37">
      <w:pPr>
        <w:pStyle w:val="3"/>
      </w:pPr>
      <w:r>
        <w:rPr>
          <w:b/>
          <w:bCs/>
        </w:rPr>
        <w:t>Fig. S2.</w:t>
      </w:r>
      <w:r>
        <w:t xml:space="preserve"> Restricted cubic spline analysis of MMP8⁺ cells and the 60-day mortality log-hazard (4 knots; P for non-linearity = 0.474).</w:t>
      </w:r>
    </w:p>
    <w:p w14:paraId="2CDC28CA">
      <w:pPr>
        <w:jc w:val="center"/>
      </w:pPr>
      <w:r>
        <w:drawing>
          <wp:inline distT="0" distB="0" distL="114300" distR="114300">
            <wp:extent cx="4319905" cy="3599815"/>
            <wp:effectExtent l="0" t="0" r="444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A6890">
      <w:pPr>
        <w:pStyle w:val="3"/>
      </w:pPr>
      <w:r>
        <w:rPr>
          <w:b/>
          <w:bCs/>
        </w:rPr>
        <w:t>Fig. S3.</w:t>
      </w:r>
      <w:r>
        <w:t xml:space="preserve"> Risk reclassification scatter plot for the combined vs. baseline model (continuous NRI 0.579, 95% CI 0.069–1.046, P = 0.023; IDI 0.106, 95% CI 0.017–0.199, P = 0.026; categorical NRI −0.030, 95% CI −0.341–0.263, P = 0.847).</w:t>
      </w:r>
    </w:p>
    <w:p w14:paraId="3BAFFFAD">
      <w:pPr>
        <w:jc w:val="center"/>
      </w:pPr>
      <w:r>
        <w:drawing>
          <wp:inline distT="0" distB="0" distL="114300" distR="114300">
            <wp:extent cx="4319905" cy="4319905"/>
            <wp:effectExtent l="0" t="0" r="4445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ED747">
      <w:pPr>
        <w:pStyle w:val="3"/>
      </w:pPr>
      <w:r>
        <w:rPr>
          <w:b/>
          <w:bCs/>
        </w:rPr>
        <w:t>Table S1.</w:t>
      </w:r>
      <w:r>
        <w:t xml:space="preserve"> Infection site distribution according to 60-day outcome.</w:t>
      </w:r>
    </w:p>
    <w:tbl>
      <w:tblPr>
        <w:tblStyle w:val="28"/>
        <w:tblW w:w="486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9"/>
        <w:gridCol w:w="1810"/>
        <w:gridCol w:w="2057"/>
        <w:gridCol w:w="2534"/>
      </w:tblGrid>
      <w:tr w14:paraId="5D388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19F8F3E4">
            <w:pPr>
              <w:pStyle w:val="24"/>
              <w:jc w:val="left"/>
            </w:pPr>
            <w:r>
              <w:t>Infection site, n (%)</w:t>
            </w:r>
          </w:p>
        </w:tc>
        <w:tc>
          <w:p w14:paraId="1E18FA5D">
            <w:pPr>
              <w:pStyle w:val="24"/>
              <w:jc w:val="left"/>
            </w:pPr>
            <w:r>
              <w:t>Overall (n = 85)</w:t>
            </w:r>
          </w:p>
        </w:tc>
        <w:tc>
          <w:p w14:paraId="3150AA09">
            <w:pPr>
              <w:pStyle w:val="24"/>
              <w:jc w:val="left"/>
            </w:pPr>
            <w:r>
              <w:t>Survivors (n = 63)</w:t>
            </w:r>
          </w:p>
        </w:tc>
        <w:tc>
          <w:p w14:paraId="44AFBC72">
            <w:pPr>
              <w:pStyle w:val="24"/>
              <w:jc w:val="left"/>
            </w:pPr>
            <w:r>
              <w:t>Non-survivors (n = 22)</w:t>
            </w:r>
          </w:p>
        </w:tc>
      </w:tr>
      <w:tr w14:paraId="0A9A9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221B1EC">
            <w:pPr>
              <w:pStyle w:val="24"/>
              <w:jc w:val="left"/>
            </w:pPr>
            <w:r>
              <w:t>Digestive tract</w:t>
            </w:r>
          </w:p>
        </w:tc>
        <w:tc>
          <w:p w14:paraId="52DF3117">
            <w:pPr>
              <w:pStyle w:val="24"/>
              <w:jc w:val="left"/>
            </w:pPr>
            <w:r>
              <w:t>29 (34.1)</w:t>
            </w:r>
          </w:p>
        </w:tc>
        <w:tc>
          <w:p w14:paraId="0933B97E">
            <w:pPr>
              <w:pStyle w:val="24"/>
              <w:jc w:val="left"/>
            </w:pPr>
            <w:r>
              <w:t>26 (41.3)</w:t>
            </w:r>
          </w:p>
        </w:tc>
        <w:tc>
          <w:p w14:paraId="4D4D49B7">
            <w:pPr>
              <w:pStyle w:val="24"/>
              <w:jc w:val="left"/>
            </w:pPr>
            <w:r>
              <w:t>3 (13.6)</w:t>
            </w:r>
          </w:p>
        </w:tc>
      </w:tr>
      <w:tr w14:paraId="65481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371D870">
            <w:pPr>
              <w:pStyle w:val="24"/>
              <w:jc w:val="left"/>
            </w:pPr>
            <w:r>
              <w:t>Urinary tract</w:t>
            </w:r>
          </w:p>
        </w:tc>
        <w:tc>
          <w:p w14:paraId="6EAA53C6">
            <w:pPr>
              <w:pStyle w:val="24"/>
              <w:jc w:val="left"/>
            </w:pPr>
            <w:r>
              <w:t>16 (18.8)</w:t>
            </w:r>
          </w:p>
        </w:tc>
        <w:tc>
          <w:p w14:paraId="03B97CE2">
            <w:pPr>
              <w:pStyle w:val="24"/>
              <w:jc w:val="left"/>
            </w:pPr>
            <w:r>
              <w:t>14 (22.2)</w:t>
            </w:r>
          </w:p>
        </w:tc>
        <w:tc>
          <w:p w14:paraId="3B010320">
            <w:pPr>
              <w:pStyle w:val="24"/>
              <w:jc w:val="left"/>
            </w:pPr>
            <w:r>
              <w:t>2 (9.1)</w:t>
            </w:r>
          </w:p>
        </w:tc>
      </w:tr>
      <w:tr w14:paraId="6A287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5D12BE3">
            <w:pPr>
              <w:pStyle w:val="24"/>
              <w:jc w:val="left"/>
            </w:pPr>
            <w:r>
              <w:t>Respiratory tract</w:t>
            </w:r>
          </w:p>
        </w:tc>
        <w:tc>
          <w:p w14:paraId="383231B3">
            <w:pPr>
              <w:pStyle w:val="24"/>
              <w:jc w:val="left"/>
            </w:pPr>
            <w:r>
              <w:t>22 (25.9)</w:t>
            </w:r>
          </w:p>
        </w:tc>
        <w:tc>
          <w:p w14:paraId="7AF9FA52">
            <w:pPr>
              <w:pStyle w:val="24"/>
              <w:jc w:val="left"/>
            </w:pPr>
            <w:r>
              <w:t>12 (19.0)</w:t>
            </w:r>
          </w:p>
        </w:tc>
        <w:tc>
          <w:p w14:paraId="6DD2F9CB">
            <w:pPr>
              <w:pStyle w:val="24"/>
              <w:jc w:val="left"/>
            </w:pPr>
            <w:r>
              <w:t>10 (45.5)</w:t>
            </w:r>
          </w:p>
        </w:tc>
      </w:tr>
      <w:tr w14:paraId="626A2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A6B154">
            <w:pPr>
              <w:pStyle w:val="24"/>
              <w:jc w:val="left"/>
            </w:pPr>
            <w:r>
              <w:t>Other</w:t>
            </w:r>
          </w:p>
        </w:tc>
        <w:tc>
          <w:p w14:paraId="36AE9498">
            <w:pPr>
              <w:pStyle w:val="24"/>
              <w:jc w:val="left"/>
            </w:pPr>
            <w:r>
              <w:t>18 (21.2)</w:t>
            </w:r>
          </w:p>
        </w:tc>
        <w:tc>
          <w:p w14:paraId="63E9C5EB">
            <w:pPr>
              <w:pStyle w:val="24"/>
              <w:jc w:val="left"/>
            </w:pPr>
            <w:r>
              <w:t>11 (17.5)</w:t>
            </w:r>
          </w:p>
        </w:tc>
        <w:tc>
          <w:p w14:paraId="1A29311A">
            <w:pPr>
              <w:pStyle w:val="24"/>
              <w:jc w:val="left"/>
            </w:pPr>
            <w:r>
              <w:t>7 (31.8)</w:t>
            </w:r>
          </w:p>
        </w:tc>
      </w:tr>
    </w:tbl>
    <w:p w14:paraId="353F903E">
      <w:pPr>
        <w:pStyle w:val="3"/>
      </w:pPr>
      <w:r>
        <w:t>Chi-square P = 0.011.</w:t>
      </w:r>
    </w:p>
    <w:p w14:paraId="7A019C94">
      <w:pPr>
        <w:pStyle w:val="3"/>
      </w:pPr>
      <w:r>
        <w:rPr>
          <w:b/>
          <w:bCs/>
        </w:rPr>
        <w:t>Table S2.</w:t>
      </w:r>
      <w:r>
        <w:t xml:space="preserve"> Proportional hazards assumption diagnostics (scaled Schoenfeld residuals) per variable across imputations.</w:t>
      </w:r>
    </w:p>
    <w:tbl>
      <w:tblPr>
        <w:tblStyle w:val="28"/>
        <w:tblW w:w="4868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3"/>
        <w:gridCol w:w="2456"/>
        <w:gridCol w:w="2352"/>
        <w:gridCol w:w="961"/>
      </w:tblGrid>
      <w:tr w14:paraId="798E1D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516C0B90">
            <w:pPr>
              <w:pStyle w:val="24"/>
              <w:jc w:val="left"/>
            </w:pPr>
            <w:r>
              <w:t>Cox model</w:t>
            </w:r>
          </w:p>
        </w:tc>
        <w:tc>
          <w:p w14:paraId="2FF4375F">
            <w:pPr>
              <w:pStyle w:val="24"/>
              <w:jc w:val="left"/>
            </w:pPr>
            <w:r>
              <w:t>Variable</w:t>
            </w:r>
          </w:p>
        </w:tc>
        <w:tc>
          <w:p w14:paraId="0C69C390">
            <w:pPr>
              <w:pStyle w:val="24"/>
              <w:jc w:val="left"/>
            </w:pPr>
            <w:r>
              <w:t>P (median)</w:t>
            </w:r>
          </w:p>
        </w:tc>
        <w:tc>
          <w:p w14:paraId="55E8559D">
            <w:pPr>
              <w:pStyle w:val="24"/>
              <w:jc w:val="left"/>
            </w:pPr>
            <w:r>
              <w:t>P (min)</w:t>
            </w:r>
          </w:p>
        </w:tc>
      </w:tr>
      <w:tr w14:paraId="74024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BEF069E">
            <w:pPr>
              <w:pStyle w:val="24"/>
              <w:jc w:val="left"/>
            </w:pPr>
            <w:r>
              <w:t>MMP8⁺ cells</w:t>
            </w:r>
          </w:p>
        </w:tc>
        <w:tc>
          <w:p w14:paraId="2F6B7300">
            <w:pPr>
              <w:pStyle w:val="24"/>
              <w:jc w:val="left"/>
            </w:pPr>
            <w:r>
              <w:t>MMP8⁺ cells, %</w:t>
            </w:r>
          </w:p>
        </w:tc>
        <w:tc>
          <w:p w14:paraId="19027767">
            <w:pPr>
              <w:pStyle w:val="24"/>
              <w:jc w:val="left"/>
            </w:pPr>
            <w:r>
              <w:t>0.2102</w:t>
            </w:r>
          </w:p>
        </w:tc>
        <w:tc>
          <w:p w14:paraId="43738AEB">
            <w:pPr>
              <w:pStyle w:val="24"/>
              <w:jc w:val="left"/>
            </w:pPr>
            <w:r>
              <w:t>0.2069</w:t>
            </w:r>
          </w:p>
        </w:tc>
      </w:tr>
      <w:tr w14:paraId="3F605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727DB6C">
            <w:pPr>
              <w:pStyle w:val="24"/>
            </w:pPr>
          </w:p>
        </w:tc>
        <w:tc>
          <w:p w14:paraId="2B1C17DD">
            <w:pPr>
              <w:pStyle w:val="24"/>
              <w:jc w:val="left"/>
            </w:pPr>
            <w:r>
              <w:t>Age, years</w:t>
            </w:r>
          </w:p>
        </w:tc>
        <w:tc>
          <w:p w14:paraId="0558F100">
            <w:pPr>
              <w:pStyle w:val="24"/>
              <w:jc w:val="left"/>
            </w:pPr>
            <w:r>
              <w:t>0.0523</w:t>
            </w:r>
          </w:p>
        </w:tc>
        <w:tc>
          <w:p w14:paraId="46AA3BCA">
            <w:pPr>
              <w:pStyle w:val="24"/>
              <w:jc w:val="left"/>
            </w:pPr>
            <w:r>
              <w:t>0.0490</w:t>
            </w:r>
          </w:p>
        </w:tc>
      </w:tr>
      <w:tr w14:paraId="326EB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A83D7FD">
            <w:pPr>
              <w:pStyle w:val="24"/>
            </w:pPr>
          </w:p>
        </w:tc>
        <w:tc>
          <w:p w14:paraId="4C66AAC0">
            <w:pPr>
              <w:pStyle w:val="24"/>
              <w:jc w:val="left"/>
            </w:pPr>
            <w:r>
              <w:t>SOFA score</w:t>
            </w:r>
          </w:p>
        </w:tc>
        <w:tc>
          <w:p w14:paraId="5C83ACE1">
            <w:pPr>
              <w:pStyle w:val="24"/>
              <w:jc w:val="left"/>
            </w:pPr>
            <w:r>
              <w:t>0.1090</w:t>
            </w:r>
          </w:p>
        </w:tc>
        <w:tc>
          <w:p w14:paraId="2F5DB894">
            <w:pPr>
              <w:pStyle w:val="24"/>
              <w:jc w:val="left"/>
            </w:pPr>
            <w:r>
              <w:t>0.0888</w:t>
            </w:r>
          </w:p>
        </w:tc>
      </w:tr>
      <w:tr w14:paraId="3275A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4D0F4B89">
            <w:pPr>
              <w:pStyle w:val="24"/>
            </w:pPr>
          </w:p>
        </w:tc>
        <w:tc>
          <w:p w14:paraId="463B0BF3">
            <w:pPr>
              <w:pStyle w:val="24"/>
              <w:jc w:val="left"/>
            </w:pPr>
            <w:r>
              <w:t>CD4/CD8 ratio</w:t>
            </w:r>
          </w:p>
        </w:tc>
        <w:tc>
          <w:p w14:paraId="7FC604A6">
            <w:pPr>
              <w:pStyle w:val="24"/>
              <w:jc w:val="left"/>
            </w:pPr>
            <w:r>
              <w:t>0.7099</w:t>
            </w:r>
          </w:p>
        </w:tc>
        <w:tc>
          <w:p w14:paraId="06240D0A">
            <w:pPr>
              <w:pStyle w:val="24"/>
              <w:jc w:val="left"/>
            </w:pPr>
            <w:r>
              <w:t>0.2548</w:t>
            </w:r>
          </w:p>
        </w:tc>
      </w:tr>
      <w:tr w14:paraId="13ACA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604BE6">
            <w:pPr>
              <w:pStyle w:val="24"/>
            </w:pPr>
          </w:p>
        </w:tc>
        <w:tc>
          <w:p w14:paraId="03419791">
            <w:pPr>
              <w:pStyle w:val="24"/>
              <w:jc w:val="left"/>
            </w:pPr>
            <w:r>
              <w:t>GLOBAL</w:t>
            </w:r>
          </w:p>
        </w:tc>
        <w:tc>
          <w:p w14:paraId="22B2683B">
            <w:pPr>
              <w:pStyle w:val="24"/>
              <w:jc w:val="left"/>
            </w:pPr>
            <w:r>
              <w:t>0.0259 (0.0218–0.0350)</w:t>
            </w:r>
          </w:p>
        </w:tc>
        <w:tc>
          <w:p w14:paraId="2B0F57EF">
            <w:pPr>
              <w:pStyle w:val="24"/>
            </w:pPr>
          </w:p>
        </w:tc>
      </w:tr>
      <w:tr w14:paraId="7D1E4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FDA4450">
            <w:pPr>
              <w:pStyle w:val="24"/>
              <w:jc w:val="left"/>
            </w:pPr>
            <w:r>
              <w:t>CD11c⁺MMP8⁺ cells</w:t>
            </w:r>
          </w:p>
        </w:tc>
        <w:tc>
          <w:p w14:paraId="5D26CE74">
            <w:pPr>
              <w:pStyle w:val="24"/>
              <w:jc w:val="left"/>
            </w:pPr>
            <w:r>
              <w:t>CD11c⁺MMP8⁺ cells, %</w:t>
            </w:r>
          </w:p>
        </w:tc>
        <w:tc>
          <w:p w14:paraId="2452C4EC">
            <w:pPr>
              <w:pStyle w:val="24"/>
              <w:jc w:val="left"/>
            </w:pPr>
            <w:r>
              <w:t>0.2748</w:t>
            </w:r>
          </w:p>
        </w:tc>
        <w:tc>
          <w:p w14:paraId="49D6F8C5">
            <w:pPr>
              <w:pStyle w:val="24"/>
              <w:jc w:val="left"/>
            </w:pPr>
            <w:r>
              <w:t>0.2704</w:t>
            </w:r>
          </w:p>
        </w:tc>
      </w:tr>
      <w:tr w14:paraId="3EB7B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3E6D56B">
            <w:pPr>
              <w:pStyle w:val="24"/>
            </w:pPr>
          </w:p>
        </w:tc>
        <w:tc>
          <w:p w14:paraId="449FB6E3">
            <w:pPr>
              <w:pStyle w:val="24"/>
              <w:jc w:val="left"/>
            </w:pPr>
            <w:r>
              <w:t>Age, years</w:t>
            </w:r>
          </w:p>
        </w:tc>
        <w:tc>
          <w:p w14:paraId="39E447C6">
            <w:pPr>
              <w:pStyle w:val="24"/>
              <w:jc w:val="left"/>
            </w:pPr>
            <w:r>
              <w:t>0.0517</w:t>
            </w:r>
          </w:p>
        </w:tc>
        <w:tc>
          <w:p w14:paraId="2C2CA7B0">
            <w:pPr>
              <w:pStyle w:val="24"/>
              <w:jc w:val="left"/>
            </w:pPr>
            <w:r>
              <w:t>0.0488</w:t>
            </w:r>
          </w:p>
        </w:tc>
      </w:tr>
      <w:tr w14:paraId="28312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97186F2">
            <w:pPr>
              <w:pStyle w:val="24"/>
            </w:pPr>
          </w:p>
        </w:tc>
        <w:tc>
          <w:p w14:paraId="43B54816">
            <w:pPr>
              <w:pStyle w:val="24"/>
              <w:jc w:val="left"/>
            </w:pPr>
            <w:r>
              <w:t>SOFA score</w:t>
            </w:r>
          </w:p>
        </w:tc>
        <w:tc>
          <w:p w14:paraId="7BEF82AD">
            <w:pPr>
              <w:pStyle w:val="24"/>
              <w:jc w:val="left"/>
            </w:pPr>
            <w:r>
              <w:t>0.1152</w:t>
            </w:r>
          </w:p>
        </w:tc>
        <w:tc>
          <w:p w14:paraId="6C550B4E">
            <w:pPr>
              <w:pStyle w:val="24"/>
              <w:jc w:val="left"/>
            </w:pPr>
            <w:r>
              <w:t>0.0937</w:t>
            </w:r>
          </w:p>
        </w:tc>
      </w:tr>
      <w:tr w14:paraId="711F9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7F349C0">
            <w:pPr>
              <w:pStyle w:val="24"/>
            </w:pPr>
          </w:p>
        </w:tc>
        <w:tc>
          <w:p w14:paraId="4FB9D074">
            <w:pPr>
              <w:pStyle w:val="24"/>
              <w:jc w:val="left"/>
            </w:pPr>
            <w:r>
              <w:t>CD4/CD8 ratio</w:t>
            </w:r>
          </w:p>
        </w:tc>
        <w:tc>
          <w:p w14:paraId="16F47396">
            <w:pPr>
              <w:pStyle w:val="24"/>
              <w:jc w:val="left"/>
            </w:pPr>
            <w:r>
              <w:t>0.7076</w:t>
            </w:r>
          </w:p>
        </w:tc>
        <w:tc>
          <w:p w14:paraId="34B88AB9">
            <w:pPr>
              <w:pStyle w:val="24"/>
              <w:jc w:val="left"/>
            </w:pPr>
            <w:r>
              <w:t>0.2554</w:t>
            </w:r>
          </w:p>
        </w:tc>
      </w:tr>
      <w:tr w14:paraId="2755F9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FF3321D">
            <w:pPr>
              <w:pStyle w:val="24"/>
            </w:pPr>
          </w:p>
        </w:tc>
        <w:tc>
          <w:p w14:paraId="74054BFE">
            <w:pPr>
              <w:pStyle w:val="24"/>
              <w:jc w:val="left"/>
            </w:pPr>
            <w:r>
              <w:t>GLOBAL</w:t>
            </w:r>
          </w:p>
        </w:tc>
        <w:tc>
          <w:p w14:paraId="36C67C6F">
            <w:pPr>
              <w:pStyle w:val="24"/>
              <w:jc w:val="left"/>
            </w:pPr>
            <w:r>
              <w:t>0.0271 (0.0206–0.0401)</w:t>
            </w:r>
          </w:p>
        </w:tc>
        <w:tc>
          <w:p w14:paraId="72B6D1B5">
            <w:pPr>
              <w:pStyle w:val="24"/>
            </w:pPr>
          </w:p>
        </w:tc>
      </w:tr>
      <w:tr w14:paraId="4004B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677738C">
            <w:pPr>
              <w:pStyle w:val="24"/>
              <w:jc w:val="left"/>
            </w:pPr>
            <w:r>
              <w:t>CD11c⁺HLA-DR⁻MMP8⁺ cells (Q3)</w:t>
            </w:r>
          </w:p>
        </w:tc>
        <w:tc>
          <w:p w14:paraId="682F1E1A">
            <w:pPr>
              <w:pStyle w:val="24"/>
              <w:jc w:val="left"/>
            </w:pPr>
            <w:r>
              <w:t>Q3 cells, %</w:t>
            </w:r>
          </w:p>
        </w:tc>
        <w:tc>
          <w:p w14:paraId="4BABFFDA">
            <w:pPr>
              <w:pStyle w:val="24"/>
              <w:jc w:val="left"/>
            </w:pPr>
            <w:r>
              <w:t>0.6539</w:t>
            </w:r>
          </w:p>
        </w:tc>
        <w:tc>
          <w:p w14:paraId="6C141FCB">
            <w:pPr>
              <w:pStyle w:val="24"/>
              <w:jc w:val="left"/>
            </w:pPr>
            <w:r>
              <w:t>0.6298</w:t>
            </w:r>
          </w:p>
        </w:tc>
      </w:tr>
      <w:tr w14:paraId="771DF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27754ED8">
            <w:pPr>
              <w:pStyle w:val="24"/>
            </w:pPr>
          </w:p>
        </w:tc>
        <w:tc>
          <w:p w14:paraId="7528D046">
            <w:pPr>
              <w:pStyle w:val="24"/>
              <w:jc w:val="left"/>
            </w:pPr>
            <w:r>
              <w:t>Age, years</w:t>
            </w:r>
          </w:p>
        </w:tc>
        <w:tc>
          <w:p w14:paraId="039936C0">
            <w:pPr>
              <w:pStyle w:val="24"/>
              <w:jc w:val="left"/>
            </w:pPr>
            <w:r>
              <w:t>0.0549</w:t>
            </w:r>
          </w:p>
        </w:tc>
        <w:tc>
          <w:p w14:paraId="119C4386">
            <w:pPr>
              <w:pStyle w:val="24"/>
              <w:jc w:val="left"/>
            </w:pPr>
            <w:r>
              <w:t>0.0495</w:t>
            </w:r>
          </w:p>
        </w:tc>
      </w:tr>
      <w:tr w14:paraId="59651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3BF4BD1">
            <w:pPr>
              <w:pStyle w:val="24"/>
            </w:pPr>
          </w:p>
        </w:tc>
        <w:tc>
          <w:p w14:paraId="0E05DEB2">
            <w:pPr>
              <w:pStyle w:val="24"/>
              <w:jc w:val="left"/>
            </w:pPr>
            <w:r>
              <w:t>SOFA score</w:t>
            </w:r>
          </w:p>
        </w:tc>
        <w:tc>
          <w:p w14:paraId="0B026F5A">
            <w:pPr>
              <w:pStyle w:val="24"/>
              <w:jc w:val="left"/>
            </w:pPr>
            <w:r>
              <w:t>0.1285</w:t>
            </w:r>
          </w:p>
        </w:tc>
        <w:tc>
          <w:p w14:paraId="130CF302">
            <w:pPr>
              <w:pStyle w:val="24"/>
              <w:jc w:val="left"/>
            </w:pPr>
            <w:r>
              <w:t>0.1017</w:t>
            </w:r>
          </w:p>
        </w:tc>
      </w:tr>
      <w:tr w14:paraId="59ACD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48A09A3">
            <w:pPr>
              <w:pStyle w:val="24"/>
            </w:pPr>
          </w:p>
        </w:tc>
        <w:tc>
          <w:p w14:paraId="0B4691CC">
            <w:pPr>
              <w:pStyle w:val="24"/>
              <w:jc w:val="left"/>
            </w:pPr>
            <w:r>
              <w:t>CD4/CD8 ratio</w:t>
            </w:r>
          </w:p>
        </w:tc>
        <w:tc>
          <w:p w14:paraId="38008740">
            <w:pPr>
              <w:pStyle w:val="24"/>
              <w:jc w:val="left"/>
            </w:pPr>
            <w:r>
              <w:t>0.7243</w:t>
            </w:r>
          </w:p>
        </w:tc>
        <w:tc>
          <w:p w14:paraId="43217AC4">
            <w:pPr>
              <w:pStyle w:val="24"/>
              <w:jc w:val="left"/>
            </w:pPr>
            <w:r>
              <w:t>0.2517</w:t>
            </w:r>
          </w:p>
        </w:tc>
      </w:tr>
      <w:tr w14:paraId="09F44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9DCEC0D">
            <w:pPr>
              <w:pStyle w:val="24"/>
            </w:pPr>
          </w:p>
        </w:tc>
        <w:tc>
          <w:p w14:paraId="66C6BDA7">
            <w:pPr>
              <w:pStyle w:val="24"/>
              <w:jc w:val="left"/>
            </w:pPr>
            <w:r>
              <w:t>GLOBAL</w:t>
            </w:r>
          </w:p>
        </w:tc>
        <w:tc>
          <w:p w14:paraId="145EEB55">
            <w:pPr>
              <w:pStyle w:val="24"/>
              <w:jc w:val="left"/>
            </w:pPr>
            <w:r>
              <w:t>0.0799 (0.0626–0.0887)</w:t>
            </w:r>
          </w:p>
        </w:tc>
        <w:tc>
          <w:p w14:paraId="58D57923">
            <w:pPr>
              <w:pStyle w:val="24"/>
            </w:pPr>
          </w:p>
        </w:tc>
      </w:tr>
      <w:tr w14:paraId="07072D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5E51D97">
            <w:pPr>
              <w:pStyle w:val="24"/>
              <w:jc w:val="left"/>
            </w:pPr>
            <w:r>
              <w:t>ln(MMP8⁺/HLA-DR⁺ ratio)</w:t>
            </w:r>
          </w:p>
        </w:tc>
        <w:tc>
          <w:p w14:paraId="42625D2F">
            <w:pPr>
              <w:pStyle w:val="24"/>
              <w:jc w:val="left"/>
            </w:pPr>
            <w:r>
              <w:t>ln(MMP8⁺/HLA-DR⁺ ratio)</w:t>
            </w:r>
          </w:p>
        </w:tc>
        <w:tc>
          <w:p w14:paraId="14193A2B">
            <w:pPr>
              <w:pStyle w:val="24"/>
              <w:jc w:val="left"/>
            </w:pPr>
            <w:r>
              <w:t>0.3013</w:t>
            </w:r>
          </w:p>
        </w:tc>
        <w:tc>
          <w:p w14:paraId="20D67090">
            <w:pPr>
              <w:pStyle w:val="24"/>
              <w:jc w:val="left"/>
            </w:pPr>
            <w:r>
              <w:t>0.1972</w:t>
            </w:r>
          </w:p>
        </w:tc>
      </w:tr>
      <w:tr w14:paraId="4C3B6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AA5C9CB">
            <w:pPr>
              <w:pStyle w:val="24"/>
            </w:pPr>
          </w:p>
        </w:tc>
        <w:tc>
          <w:p w14:paraId="0796BCDD">
            <w:pPr>
              <w:pStyle w:val="24"/>
              <w:jc w:val="left"/>
            </w:pPr>
            <w:r>
              <w:t>Age, years</w:t>
            </w:r>
          </w:p>
        </w:tc>
        <w:tc>
          <w:p w14:paraId="02BCD20D">
            <w:pPr>
              <w:pStyle w:val="24"/>
              <w:jc w:val="left"/>
            </w:pPr>
            <w:r>
              <w:t>0.0626</w:t>
            </w:r>
          </w:p>
        </w:tc>
        <w:tc>
          <w:p w14:paraId="2685B339">
            <w:pPr>
              <w:pStyle w:val="24"/>
              <w:jc w:val="left"/>
            </w:pPr>
            <w:r>
              <w:t>0.0605</w:t>
            </w:r>
          </w:p>
        </w:tc>
      </w:tr>
      <w:tr w14:paraId="5666B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588A334E">
            <w:pPr>
              <w:pStyle w:val="24"/>
            </w:pPr>
          </w:p>
        </w:tc>
        <w:tc>
          <w:p w14:paraId="6A575472">
            <w:pPr>
              <w:pStyle w:val="24"/>
              <w:jc w:val="left"/>
            </w:pPr>
            <w:r>
              <w:t>SOFA score</w:t>
            </w:r>
          </w:p>
        </w:tc>
        <w:tc>
          <w:p w14:paraId="08F1DFF3">
            <w:pPr>
              <w:pStyle w:val="24"/>
              <w:jc w:val="left"/>
            </w:pPr>
            <w:r>
              <w:t>0.0632</w:t>
            </w:r>
          </w:p>
        </w:tc>
        <w:tc>
          <w:p w14:paraId="0904D9F6">
            <w:pPr>
              <w:pStyle w:val="24"/>
              <w:jc w:val="left"/>
            </w:pPr>
            <w:r>
              <w:t>0.0547</w:t>
            </w:r>
          </w:p>
        </w:tc>
      </w:tr>
      <w:tr w14:paraId="56517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14660DC1">
            <w:pPr>
              <w:pStyle w:val="24"/>
            </w:pPr>
          </w:p>
        </w:tc>
        <w:tc>
          <w:p w14:paraId="7833CF4F">
            <w:pPr>
              <w:pStyle w:val="24"/>
              <w:jc w:val="left"/>
            </w:pPr>
            <w:r>
              <w:t>CD4/CD8 ratio</w:t>
            </w:r>
          </w:p>
        </w:tc>
        <w:tc>
          <w:p w14:paraId="572B5DCB">
            <w:pPr>
              <w:pStyle w:val="24"/>
              <w:jc w:val="left"/>
            </w:pPr>
            <w:r>
              <w:t>0.5520</w:t>
            </w:r>
          </w:p>
        </w:tc>
        <w:tc>
          <w:p w14:paraId="3155A75E">
            <w:pPr>
              <w:pStyle w:val="24"/>
              <w:jc w:val="left"/>
            </w:pPr>
            <w:r>
              <w:t>0.1114</w:t>
            </w:r>
          </w:p>
        </w:tc>
      </w:tr>
      <w:tr w14:paraId="73F62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C2F8131">
            <w:pPr>
              <w:pStyle w:val="24"/>
            </w:pPr>
          </w:p>
        </w:tc>
        <w:tc>
          <w:p w14:paraId="299AA904">
            <w:pPr>
              <w:pStyle w:val="24"/>
              <w:jc w:val="left"/>
            </w:pPr>
            <w:r>
              <w:t>GLOBAL</w:t>
            </w:r>
          </w:p>
        </w:tc>
        <w:tc>
          <w:p w14:paraId="41827DDB">
            <w:pPr>
              <w:pStyle w:val="24"/>
              <w:jc w:val="left"/>
            </w:pPr>
            <w:r>
              <w:t>0.0727 (0.0221–0.0925)</w:t>
            </w:r>
          </w:p>
        </w:tc>
        <w:tc>
          <w:p w14:paraId="1E35097B">
            <w:pPr>
              <w:pStyle w:val="24"/>
            </w:pPr>
          </w:p>
        </w:tc>
      </w:tr>
    </w:tbl>
    <w:p w14:paraId="0F9E97A3">
      <w:pPr>
        <w:pStyle w:val="3"/>
      </w:pPr>
      <w:r>
        <w:t>GLOBAL rows show the median P across the 20 imputations with the range (min–max) in parentheses; per-variable rows show median and minimum P. P values are from scaled Schoenfeld residual tests (cox.zph) computed within each imputed dataset.</w:t>
      </w:r>
    </w:p>
    <w:p w14:paraId="38F600D4">
      <w:pPr>
        <w:pStyle w:val="3"/>
      </w:pPr>
      <w:r>
        <w:rPr>
          <w:b/>
          <w:bCs/>
        </w:rPr>
        <w:t>Table S3.</w:t>
      </w:r>
      <w:r>
        <w:t xml:space="preserve"> Cox regression for 30-day all-cause mortality (hazard ratio per 1% increment, 95% CI, P).</w:t>
      </w:r>
    </w:p>
    <w:tbl>
      <w:tblPr>
        <w:tblStyle w:val="28"/>
        <w:tblW w:w="486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2731"/>
        <w:gridCol w:w="2889"/>
      </w:tblGrid>
      <w:tr w14:paraId="4321F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6B535381">
            <w:pPr>
              <w:pStyle w:val="24"/>
              <w:jc w:val="left"/>
            </w:pPr>
            <w:r>
              <w:t>Indicator</w:t>
            </w:r>
          </w:p>
        </w:tc>
        <w:tc>
          <w:p w14:paraId="0DF068B6">
            <w:pPr>
              <w:pStyle w:val="24"/>
              <w:jc w:val="left"/>
            </w:pPr>
            <w:r>
              <w:t>Unadjusted</w:t>
            </w:r>
          </w:p>
        </w:tc>
        <w:tc>
          <w:p w14:paraId="7328FA3B">
            <w:pPr>
              <w:pStyle w:val="24"/>
              <w:jc w:val="left"/>
            </w:pPr>
            <w:r>
              <w:t>Model 3 (age + SOFA + CD4/CD8)</w:t>
            </w:r>
          </w:p>
        </w:tc>
      </w:tr>
      <w:tr w14:paraId="504B4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DA38732">
            <w:pPr>
              <w:pStyle w:val="24"/>
              <w:jc w:val="left"/>
            </w:pPr>
            <w:r>
              <w:t>MMP8⁺ cells</w:t>
            </w:r>
          </w:p>
        </w:tc>
        <w:tc>
          <w:p w14:paraId="634E986D">
            <w:pPr>
              <w:pStyle w:val="24"/>
              <w:jc w:val="left"/>
            </w:pPr>
            <w:r>
              <w:t>1.026 (1.000–1.053), P = 0.052</w:t>
            </w:r>
          </w:p>
        </w:tc>
        <w:tc>
          <w:p w14:paraId="4BF73075">
            <w:pPr>
              <w:pStyle w:val="24"/>
              <w:jc w:val="left"/>
            </w:pPr>
            <w:r>
              <w:t>1.010 (0.983–1.038), P = 0.47</w:t>
            </w:r>
          </w:p>
        </w:tc>
      </w:tr>
      <w:tr w14:paraId="7F87BD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388B23E">
            <w:pPr>
              <w:pStyle w:val="24"/>
              <w:jc w:val="left"/>
            </w:pPr>
            <w:r>
              <w:t>CD11c⁺MMP8⁺ cells</w:t>
            </w:r>
          </w:p>
        </w:tc>
        <w:tc>
          <w:p w14:paraId="49B71684">
            <w:pPr>
              <w:pStyle w:val="24"/>
              <w:jc w:val="left"/>
            </w:pPr>
            <w:r>
              <w:t>1.023 (1.002–1.045), P = 0.035</w:t>
            </w:r>
          </w:p>
        </w:tc>
        <w:tc>
          <w:p w14:paraId="0C4490FE">
            <w:pPr>
              <w:pStyle w:val="24"/>
              <w:jc w:val="left"/>
            </w:pPr>
            <w:r>
              <w:t>1.008 (0.985–1.031), P = 0.51</w:t>
            </w:r>
          </w:p>
        </w:tc>
      </w:tr>
      <w:tr w14:paraId="133ED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7DBF59D6">
            <w:pPr>
              <w:pStyle w:val="24"/>
              <w:jc w:val="left"/>
            </w:pPr>
            <w:r>
              <w:t>CD11c⁺HLA-DR⁻MMP8⁺ cells (Q3)</w:t>
            </w:r>
          </w:p>
        </w:tc>
        <w:tc>
          <w:p w14:paraId="79F41C69">
            <w:pPr>
              <w:pStyle w:val="24"/>
              <w:jc w:val="left"/>
            </w:pPr>
            <w:r>
              <w:t>1.036 (1.008–1.066), P = 0.012</w:t>
            </w:r>
          </w:p>
        </w:tc>
        <w:tc>
          <w:p w14:paraId="39E84D89">
            <w:pPr>
              <w:pStyle w:val="24"/>
              <w:jc w:val="left"/>
            </w:pPr>
            <w:r>
              <w:t>1.017 (0.985–1.049), P = 0.30</w:t>
            </w:r>
          </w:p>
        </w:tc>
      </w:tr>
      <w:tr w14:paraId="60AAC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943DFE8">
            <w:pPr>
              <w:pStyle w:val="24"/>
              <w:jc w:val="left"/>
            </w:pPr>
            <w:r>
              <w:t>ln(MMP8⁺/HLA-DR⁺ ratio)</w:t>
            </w:r>
          </w:p>
        </w:tc>
        <w:tc>
          <w:p w14:paraId="18F99F7B">
            <w:pPr>
              <w:pStyle w:val="24"/>
              <w:jc w:val="left"/>
            </w:pPr>
            <w:r>
              <w:t>1.522 (1.093–2.120), P = 0.013</w:t>
            </w:r>
          </w:p>
        </w:tc>
        <w:tc>
          <w:p w14:paraId="7415889A">
            <w:pPr>
              <w:pStyle w:val="24"/>
              <w:jc w:val="left"/>
            </w:pPr>
            <w:r>
              <w:t>1.344 (0.953–1.896), P = 0.092</w:t>
            </w:r>
          </w:p>
        </w:tc>
      </w:tr>
    </w:tbl>
    <w:p w14:paraId="5448D24F">
      <w:pPr>
        <w:pStyle w:val="3"/>
      </w:pPr>
      <w:r>
        <w:t>Cox models with follow-up censored at day 30 (14 events); pooled across multiply imputed datasets.</w:t>
      </w:r>
    </w:p>
    <w:p w14:paraId="0B638E20">
      <w:pPr>
        <w:pStyle w:val="3"/>
      </w:pPr>
      <w:r>
        <w:rPr>
          <w:b/>
          <w:bCs/>
        </w:rPr>
        <w:t>Table S4.</w:t>
      </w:r>
      <w:r>
        <w:t xml:space="preserve"> Logistic regression for persistent organ dysfunction (POD).</w:t>
      </w:r>
    </w:p>
    <w:tbl>
      <w:tblPr>
        <w:tblStyle w:val="28"/>
        <w:tblW w:w="486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1"/>
        <w:gridCol w:w="2882"/>
        <w:gridCol w:w="2817"/>
      </w:tblGrid>
      <w:tr w14:paraId="4E330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p w14:paraId="7C27F403">
            <w:pPr>
              <w:pStyle w:val="24"/>
              <w:jc w:val="left"/>
            </w:pPr>
            <w:r>
              <w:t>Indicator</w:t>
            </w:r>
          </w:p>
        </w:tc>
        <w:tc>
          <w:p w14:paraId="34545467">
            <w:pPr>
              <w:pStyle w:val="24"/>
              <w:jc w:val="left"/>
            </w:pPr>
            <w:r>
              <w:t>Unadjusted OR per 1% (95% CI), P</w:t>
            </w:r>
          </w:p>
        </w:tc>
        <w:tc>
          <w:p w14:paraId="3D5F9581">
            <w:pPr>
              <w:pStyle w:val="24"/>
              <w:jc w:val="left"/>
            </w:pPr>
            <w:r>
              <w:t>Adjusted OR per 1% ᵃ (95% CI), P</w:t>
            </w:r>
          </w:p>
        </w:tc>
      </w:tr>
      <w:tr w14:paraId="04468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B06AB7B">
            <w:pPr>
              <w:pStyle w:val="24"/>
              <w:jc w:val="left"/>
            </w:pPr>
            <w:r>
              <w:t>MMP8⁺ cells</w:t>
            </w:r>
          </w:p>
        </w:tc>
        <w:tc>
          <w:p w14:paraId="7BFFDC18">
            <w:pPr>
              <w:pStyle w:val="24"/>
              <w:jc w:val="left"/>
            </w:pPr>
            <w:r>
              <w:t>1.034 (1.001–1.068), P = 0.042</w:t>
            </w:r>
          </w:p>
        </w:tc>
        <w:tc>
          <w:p w14:paraId="34C35EB8">
            <w:pPr>
              <w:pStyle w:val="24"/>
              <w:jc w:val="left"/>
            </w:pPr>
            <w:r>
              <w:t>1.038 (1.000–1.078), P = 0.052</w:t>
            </w:r>
          </w:p>
        </w:tc>
      </w:tr>
      <w:tr w14:paraId="5B96B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0E935CEA">
            <w:pPr>
              <w:pStyle w:val="24"/>
              <w:jc w:val="left"/>
            </w:pPr>
            <w:r>
              <w:t>CD11c⁺MMP8⁺ cells</w:t>
            </w:r>
          </w:p>
        </w:tc>
        <w:tc>
          <w:p w14:paraId="142AF390">
            <w:pPr>
              <w:pStyle w:val="24"/>
              <w:jc w:val="left"/>
            </w:pPr>
            <w:r>
              <w:t>1.035 (1.005–1.066), P = 0.022</w:t>
            </w:r>
          </w:p>
        </w:tc>
        <w:tc>
          <w:p w14:paraId="3442389C">
            <w:pPr>
              <w:pStyle w:val="24"/>
              <w:jc w:val="left"/>
            </w:pPr>
            <w:r>
              <w:t>1.038 (1.003–1.074), P = 0.033</w:t>
            </w:r>
          </w:p>
        </w:tc>
      </w:tr>
      <w:tr w14:paraId="44110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65A4F903">
            <w:pPr>
              <w:pStyle w:val="24"/>
              <w:jc w:val="left"/>
            </w:pPr>
            <w:r>
              <w:t>CD11c⁺HLA-DR⁻MMP8⁺ cells (Q3)</w:t>
            </w:r>
          </w:p>
        </w:tc>
        <w:tc>
          <w:p w14:paraId="7A27A6F6">
            <w:pPr>
              <w:pStyle w:val="24"/>
              <w:jc w:val="left"/>
            </w:pPr>
            <w:r>
              <w:t>1.059 (1.018–1.101), P = 0.005</w:t>
            </w:r>
          </w:p>
        </w:tc>
        <w:tc>
          <w:p w14:paraId="24BE9D72">
            <w:pPr>
              <w:pStyle w:val="24"/>
              <w:jc w:val="left"/>
            </w:pPr>
            <w:r>
              <w:t>1.075 (1.018–1.136), P = 0.010</w:t>
            </w:r>
          </w:p>
        </w:tc>
      </w:tr>
      <w:tr w14:paraId="690A8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p w14:paraId="3AE244CA">
            <w:pPr>
              <w:pStyle w:val="24"/>
              <w:jc w:val="left"/>
            </w:pPr>
            <w:r>
              <w:t>ln(MMP8⁺/HLA-DR⁺ ratio)</w:t>
            </w:r>
          </w:p>
        </w:tc>
        <w:tc>
          <w:p w14:paraId="59B55FBC">
            <w:pPr>
              <w:pStyle w:val="24"/>
              <w:jc w:val="left"/>
            </w:pPr>
            <w:r>
              <w:t>1.772 (1.213–2.590), P = 0.003</w:t>
            </w:r>
          </w:p>
        </w:tc>
        <w:tc>
          <w:p w14:paraId="35072218">
            <w:pPr>
              <w:pStyle w:val="24"/>
              <w:jc w:val="left"/>
            </w:pPr>
            <w:r>
              <w:t>1.893 (1.240–2.890), P = 0.003</w:t>
            </w:r>
          </w:p>
        </w:tc>
      </w:tr>
    </w:tbl>
    <w:p w14:paraId="53F9D1DF">
      <w:pPr>
        <w:pStyle w:val="3"/>
      </w:pPr>
      <w:r>
        <w:t>POD was defined as a day 1-to-7 SOFA decrease of &lt; 2 points (19 events among 85 patients); the las</w:t>
      </w:r>
      <w:bookmarkStart w:id="2" w:name="_GoBack"/>
      <w:bookmarkEnd w:id="2"/>
      <w:r>
        <w:t>t observation was carried forward for 10 patients without a day-7 score, and patients dying before day 7 were classified as POD. ᵃ Adjusted for age, day-1 SOFA score and CD4/CD8 ratio; pooled across multiply imputed datasets.</w:t>
      </w:r>
    </w:p>
    <w:bookmarkEnd w:id="1"/>
    <w:sectPr>
      <w:endnotePr>
        <w:numFmt w:val="decimal"/>
      </w:end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0"/>
    <w:footnote w:id="1"/>
  </w:footnotePr>
  <w:endnotePr>
    <w:numFmt w:val="decimal"/>
  </w:endnotePr>
  <w:compat>
    <w:useFELayout/>
    <w:splitPgBreakAndParaMark/>
    <w:compatSetting w:name="compatibilityMode" w:uri="http://schemas.microsoft.com/office/word" w:val="12"/>
  </w:compat>
  <w:rsids>
    <w:rsidRoot w:val="00000000"/>
    <w:rsid w:val="39C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 m:val="1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eastAsia="宋体" w:asciiTheme="minorHAnsi" w:hAnsi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4F81BD" w:themeColor="accent1"/>
      <w:sz w:val="32"/>
      <w:szCs w:val="32"/>
    </w:rPr>
  </w:style>
  <w:style w:type="paragraph" w:styleId="4">
    <w:name w:val="heading 2"/>
    <w:basedOn w:val="1"/>
    <w:next w:val="3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</w:rPr>
  </w:style>
  <w:style w:type="paragraph" w:styleId="5">
    <w:name w:val="heading 3"/>
    <w:basedOn w:val="1"/>
    <w:next w:val="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4"/>
      <w:szCs w:val="24"/>
    </w:rPr>
  </w:style>
  <w:style w:type="paragraph" w:styleId="6">
    <w:name w:val="heading 4"/>
    <w:basedOn w:val="1"/>
    <w:next w:val="3"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Cs/>
      <w:i/>
      <w:color w:val="4F81BD" w:themeColor="accent1"/>
      <w:sz w:val="24"/>
      <w:szCs w:val="24"/>
    </w:rPr>
  </w:style>
  <w:style w:type="paragraph" w:styleId="7">
    <w:name w:val="heading 5"/>
    <w:basedOn w:val="1"/>
    <w:next w:val="3"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iCs/>
      <w:color w:val="4F81BD" w:themeColor="accent1"/>
      <w:sz w:val="24"/>
      <w:szCs w:val="24"/>
    </w:rPr>
  </w:style>
  <w:style w:type="paragraph" w:styleId="8">
    <w:name w:val="heading 6"/>
    <w:basedOn w:val="1"/>
    <w:next w:val="3"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9">
    <w:name w:val="heading 7"/>
    <w:basedOn w:val="1"/>
    <w:next w:val="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0">
    <w:name w:val="heading 8"/>
    <w:basedOn w:val="1"/>
    <w:next w:val="3"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paragraph" w:styleId="11">
    <w:name w:val="heading 9"/>
    <w:basedOn w:val="1"/>
    <w:next w:val="3"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color w:val="4F81BD" w:themeColor="accent1"/>
      <w:sz w:val="24"/>
      <w:szCs w:val="24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eastAsia="宋体" w:asciiTheme="minorHAnsi" w:hAnsi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6"/>
    <w:next w:val="3"/>
    <w:qFormat/>
    <w:uiPriority w:val="0"/>
    <w:pPr>
      <w:keepNext/>
      <w:keepLines/>
      <w:spacing w:before="240" w:after="240"/>
      <w:jc w:val="center"/>
    </w:pPr>
    <w:rPr>
      <w:sz w:val="30"/>
      <w:szCs w:val="30"/>
    </w:rPr>
  </w:style>
  <w:style w:type="paragraph" w:styleId="16">
    <w:name w:val="Title"/>
    <w:basedOn w:val="1"/>
    <w:next w:val="3"/>
    <w:qFormat/>
    <w:uiPriority w:val="0"/>
    <w:pPr>
      <w:keepNext/>
      <w:keepLines/>
      <w:spacing w:before="480" w:after="240"/>
      <w:jc w:val="center"/>
    </w:pPr>
    <w:rPr>
      <w:rFonts w:asciiTheme="majorHAnsi" w:hAnsiTheme="majorHAnsi" w:eastAsiaTheme="majorEastAsia" w:cstheme="majorBidi"/>
      <w:b/>
      <w:bCs/>
      <w:color w:val="335B8A" w:themeColor="accent1" w:themeShade="B5"/>
      <w:sz w:val="36"/>
      <w:szCs w:val="36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4F81BD" w:themeColor="accent1"/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paragraph" w:customStyle="1" w:styleId="25">
    <w:name w:val="Author"/>
    <w:next w:val="3"/>
    <w:qFormat/>
    <w:uiPriority w:val="0"/>
    <w:pPr>
      <w:keepNext/>
      <w:keepLines/>
      <w:spacing w:after="200"/>
      <w:jc w:val="center"/>
    </w:pPr>
    <w:rPr>
      <w:rFonts w:eastAsia="宋体" w:asciiTheme="minorHAnsi" w:hAnsiTheme="minorHAnsi" w:cstheme="minorBidi"/>
      <w:sz w:val="24"/>
      <w:szCs w:val="24"/>
      <w:lang w:val="en-US" w:eastAsia="en-US" w:bidi="ar-SA"/>
    </w:rPr>
  </w:style>
  <w:style w:type="paragraph" w:customStyle="1" w:styleId="26">
    <w:name w:val="Abstract"/>
    <w:basedOn w:val="1"/>
    <w:next w:val="3"/>
    <w:qFormat/>
    <w:uiPriority w:val="0"/>
    <w:pPr>
      <w:keepNext/>
      <w:keepLines/>
      <w:spacing w:before="300" w:after="300"/>
    </w:pPr>
    <w:rPr>
      <w:sz w:val="20"/>
      <w:szCs w:val="20"/>
    </w:rPr>
  </w:style>
  <w:style w:type="paragraph" w:customStyle="1" w:styleId="27">
    <w:name w:val="Bibliography"/>
    <w:basedOn w:val="1"/>
    <w:qFormat/>
    <w:uiPriority w:val="0"/>
  </w:style>
  <w:style w:type="table" w:customStyle="1" w:styleId="28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  <w:style w:type="paragraph" w:customStyle="1" w:styleId="29">
    <w:name w:val="Definition Term"/>
    <w:basedOn w:val="1"/>
    <w:next w:val="30"/>
    <w:qFormat/>
    <w:uiPriority w:val="0"/>
    <w:pPr>
      <w:keepNext/>
      <w:keepLines/>
      <w:spacing w:after="0"/>
    </w:pPr>
    <w:rPr>
      <w:b/>
    </w:rPr>
  </w:style>
  <w:style w:type="paragraph" w:customStyle="1" w:styleId="30">
    <w:name w:val="Definition"/>
    <w:basedOn w:val="1"/>
    <w:qFormat/>
    <w:uiPriority w:val="0"/>
  </w:style>
  <w:style w:type="paragraph" w:customStyle="1" w:styleId="31">
    <w:name w:val="Table Caption"/>
    <w:basedOn w:val="12"/>
    <w:qFormat/>
    <w:uiPriority w:val="0"/>
    <w:pPr>
      <w:keepNext/>
    </w:pPr>
  </w:style>
  <w:style w:type="paragraph" w:customStyle="1" w:styleId="32">
    <w:name w:val="Image Caption"/>
    <w:basedOn w:val="12"/>
    <w:uiPriority w:val="0"/>
  </w:style>
  <w:style w:type="paragraph" w:customStyle="1" w:styleId="33">
    <w:name w:val="Figure"/>
    <w:basedOn w:val="1"/>
    <w:qFormat/>
    <w:uiPriority w:val="0"/>
  </w:style>
  <w:style w:type="paragraph" w:customStyle="1" w:styleId="34">
    <w:name w:val="Captioned Figure"/>
    <w:basedOn w:val="33"/>
    <w:qFormat/>
    <w:uiPriority w:val="0"/>
    <w:pPr>
      <w:keepNext/>
    </w:pPr>
  </w:style>
  <w:style w:type="character" w:customStyle="1" w:styleId="35">
    <w:name w:val="Verbatim Char"/>
    <w:basedOn w:val="21"/>
    <w:link w:val="36"/>
    <w:qFormat/>
    <w:uiPriority w:val="0"/>
    <w:rPr>
      <w:rFonts w:ascii="Consolas" w:hAnsi="Consolas"/>
      <w:sz w:val="22"/>
    </w:rPr>
  </w:style>
  <w:style w:type="paragraph" w:customStyle="1" w:styleId="36">
    <w:name w:val="Source Code"/>
    <w:basedOn w:val="1"/>
    <w:link w:val="35"/>
    <w:qFormat/>
    <w:uiPriority w:val="0"/>
    <w:pPr>
      <w:wordWrap w:val="0"/>
    </w:pPr>
  </w:style>
  <w:style w:type="character" w:customStyle="1" w:styleId="37">
    <w:name w:val="Section Number"/>
    <w:basedOn w:val="21"/>
    <w:qFormat/>
    <w:uiPriority w:val="0"/>
  </w:style>
  <w:style w:type="paragraph" w:customStyle="1" w:styleId="38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366091" w:themeColor="accent1" w:themeShade="BF"/>
    </w:rPr>
  </w:style>
  <w:style w:type="character" w:customStyle="1" w:styleId="39">
    <w:name w:val="KeywordTok"/>
    <w:basedOn w:val="35"/>
    <w:qFormat/>
    <w:uiPriority w:val="0"/>
    <w:rPr>
      <w:b/>
      <w:color w:val="007020"/>
    </w:rPr>
  </w:style>
  <w:style w:type="character" w:customStyle="1" w:styleId="40">
    <w:name w:val="DataTypeTok"/>
    <w:basedOn w:val="35"/>
    <w:uiPriority w:val="0"/>
    <w:rPr>
      <w:color w:val="902000"/>
    </w:rPr>
  </w:style>
  <w:style w:type="character" w:customStyle="1" w:styleId="41">
    <w:name w:val="DecValTok"/>
    <w:basedOn w:val="35"/>
    <w:qFormat/>
    <w:uiPriority w:val="0"/>
    <w:rPr>
      <w:color w:val="40A070"/>
    </w:rPr>
  </w:style>
  <w:style w:type="character" w:customStyle="1" w:styleId="42">
    <w:name w:val="BaseNTok"/>
    <w:basedOn w:val="35"/>
    <w:qFormat/>
    <w:uiPriority w:val="0"/>
    <w:rPr>
      <w:color w:val="40A070"/>
    </w:rPr>
  </w:style>
  <w:style w:type="character" w:customStyle="1" w:styleId="43">
    <w:name w:val="FloatTok"/>
    <w:basedOn w:val="35"/>
    <w:qFormat/>
    <w:uiPriority w:val="0"/>
    <w:rPr>
      <w:color w:val="40A070"/>
    </w:rPr>
  </w:style>
  <w:style w:type="character" w:customStyle="1" w:styleId="44">
    <w:name w:val="ConstantTok"/>
    <w:basedOn w:val="35"/>
    <w:qFormat/>
    <w:uiPriority w:val="0"/>
    <w:rPr>
      <w:color w:val="880000"/>
    </w:rPr>
  </w:style>
  <w:style w:type="character" w:customStyle="1" w:styleId="45">
    <w:name w:val="CharTok"/>
    <w:basedOn w:val="35"/>
    <w:qFormat/>
    <w:uiPriority w:val="0"/>
    <w:rPr>
      <w:color w:val="4070A0"/>
    </w:rPr>
  </w:style>
  <w:style w:type="character" w:customStyle="1" w:styleId="46">
    <w:name w:val="SpecialCharTok"/>
    <w:basedOn w:val="35"/>
    <w:qFormat/>
    <w:uiPriority w:val="0"/>
    <w:rPr>
      <w:color w:val="4070A0"/>
    </w:rPr>
  </w:style>
  <w:style w:type="character" w:customStyle="1" w:styleId="47">
    <w:name w:val="StringTok"/>
    <w:basedOn w:val="35"/>
    <w:qFormat/>
    <w:uiPriority w:val="0"/>
    <w:rPr>
      <w:color w:val="4070A0"/>
    </w:rPr>
  </w:style>
  <w:style w:type="character" w:customStyle="1" w:styleId="48">
    <w:name w:val="VerbatimStringTok"/>
    <w:basedOn w:val="35"/>
    <w:uiPriority w:val="0"/>
    <w:rPr>
      <w:color w:val="4070A0"/>
    </w:rPr>
  </w:style>
  <w:style w:type="character" w:customStyle="1" w:styleId="49">
    <w:name w:val="SpecialStringTok"/>
    <w:basedOn w:val="35"/>
    <w:qFormat/>
    <w:uiPriority w:val="0"/>
    <w:rPr>
      <w:color w:val="BB6688"/>
    </w:rPr>
  </w:style>
  <w:style w:type="character" w:customStyle="1" w:styleId="50">
    <w:name w:val="ImportTok"/>
    <w:basedOn w:val="35"/>
    <w:qFormat/>
    <w:uiPriority w:val="0"/>
    <w:rPr>
      <w:b/>
      <w:color w:val="008000"/>
    </w:rPr>
  </w:style>
  <w:style w:type="character" w:customStyle="1" w:styleId="51">
    <w:name w:val="CommentTok"/>
    <w:basedOn w:val="35"/>
    <w:qFormat/>
    <w:uiPriority w:val="0"/>
    <w:rPr>
      <w:i/>
      <w:color w:val="60A0B0"/>
    </w:rPr>
  </w:style>
  <w:style w:type="character" w:customStyle="1" w:styleId="52">
    <w:name w:val="DocumentationTok"/>
    <w:basedOn w:val="35"/>
    <w:qFormat/>
    <w:uiPriority w:val="0"/>
    <w:rPr>
      <w:i/>
      <w:color w:val="BA2121"/>
    </w:rPr>
  </w:style>
  <w:style w:type="character" w:customStyle="1" w:styleId="53">
    <w:name w:val="AnnotationTok"/>
    <w:basedOn w:val="35"/>
    <w:qFormat/>
    <w:uiPriority w:val="0"/>
    <w:rPr>
      <w:b/>
      <w:i/>
      <w:color w:val="60A0B0"/>
    </w:rPr>
  </w:style>
  <w:style w:type="character" w:customStyle="1" w:styleId="54">
    <w:name w:val="CommentVarTok"/>
    <w:basedOn w:val="35"/>
    <w:qFormat/>
    <w:uiPriority w:val="0"/>
    <w:rPr>
      <w:b/>
      <w:i/>
      <w:color w:val="60A0B0"/>
    </w:rPr>
  </w:style>
  <w:style w:type="character" w:customStyle="1" w:styleId="55">
    <w:name w:val="OtherTok"/>
    <w:basedOn w:val="35"/>
    <w:uiPriority w:val="0"/>
    <w:rPr>
      <w:color w:val="007020"/>
    </w:rPr>
  </w:style>
  <w:style w:type="character" w:customStyle="1" w:styleId="56">
    <w:name w:val="FunctionTok"/>
    <w:basedOn w:val="35"/>
    <w:qFormat/>
    <w:uiPriority w:val="0"/>
    <w:rPr>
      <w:color w:val="06287E"/>
    </w:rPr>
  </w:style>
  <w:style w:type="character" w:customStyle="1" w:styleId="57">
    <w:name w:val="VariableTok"/>
    <w:basedOn w:val="35"/>
    <w:uiPriority w:val="0"/>
    <w:rPr>
      <w:color w:val="19177C"/>
    </w:rPr>
  </w:style>
  <w:style w:type="character" w:customStyle="1" w:styleId="58">
    <w:name w:val="ControlFlowTok"/>
    <w:basedOn w:val="35"/>
    <w:qFormat/>
    <w:uiPriority w:val="0"/>
    <w:rPr>
      <w:b/>
      <w:color w:val="007020"/>
    </w:rPr>
  </w:style>
  <w:style w:type="character" w:customStyle="1" w:styleId="59">
    <w:name w:val="OperatorTok"/>
    <w:basedOn w:val="35"/>
    <w:qFormat/>
    <w:uiPriority w:val="0"/>
    <w:rPr>
      <w:color w:val="666666"/>
    </w:rPr>
  </w:style>
  <w:style w:type="character" w:customStyle="1" w:styleId="60">
    <w:name w:val="BuiltInTok"/>
    <w:basedOn w:val="35"/>
    <w:uiPriority w:val="0"/>
    <w:rPr>
      <w:color w:val="008000"/>
    </w:rPr>
  </w:style>
  <w:style w:type="character" w:customStyle="1" w:styleId="61">
    <w:name w:val="ExtensionTok"/>
    <w:basedOn w:val="35"/>
    <w:uiPriority w:val="0"/>
  </w:style>
  <w:style w:type="character" w:customStyle="1" w:styleId="62">
    <w:name w:val="PreprocessorTok"/>
    <w:basedOn w:val="35"/>
    <w:uiPriority w:val="0"/>
    <w:rPr>
      <w:color w:val="BC7A00"/>
    </w:rPr>
  </w:style>
  <w:style w:type="character" w:customStyle="1" w:styleId="63">
    <w:name w:val="AttributeTok"/>
    <w:basedOn w:val="35"/>
    <w:qFormat/>
    <w:uiPriority w:val="0"/>
    <w:rPr>
      <w:color w:val="7D9029"/>
    </w:rPr>
  </w:style>
  <w:style w:type="character" w:customStyle="1" w:styleId="64">
    <w:name w:val="RegionMarkerTok"/>
    <w:basedOn w:val="35"/>
    <w:uiPriority w:val="0"/>
  </w:style>
  <w:style w:type="character" w:customStyle="1" w:styleId="65">
    <w:name w:val="InformationTok"/>
    <w:basedOn w:val="35"/>
    <w:uiPriority w:val="0"/>
    <w:rPr>
      <w:b/>
      <w:i/>
      <w:color w:val="60A0B0"/>
    </w:rPr>
  </w:style>
  <w:style w:type="character" w:customStyle="1" w:styleId="66">
    <w:name w:val="WarningTok"/>
    <w:basedOn w:val="35"/>
    <w:uiPriority w:val="0"/>
    <w:rPr>
      <w:b/>
      <w:i/>
      <w:color w:val="60A0B0"/>
    </w:rPr>
  </w:style>
  <w:style w:type="character" w:customStyle="1" w:styleId="67">
    <w:name w:val="AlertTok"/>
    <w:basedOn w:val="35"/>
    <w:qFormat/>
    <w:uiPriority w:val="0"/>
    <w:rPr>
      <w:b/>
      <w:color w:val="FF0000"/>
    </w:rPr>
  </w:style>
  <w:style w:type="character" w:customStyle="1" w:styleId="68">
    <w:name w:val="ErrorTok"/>
    <w:basedOn w:val="35"/>
    <w:qFormat/>
    <w:uiPriority w:val="0"/>
    <w:rPr>
      <w:b/>
      <w:color w:val="FF0000"/>
    </w:rPr>
  </w:style>
  <w:style w:type="character" w:customStyle="1" w:styleId="69">
    <w:name w:val="NormalTok"/>
    <w:basedOn w:val="3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533</Words>
  <Characters>2996</Characters>
  <Lines>12</Lines>
  <Paragraphs>8</Paragraphs>
  <TotalTime>7</TotalTime>
  <ScaleCrop>false</ScaleCrop>
  <LinksUpToDate>false</LinksUpToDate>
  <CharactersWithSpaces>3400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2026-08-25T12:33:00Z</dcterms:created>
  <dc:creator>Administrator</dc:creator>
  <cp:lastModifiedBy>Administrator</cp:lastModifiedBy>
  <dcterms:modified xsi:type="dcterms:W3CDTF">2026-08-25T13:05:18Z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eyJoZGlkIjoiNDdhYmUyOTM1MmZiOWU0YzdmMmYwYzc4YjFlMmMzNmMiLCJ1c2VySWQiOiI0MzAwMTYxMTcifQ==</vt:lpwstr>
  </property>
  <property fmtid="{D5CDD505-2E9C-101B-9397-08002B2CF9AE}" pid="3" name="KSOProductBuildVer">
    <vt:lpwstr>2052-12.1.0.28022</vt:lpwstr>
  </property>
  <property fmtid="{D5CDD505-2E9C-101B-9397-08002B2CF9AE}" pid="4" name="ICV">
    <vt:lpwstr>4CDC022B34D446D4B54B8CEFD59CD3CF_12</vt:lpwstr>
  </property>
</Properties>
</file>