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rmal"/>
        <w:spacing w:after="200" w:before="0" w:line="480" w:lineRule="auto"/>
        <w:ind/>
        <w:jc w:val="center"/>
      </w:pPr>
      <w:r>
        <w:rPr>
          <w:rFonts w:ascii="Times New Roman" w:cs="Times New Roman" w:eastAsia="Times New Roman" w:hAnsi="Times New Roman"/>
          <w:b/>
          <w:bCs/>
          <w:i w:val="false"/>
          <w:iCs w:val="false"/>
          <w:sz w:val="24"/>
          <w:szCs w:val="24"/>
        </w:rPr>
        <w:t xml:space="preserve">Supplementary Material</w:t>
      </w:r>
    </w:p>
    <w:p>
      <w:pPr>
        <w:pStyle w:val="Normal"/>
        <w:spacing w:after="200" w:before="0" w:line="480" w:lineRule="auto"/>
        <w:ind/>
        <w:jc w:val="center"/>
      </w:pPr>
      <w:r>
        <w:rPr>
          <w:rFonts w:ascii="Times New Roman" w:cs="Times New Roman" w:eastAsia="Times New Roman" w:hAnsi="Times New Roman"/>
          <w:b w:val="false"/>
          <w:bCs w:val="false"/>
          <w:i/>
          <w:iCs/>
          <w:sz w:val="24"/>
          <w:szCs w:val="24"/>
        </w:rPr>
        <w:t xml:space="preserve">Vocal acoustic parameters as objective biomarkers of major depressive disorder and its severity: a case-control study using WhatsApp audio messages</w:t>
      </w:r>
    </w:p>
    <w:p>
      <w:pPr>
        <w:pStyle w:val="Normal"/>
        <w:spacing w:after="0" w:before="0" w:line="480"/>
      </w:pPr>
      <w:r>
        <w:rPr>
          <w:rFonts w:ascii="Times New Roman" w:cs="Times New Roman" w:eastAsia="Times New Roman" w:hAnsi="Times New Roman"/>
          <w:sz w:val="24"/>
          <w:szCs w:val="24"/>
        </w:rPr>
        <w:t xml:space="preserve"/>
      </w:r>
    </w:p>
    <w:p>
      <w:pPr>
        <w:pStyle w:val="Normal"/>
        <w:spacing w:after="120" w:before="320" w:line="480"/>
      </w:pPr>
      <w:r>
        <w:rPr>
          <w:rFonts w:ascii="Times New Roman" w:cs="Times New Roman" w:eastAsia="Times New Roman" w:hAnsi="Times New Roman"/>
          <w:b/>
          <w:bCs/>
          <w:caps/>
          <w:sz w:val="24"/>
          <w:szCs w:val="24"/>
        </w:rPr>
        <w:t xml:space="preserve">Supplementary Table S1</w:t>
      </w:r>
    </w:p>
    <w:p>
      <w:pPr>
        <w:pStyle w:val="Normal"/>
        <w:spacing w:after="40" w:before="80" w:line="480"/>
        <w:jc w:val="center"/>
      </w:pPr>
      <w:r>
        <w:rPr>
          <w:rFonts w:ascii="Times New Roman" w:cs="Times New Roman" w:eastAsia="Times New Roman" w:hAnsi="Times New Roman"/>
          <w:b w:val="false"/>
          <w:bCs w:val="false"/>
          <w:sz w:val="24"/>
          <w:szCs w:val="24"/>
        </w:rPr>
        <w:t xml:space="preserve">Complete list of acoustic features significantly associated with MDD in GEE models (FDR-corrected, q &lt; 0.05), across both tasks and both acoustic libraries.</w:t>
      </w:r>
    </w:p>
    <w:p>
      <w:pPr>
        <w:pStyle w:val="Normal"/>
        <w:spacing w:after="0" w:before="0" w:line="480"/>
      </w:pPr>
      <w:r>
        <w:rPr>
          <w:rFonts w:ascii="Times New Roman" w:cs="Times New Roman" w:eastAsia="Times New Roman" w:hAnsi="Times New Roman"/>
          <w:sz w:val="24"/>
          <w:szCs w:val="24"/>
        </w:rPr>
        <w:t xml:space="preserve"/>
      </w:r>
    </w:p>
    <w:tbl>
      <w:tblPr>
        <w:tblW w:type="dxa" w:w="7420"/>
        <w:tblBorders>
          <w:top w:val="single" w:color="auto" w:sz="4"/>
          <w:left w:val="single" w:color="auto" w:sz="4"/>
          <w:bottom w:val="single" w:color="auto" w:sz="4"/>
          <w:right w:val="single" w:color="auto" w:sz="4"/>
          <w:insideH w:val="single" w:color="auto" w:sz="4"/>
          <w:insideV w:val="single" w:color="auto" w:sz="4"/>
        </w:tblBorders>
      </w:tblPr>
      <w:tblGrid>
        <w:gridCol w:w="1700"/>
        <w:gridCol w:w="1000"/>
        <w:gridCol w:w="750"/>
        <w:gridCol w:w="1100"/>
        <w:gridCol w:w="1100"/>
        <w:gridCol w:w="870"/>
        <w:gridCol w:w="900"/>
      </w:tblGrid>
      <w:tr>
        <w:tc>
          <w:tcPr>
            <w:tcW w:type="dxa" w:w="17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b/>
                <w:bCs/>
                <w:sz w:val="20"/>
                <w:szCs w:val="20"/>
              </w:rPr>
              <w:t xml:space="preserve">Feature</w:t>
            </w:r>
          </w:p>
        </w:tc>
        <w:tc>
          <w:tcPr>
            <w:tcW w:type="dxa" w:w="10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Library</w:t>
            </w:r>
          </w:p>
        </w:tc>
        <w:tc>
          <w:tcPr>
            <w:tcW w:type="dxa" w:w="75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Task</w:t>
            </w:r>
          </w:p>
        </w:tc>
        <w:tc>
          <w:tcPr>
            <w:tcW w:type="dxa" w:w="11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Controls mean (SD)</w:t>
            </w:r>
          </w:p>
        </w:tc>
        <w:tc>
          <w:tcPr>
            <w:tcW w:type="dxa" w:w="11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MDD mean (SD)</w:t>
            </w:r>
          </w:p>
        </w:tc>
        <w:tc>
          <w:tcPr>
            <w:tcW w:type="dxa" w:w="87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Cohen's d</w:t>
            </w:r>
          </w:p>
        </w:tc>
        <w:tc>
          <w:tcPr>
            <w:tcW w:type="dxa" w:w="9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q (FDR)</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664.8 (196.1)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558.7 (161.8)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877.1 (254.3)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679.2 (198.2)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0.003</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505.9 (248.6)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319.4 (172.1)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std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390.9 (182.4)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298.2 (144.1)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0.014</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544.9 (168.3)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458.4 (142.2)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max</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1102.4 (312.7)</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881.9 (254.2)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−0.67</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0.041 (0.018)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0.058 (0.023)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+1.14</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local</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0.099 (0.039)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0.130 (0.047)</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+1.09</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0.054 (0.021)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0.077 (0.028)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570.6 (175.4)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506.5 (154.2)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682.3 (210.8)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561.1 (173.4)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−1.00</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441.2 (198.7)</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349.8 (163.1)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−0.94</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std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345.8 (159.2)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271.4 (131.7)</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528.1 (162.4)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445.7 (138.9)</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0.006</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APQ11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0.082 (0.031)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0.109 (0.041)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+0.91</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0.003</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Jitter PPQ5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0.011 (0.005)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0.013 (0.006)</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0.024</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Jitter RAP</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0.011 (0.005)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0.013 (0.006)</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HNR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14.2 (3.8)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12.6 (3.4)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SD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0.025 (0.009)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0.034 (0.011)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+1.00</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max</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0.133 (0.078)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0.222 (0.129)</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+0.94</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0.009</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spread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0.177 (0.052)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0.187 (0.048)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0.010</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MFCC-2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2.902 (0.741)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3.193 (0.754)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MFCC-2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2.751 (0.712)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3.082 (0.741)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+0.81</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0.016</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 (0.019)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0.058 (0.024)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MFCC-2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3.412 (0.882)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3.788 (0.901)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0.029</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spread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0.141 (0.039)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0.158 (0.044)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+0.76</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0.028</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4.775 (1.282)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3.777 (1.149)</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MFCC-10 — max</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0.700 (0.248)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0.575 (0.221)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−0.70</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MFCC-10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0.521 (0.181)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0.414 (0.162)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0.019</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MFCC-10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1-to-10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0.329 (0.121)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0.264 (0.108)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0.033</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3.773 (1.204)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2.820 (1.073)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−1.33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entropy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0.222 (0.072)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0.140 (0.052)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−1.19</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MFCC-2 — Q25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2.458 (0.612)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2.873 (0.638)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+1.18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spread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0.146 (0.041)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0.158 (0.044)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rolloff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0.052 (0.018)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0.039 (0.014)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entropy — SD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0.068 (0.022)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 (0.016)</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−1.05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ZCR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0.036 (0.011)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0.028 (0.009)</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−0.96</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entropy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0.185 (0.058)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0.095 (0.038)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1.821 (0.541)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2.188 (0.613)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+0.87</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Chroma-11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0.041 (0.012)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0.049 (0.015)</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+0.82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MFCC-2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2.711 (0.698)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3.044 (0.721)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+0.79</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0.014</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rolloff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0.049 (0.016)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0.037 (0.013)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ZCR — median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0.034 (0.010)</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0.027 (0.008)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−0.77</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0.017</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MFCC-1 — SD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3.214 (1.022)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2.521 (0.891)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−0.74</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0.020</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centroid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0.138 (0.041)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0.118 (0.034)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0.022</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3.481 (0.812)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3.912 (0.874)</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+0.71</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Chroma-11 — max</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0.064 (0.019)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0.075 (0.022)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+0.69</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0.028</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MFCC-3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2.941 (0.881)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2.312 (0.762)</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0.029</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flux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0.021 (0.008)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0.016 (0.006)</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−0.67</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0.030</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ZCR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 (0.013)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0.035 (0.011)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−0.66</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 (0.018)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0.058 (0.023)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0.033</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Chroma-2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0.089 (0.027)</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0.101 (0.031)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0.036</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MFCC-4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1.721 (0.541)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1.384 (0.488)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0.038</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entropy — min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0.091 (0.031)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0.048 (0.021)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0.041</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Q75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4.182 (0.941)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4.614 (0.998)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+0.60</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0.043</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 SD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0.028 (0.009)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0.033 (0.011)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+0.59</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MFCC-5 — IQR</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2.182 (0.712)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1.734 (0.641)</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−0.58</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0.045</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spread — Q25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0.098 (0.031)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0.112 (0.038)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0.046</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ZCR — SD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0.018 (0.007)</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0.014 (0.005)</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−0.56</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0.047</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MFCC-6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0.981 (0.341)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0.741 (0.298)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−0.55</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0.048</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Q25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0.014 (0.006)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0.019 (0.008)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+0.54</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0.049</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Chroma-7 — mean</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0.079 (0.024)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0.088 (0.028)</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+0.53</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0.050</w:t>
            </w:r>
          </w:p>
        </w:tc>
      </w:tr>
      <w:tr>
        <w:tc>
          <w:tcPr>
            <w:tcW w:type="dxa" w:w="17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centroid — SD</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75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Last week</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 (0.016)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0.034 (0.013)</w:t>
            </w:r>
          </w:p>
        </w:tc>
        <w:tc>
          <w:tcPr>
            <w:tcW w:type="dxa" w:w="87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−0.52</w:t>
            </w:r>
          </w:p>
        </w:tc>
        <w:tc>
          <w:tcPr>
            <w:tcW w:type="dxa" w:w="9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0.050</w:t>
            </w:r>
          </w:p>
        </w:tc>
      </w:tr>
      <w:tr>
        <w:tc>
          <w:tcPr>
            <w:tcW w:type="dxa" w:w="17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0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75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1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1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87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9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r>
    </w:tbl>
    <w:p>
      <w:pPr>
        <w:pStyle w:val="Normal"/>
        <w:spacing w:after="240" w:before="80" w:line="360"/>
        <w:jc w:val="left"/>
      </w:pPr>
      <w:r>
        <w:rPr>
          <w:rFonts w:ascii="Times New Roman" w:cs="Times New Roman" w:eastAsia="Times New Roman" w:hAnsi="Times New Roman"/>
          <w:i/>
          <w:iCs/>
          <w:sz w:val="20"/>
          <w:szCs w:val="20"/>
        </w:rPr>
        <w:t xml:space="preserve">Note. All features with q &lt; 0.05 after Benjamini-Hochberg FDR correction within each library-task combination are listed. Features are ordered by task (1-to-10 then last week) and then by absolute Cohen’s d within each task, within each library. Praat features are listed first. The 62 PyAudioAnalysis features significant in the narrative task and the 25 features significant in the counting task are represented here by the features with the largest effect sizes; the complete dataset is available on request. Cohen’s d is derived from the standardised GEE regression coefficient; negative d indicates lower values in MDD relative to controls. MDD = major depressive disorder; IQR = interquartile range; MFCC = Mel-frequency cepstral coefficient; ZCR = zero-crossing rate; SD = standard deviation; Q25/Q75 = 25th and 75th percentile; GEE = generalised estimating equations; FDR = false discovery rate.</w:t>
      </w:r>
    </w:p>
    <w:p>
      <w:r>
        <w:br w:type="page"/>
      </w:r>
    </w:p>
    <w:p>
      <w:pPr>
        <w:pStyle w:val="Normal"/>
        <w:spacing w:after="120" w:before="320" w:line="480"/>
      </w:pPr>
      <w:r>
        <w:rPr>
          <w:rFonts w:ascii="Times New Roman" w:cs="Times New Roman" w:eastAsia="Times New Roman" w:hAnsi="Times New Roman"/>
          <w:b/>
          <w:bCs/>
          <w:caps/>
          <w:sz w:val="24"/>
          <w:szCs w:val="24"/>
        </w:rPr>
        <w:t xml:space="preserve">Supplementary Table S2</w:t>
      </w:r>
    </w:p>
    <w:p>
      <w:pPr>
        <w:pStyle w:val="Normal"/>
        <w:spacing w:after="40" w:before="80" w:line="480"/>
        <w:jc w:val="center"/>
      </w:pPr>
      <w:r>
        <w:rPr>
          <w:rFonts w:ascii="Times New Roman" w:cs="Times New Roman" w:eastAsia="Times New Roman" w:hAnsi="Times New Roman"/>
          <w:b w:val="false"/>
          <w:bCs w:val="false"/>
          <w:sz w:val="24"/>
          <w:szCs w:val="24"/>
        </w:rPr>
        <w:t xml:space="preserve">Complete list of acoustic features significantly correlated with MADRS severity (FDR-corrected, q &lt; 0.05), analysed within the MDD group (n = 31).</w:t>
      </w:r>
    </w:p>
    <w:p>
      <w:pPr>
        <w:pStyle w:val="Normal"/>
        <w:spacing w:after="0" w:before="0" w:line="480"/>
      </w:pPr>
      <w:r>
        <w:rPr>
          <w:rFonts w:ascii="Times New Roman" w:cs="Times New Roman" w:eastAsia="Times New Roman" w:hAnsi="Times New Roman"/>
          <w:sz w:val="24"/>
          <w:szCs w:val="24"/>
        </w:rPr>
        <w:t xml:space="preserve"/>
      </w: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1800"/>
        <w:gridCol w:w="1100"/>
        <w:gridCol w:w="1000"/>
        <w:gridCol w:w="1000"/>
        <w:gridCol w:w="1000"/>
        <w:gridCol w:w="1100"/>
      </w:tblGrid>
      <w:tr>
        <w:tc>
          <w:tcPr>
            <w:tcW w:type="dxa" w:w="18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b/>
                <w:bCs/>
                <w:sz w:val="20"/>
                <w:szCs w:val="20"/>
              </w:rPr>
              <w:t xml:space="preserve">Feature</w:t>
            </w:r>
          </w:p>
        </w:tc>
        <w:tc>
          <w:tcPr>
            <w:tcW w:type="dxa" w:w="11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Library</w:t>
            </w:r>
          </w:p>
        </w:tc>
        <w:tc>
          <w:tcPr>
            <w:tcW w:type="dxa" w:w="10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Spearman r</w:t>
            </w:r>
          </w:p>
        </w:tc>
        <w:tc>
          <w:tcPr>
            <w:tcW w:type="dxa" w:w="10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Pearson r</w:t>
            </w:r>
          </w:p>
        </w:tc>
        <w:tc>
          <w:tcPr>
            <w:tcW w:type="dxa" w:w="10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p (raw)</w:t>
            </w:r>
          </w:p>
        </w:tc>
        <w:tc>
          <w:tcPr>
            <w:tcW w:type="dxa" w:w="1100"/>
            <w:tcBorders>
              <w:top w:val="single" w:color="000000" w:sz="8"/>
              <w:left w:val="none" w:color="FFFFFF" w:sz="0"/>
              <w:bottom w:val="single" w:color="000000" w:sz="8"/>
              <w:right w:val="none" w:color="FFFFFF" w:sz="0"/>
            </w:tcBorders>
            <w:shd w:fill="F2F2F2"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b/>
                <w:bCs/>
                <w:sz w:val="20"/>
                <w:szCs w:val="20"/>
              </w:rPr>
              <w:t xml:space="preserve">q (FDR)</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local</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0.004</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0.006</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F0 minimum</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0.027</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Shimmer APQ11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0.016</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HNR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0.037</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Jitter PPQ5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0.039</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Formant 1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F0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0.043</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HNR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Jitter RAP</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Praat</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−0.40</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0.045</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Chroma-11 — max</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+0.73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1.3 × 10⁻⁷</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IQR</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MFCC-7 — median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0.003</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MFCC-7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0.004</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MFCC-7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0.010</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Q75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0.001</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Chroma-11 — Q75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0.001</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0.001</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MFCC-7 — Q75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Q25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MFCC-7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0.003</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Chroma-11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0.004</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MFCC-8 — median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0.006</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0.005</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Chroma-7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−0.61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&lt;0.001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0.029</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MFCC-8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0.011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0.008</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spread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−0.40</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0.025</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MFCC-6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−0.50</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0.021</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Chroma-2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0.032</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0.030</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0.035</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Chroma-9 — max</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0.042</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ZCR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+0.40</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0.048</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0.044</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centroid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+0.39</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+0.44</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0.051</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0.045</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MFCC-9 — mean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−0.38</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−0.43</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0.055</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0.046</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Spectral flux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+0.37</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+0.42</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0.059</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0.048</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Chroma-4 — SD</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+0.36</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+0.41</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0.063</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0.049</w:t>
            </w:r>
          </w:p>
        </w:tc>
      </w:tr>
      <w:tr>
        <w:tc>
          <w:tcPr>
            <w:tcW w:type="dxa" w:w="18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left"/>
            </w:pPr>
            <w:r>
              <w:rPr>
                <w:rFonts w:ascii="Times New Roman" w:cs="Times New Roman" w:eastAsia="Times New Roman" w:hAnsi="Times New Roman"/>
                <w:i w:val="false"/>
                <w:iCs w:val="false"/>
                <w:sz w:val="20"/>
                <w:szCs w:val="20"/>
              </w:rPr>
              <w:t xml:space="preserve">Energy entropy — min</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iCs/>
                <w:sz w:val="20"/>
                <w:szCs w:val="20"/>
              </w:rPr>
              <w:t xml:space="preserve">PyAudio</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−0.35</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−0.40</w:t>
            </w:r>
          </w:p>
        </w:tc>
        <w:tc>
          <w:tcPr>
            <w:tcW w:type="dxa" w:w="10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0.067</w:t>
            </w:r>
          </w:p>
        </w:tc>
        <w:tc>
          <w:tcPr>
            <w:tcW w:type="dxa" w:w="1100"/>
            <w:tcBorders>
              <w:top w:val="none" w:color="FFFFFF" w:sz="0"/>
              <w:left w:val="none" w:color="FFFFFF" w:sz="0"/>
              <w:bottom w:val="none" w:color="FFFFFF" w:sz="0"/>
              <w:right w:val="none" w:color="FFFFFF" w:sz="0"/>
            </w:tcBorders>
            <w:shd w:fill="FFFFFF" w:val="clear"/>
            <w:tcMar>
              <w:top w:type="dxa" w:w="60"/>
              <w:left w:type="dxa" w:w="80"/>
              <w:bottom w:type="dxa" w:w="60"/>
              <w:right w:type="dxa" w:w="80"/>
            </w:tcMar>
            <w:vAlign w:val="center"/>
          </w:tcPr>
          <w:p>
            <w:pPr>
              <w:pStyle w:val="Normal"/>
              <w:spacing w:after="0" w:before="0"/>
              <w:jc w:val="center"/>
            </w:pPr>
            <w:r>
              <w:rPr>
                <w:rFonts w:ascii="Times New Roman" w:cs="Times New Roman" w:eastAsia="Times New Roman" w:hAnsi="Times New Roman"/>
                <w:i w:val="false"/>
                <w:iCs w:val="false"/>
                <w:sz w:val="20"/>
                <w:szCs w:val="20"/>
              </w:rPr>
              <w:t xml:space="preserve">0.050</w:t>
            </w:r>
          </w:p>
        </w:tc>
      </w:tr>
      <w:tr>
        <w:tc>
          <w:tcPr>
            <w:tcW w:type="dxa" w:w="18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1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0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0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0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c>
          <w:tcPr>
            <w:tcW w:type="dxa" w:w="1100"/>
            <w:tcBorders>
              <w:top w:val="single" w:color="000000" w:sz="8"/>
              <w:left w:val="none" w:color="FFFFFF" w:sz="0"/>
              <w:bottom w:val="single" w:color="000000" w:sz="8"/>
              <w:right w:val="none" w:color="FFFFFF" w:sz="0"/>
            </w:tcBorders>
            <w:shd w:fill="FFFFFF" w:val="clear"/>
            <w:tcMar>
              <w:top w:type="dxa" w:w="60"/>
              <w:left w:type="dxa" w:w="80"/>
              <w:bottom w:type="dxa" w:w="60"/>
              <w:right w:type="dxa" w:w="80"/>
            </w:tcMar>
          </w:tcPr>
          <w:p>
            <w:pPr>
              <w:pStyle w:val="Normal"/>
              <w:spacing w:after="0" w:before="0"/>
            </w:pPr>
            <w:r>
              <w:rPr>
                <w:rFonts w:ascii="Times New Roman" w:cs="Times New Roman" w:eastAsia="Times New Roman" w:hAnsi="Times New Roman"/>
                <w:sz w:val="20"/>
                <w:szCs w:val="20"/>
              </w:rPr>
              <w:t xml:space="preserve"/>
            </w:r>
          </w:p>
        </w:tc>
      </w:tr>
    </w:tbl>
    <w:p>
      <w:pPr>
        <w:pStyle w:val="Normal"/>
        <w:spacing w:after="240" w:before="80" w:line="360"/>
        <w:jc w:val="left"/>
      </w:pPr>
      <w:r>
        <w:rPr>
          <w:rFonts w:ascii="Times New Roman" w:cs="Times New Roman" w:eastAsia="Times New Roman" w:hAnsi="Times New Roman"/>
          <w:i/>
          <w:iCs/>
          <w:sz w:val="20"/>
          <w:szCs w:val="20"/>
        </w:rPr>
        <w:t xml:space="preserve">Note. All features with convergent Spearman and Pearson r direction and q &lt; 0.05 after Benjamini-Hochberg FDR correction are listed. Features are ordered by library (Praat first) and then by absolute Pearson r within each library. The 11 significant Praat features and 28 significant PyAudioAnalysis features are presented. MADRS = Montgomery-Asberg Depression Rating Scale; MFCC = Mel-frequency cepstral coefficient; HNR = harmonic-to-noise ratio; F0 = fundamental frequency; IQR = interquartile range; SD = standard deviation; Q25/Q75 = 25th and 75th percentile; FDR = false discovery rate.</w:t>
      </w:r>
    </w:p>
    <w:p>
      <w:r>
        <w:br w:type="page"/>
      </w:r>
    </w:p>
    <w:p>
      <w:pPr>
        <w:pStyle w:val="Normal"/>
        <w:spacing w:after="120" w:before="320" w:line="480"/>
      </w:pPr>
      <w:r>
        <w:rPr>
          <w:rFonts w:ascii="Times New Roman" w:cs="Times New Roman" w:eastAsia="Times New Roman" w:hAnsi="Times New Roman"/>
          <w:b/>
          <w:bCs/>
          <w:caps/>
          <w:sz w:val="24"/>
          <w:szCs w:val="24"/>
        </w:rPr>
        <w:t xml:space="preserve">CRediT Authorship Contribution Statement</w:t>
      </w:r>
    </w:p>
    <w:p>
      <w:pPr>
        <w:pStyle w:val="Normal"/>
        <w:spacing w:after="0" w:before="0" w:line="480"/>
      </w:pPr>
      <w:r>
        <w:rPr>
          <w:rFonts w:ascii="Times New Roman" w:cs="Times New Roman" w:eastAsia="Times New Roman" w:hAnsi="Times New Roman"/>
          <w:sz w:val="24"/>
          <w:szCs w:val="24"/>
        </w:rPr>
        <w:t xml:space="preserve"/>
      </w:r>
    </w:p>
    <w:p>
      <w:pPr>
        <w:pStyle w:val="Normal"/>
        <w:spacing w:after="160" w:before="0" w:line="480"/>
        <w:jc w:val="left"/>
      </w:pPr>
      <w:r>
        <w:rPr>
          <w:rFonts w:ascii="Times New Roman" w:cs="Times New Roman" w:eastAsia="Times New Roman" w:hAnsi="Times New Roman"/>
          <w:b/>
          <w:bCs/>
          <w:sz w:val="24"/>
          <w:szCs w:val="24"/>
        </w:rPr>
        <w:t xml:space="preserve">Luiza Braconi Grilo</w:t>
      </w:r>
      <w:r>
        <w:rPr>
          <w:rFonts w:ascii="Times New Roman" w:cs="Times New Roman" w:eastAsia="Times New Roman" w:hAnsi="Times New Roman"/>
          <w:sz w:val="24"/>
          <w:szCs w:val="24"/>
        </w:rPr>
        <w:t xml:space="preserve">: Conceptualization, Data curation, Investigation, Methodology, Writing — original draft, Writing — review and editing.</w:t>
      </w:r>
    </w:p>
    <w:p>
      <w:pPr>
        <w:pStyle w:val="Normal"/>
        <w:spacing w:after="160" w:before="0" w:line="480"/>
        <w:jc w:val="left"/>
      </w:pPr>
      <w:r>
        <w:rPr>
          <w:rFonts w:ascii="Times New Roman" w:cs="Times New Roman" w:eastAsia="Times New Roman" w:hAnsi="Times New Roman"/>
          <w:b/>
          <w:bCs/>
          <w:sz w:val="24"/>
          <w:szCs w:val="24"/>
        </w:rPr>
        <w:t xml:space="preserve">Victor H. O. Otani</w:t>
      </w:r>
      <w:r>
        <w:rPr>
          <w:rFonts w:ascii="Times New Roman" w:cs="Times New Roman" w:eastAsia="Times New Roman" w:hAnsi="Times New Roman"/>
          <w:sz w:val="24"/>
          <w:szCs w:val="24"/>
        </w:rPr>
        <w:t xml:space="preserve">: Conceptualization, Formal analysis, Methodology, Supervision, Writing — review and editing.</w:t>
      </w:r>
    </w:p>
    <w:p>
      <w:pPr>
        <w:pStyle w:val="Normal"/>
        <w:spacing w:after="160" w:before="0" w:line="480"/>
        <w:jc w:val="left"/>
      </w:pPr>
      <w:r>
        <w:rPr>
          <w:rFonts w:ascii="Times New Roman" w:cs="Times New Roman" w:eastAsia="Times New Roman" w:hAnsi="Times New Roman"/>
          <w:b/>
          <w:bCs/>
          <w:sz w:val="24"/>
          <w:szCs w:val="24"/>
        </w:rPr>
        <w:t xml:space="preserve">Felipe O. Aguiar</w:t>
      </w:r>
      <w:r>
        <w:rPr>
          <w:rFonts w:ascii="Times New Roman" w:cs="Times New Roman" w:eastAsia="Times New Roman" w:hAnsi="Times New Roman"/>
          <w:sz w:val="24"/>
          <w:szCs w:val="24"/>
        </w:rPr>
        <w:t xml:space="preserve">: Data curation, Formal analysis, Methodology, Software, Writing — review and editing.</w:t>
      </w:r>
    </w:p>
    <w:p>
      <w:pPr>
        <w:pStyle w:val="Normal"/>
        <w:spacing w:after="160" w:before="0" w:line="480"/>
        <w:jc w:val="left"/>
      </w:pPr>
      <w:r>
        <w:rPr>
          <w:rFonts w:ascii="Times New Roman" w:cs="Times New Roman" w:eastAsia="Times New Roman" w:hAnsi="Times New Roman"/>
          <w:b/>
          <w:bCs/>
          <w:sz w:val="24"/>
          <w:szCs w:val="24"/>
        </w:rPr>
        <w:t xml:space="preserve">Hudson S. Buck</w:t>
      </w:r>
      <w:r>
        <w:rPr>
          <w:rFonts w:ascii="Times New Roman" w:cs="Times New Roman" w:eastAsia="Times New Roman" w:hAnsi="Times New Roman"/>
          <w:sz w:val="24"/>
          <w:szCs w:val="24"/>
        </w:rPr>
        <w:t xml:space="preserve">: Formal analysis, Methodology, Software, Writing — review and editing.</w:t>
      </w:r>
    </w:p>
    <w:p>
      <w:pPr>
        <w:pStyle w:val="Normal"/>
        <w:spacing w:after="160" w:before="0" w:line="480"/>
        <w:jc w:val="left"/>
      </w:pPr>
      <w:r>
        <w:rPr>
          <w:rFonts w:ascii="Times New Roman" w:cs="Times New Roman" w:eastAsia="Times New Roman" w:hAnsi="Times New Roman"/>
          <w:b/>
          <w:bCs/>
          <w:sz w:val="24"/>
          <w:szCs w:val="24"/>
        </w:rPr>
        <w:t xml:space="preserve">Lucas M. Marques</w:t>
      </w:r>
      <w:r>
        <w:rPr>
          <w:rFonts w:ascii="Times New Roman" w:cs="Times New Roman" w:eastAsia="Times New Roman" w:hAnsi="Times New Roman"/>
          <w:sz w:val="24"/>
          <w:szCs w:val="24"/>
        </w:rPr>
        <w:t xml:space="preserve">: Conceptualization, Formal analysis, Funding acquisition, Methodology, Project administration, Supervision, Writing — review and editing.</w:t>
      </w:r>
    </w:p>
    <w:p>
      <w:pPr>
        <w:pStyle w:val="Normal"/>
        <w:spacing w:after="160" w:before="0" w:line="480"/>
        <w:jc w:val="left"/>
      </w:pPr>
      <w:r>
        <w:rPr>
          <w:rFonts w:ascii="Times New Roman" w:cs="Times New Roman" w:eastAsia="Times New Roman" w:hAnsi="Times New Roman"/>
          <w:b/>
          <w:bCs/>
          <w:sz w:val="24"/>
          <w:szCs w:val="24"/>
        </w:rPr>
        <w:t xml:space="preserve">Ricardo R. Uchida</w:t>
      </w:r>
      <w:r>
        <w:rPr>
          <w:rFonts w:ascii="Times New Roman" w:cs="Times New Roman" w:eastAsia="Times New Roman" w:hAnsi="Times New Roman"/>
          <w:sz w:val="24"/>
          <w:szCs w:val="24"/>
        </w:rPr>
        <w:t xml:space="preserve">: Conceptualization, Data curation, Funding acquisition, Investigation, Methodology, Project administration, Supervision, Writing — review and editing.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200" w:before="0" w:line="480" w:lineRule="auto"/>
    </w:pPr>
    <w:rPr>
      <w:rFonts w:ascii="Times New Roman" w:cs="Times New Roman" w:eastAsia="Times New Roman" w:hAnsi="Times New Roman"/>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2026-06-24T18:42:18.838Z</dcterms:created>
  <dcterms:modified xsi:type="dcterms:W3CDTF">2026-06-24T18:42:18.838Z</dcterms:modified>
</cp:coreProperties>
</file>

<file path=docProps/custom.xml><?xml version="1.0" encoding="utf-8"?>
<Properties xmlns="http://schemas.openxmlformats.org/officeDocument/2006/custom-properties" xmlns:vt="http://schemas.openxmlformats.org/officeDocument/2006/docPropsVTypes"/>
</file>