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88BF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</w:pPr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>Title</w:t>
      </w:r>
    </w:p>
    <w:p w14:paraId="7EA7038B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 xml:space="preserve">Scaffold </w:t>
      </w:r>
      <w:proofErr w:type="spellStart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>Geometry</w:t>
      </w:r>
      <w:proofErr w:type="spellEnd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 xml:space="preserve"> </w:t>
      </w:r>
      <w:proofErr w:type="spellStart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>Governs</w:t>
      </w:r>
      <w:proofErr w:type="spellEnd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 xml:space="preserve"> </w:t>
      </w:r>
      <w:proofErr w:type="spellStart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>Mechanobiological</w:t>
      </w:r>
      <w:proofErr w:type="spellEnd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 xml:space="preserve"> </w:t>
      </w:r>
      <w:proofErr w:type="spellStart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>Responses</w:t>
      </w:r>
      <w:proofErr w:type="spellEnd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 xml:space="preserve"> to </w:t>
      </w:r>
      <w:proofErr w:type="spellStart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>Combined</w:t>
      </w:r>
      <w:proofErr w:type="spellEnd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 xml:space="preserve"> </w:t>
      </w:r>
      <w:proofErr w:type="spellStart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>Biophysical</w:t>
      </w:r>
      <w:proofErr w:type="spellEnd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 xml:space="preserve"> </w:t>
      </w:r>
      <w:proofErr w:type="spellStart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>Stimulation</w:t>
      </w:r>
      <w:proofErr w:type="spellEnd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 xml:space="preserve"> in Human Bone Tissue-Like Models</w:t>
      </w:r>
    </w:p>
    <w:p w14:paraId="683FDB83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it"/>
        </w:rPr>
      </w:pPr>
    </w:p>
    <w:p w14:paraId="74D51FB5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</w:pPr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>Running Title</w:t>
      </w:r>
    </w:p>
    <w:p w14:paraId="2F2E4AE8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 xml:space="preserve">Scaffold </w:t>
      </w:r>
      <w:proofErr w:type="spellStart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>Geometry</w:t>
      </w:r>
      <w:proofErr w:type="spellEnd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 xml:space="preserve"> </w:t>
      </w:r>
      <w:proofErr w:type="spellStart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>Governs</w:t>
      </w:r>
      <w:proofErr w:type="spellEnd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 xml:space="preserve"> Bone </w:t>
      </w:r>
      <w:proofErr w:type="spellStart"/>
      <w:r w:rsidRPr="005627EC">
        <w:rPr>
          <w:rFonts w:ascii="Times New Roman" w:eastAsia="Times New Roman" w:hAnsi="Times New Roman" w:cs="Times New Roman"/>
          <w:b/>
          <w:bCs/>
          <w:sz w:val="32"/>
          <w:szCs w:val="32"/>
          <w:lang w:val="it"/>
        </w:rPr>
        <w:t>Mechanobiology</w:t>
      </w:r>
      <w:proofErr w:type="spellEnd"/>
    </w:p>
    <w:p w14:paraId="1DFC6C57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D51913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627EC">
        <w:rPr>
          <w:rFonts w:ascii="Times New Roman" w:eastAsia="Times New Roman" w:hAnsi="Times New Roman" w:cs="Times New Roman"/>
          <w:b/>
          <w:bCs/>
          <w:sz w:val="24"/>
          <w:szCs w:val="24"/>
          <w:lang w:val="it"/>
        </w:rPr>
        <w:t>Authors</w:t>
      </w:r>
      <w:proofErr w:type="spellEnd"/>
    </w:p>
    <w:p w14:paraId="452FD514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27EC">
        <w:rPr>
          <w:rFonts w:ascii="Times New Roman" w:eastAsia="Times New Roman" w:hAnsi="Times New Roman" w:cs="Times New Roman"/>
          <w:sz w:val="24"/>
          <w:szCs w:val="24"/>
        </w:rPr>
        <w:t>Farah Daou</w:t>
      </w:r>
      <w:r w:rsidRPr="005627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1°</w:t>
      </w:r>
      <w:r w:rsidRPr="005627EC">
        <w:rPr>
          <w:rFonts w:ascii="Times New Roman" w:eastAsia="Times New Roman" w:hAnsi="Times New Roman" w:cs="Times New Roman"/>
          <w:sz w:val="24"/>
          <w:szCs w:val="24"/>
        </w:rPr>
        <w:t>, Stefano Gabetti</w:t>
      </w:r>
      <w:r w:rsidRPr="005627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2,3°</w:t>
      </w:r>
      <w:r w:rsidRPr="005627EC">
        <w:rPr>
          <w:rFonts w:ascii="Times New Roman" w:eastAsia="Times New Roman" w:hAnsi="Times New Roman" w:cs="Times New Roman"/>
          <w:sz w:val="24"/>
          <w:szCs w:val="24"/>
        </w:rPr>
        <w:t>, Shahd Alahmad</w:t>
      </w:r>
      <w:r w:rsidRPr="005627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5627EC">
        <w:rPr>
          <w:rFonts w:ascii="Times New Roman" w:eastAsia="Times New Roman" w:hAnsi="Times New Roman" w:cs="Times New Roman"/>
          <w:sz w:val="24"/>
          <w:szCs w:val="24"/>
        </w:rPr>
        <w:t>, Beatrice Masante</w:t>
      </w:r>
      <w:r w:rsidRPr="005627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2,3</w:t>
      </w:r>
      <w:r w:rsidRPr="005627EC">
        <w:rPr>
          <w:rFonts w:ascii="Times New Roman" w:eastAsia="Times New Roman" w:hAnsi="Times New Roman" w:cs="Times New Roman"/>
          <w:sz w:val="24"/>
          <w:szCs w:val="24"/>
        </w:rPr>
        <w:t>, Elisa Scatena</w:t>
      </w:r>
      <w:r w:rsidRPr="005627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4,5</w:t>
      </w:r>
      <w:r w:rsidRPr="005627EC">
        <w:rPr>
          <w:rFonts w:ascii="Times New Roman" w:eastAsia="Times New Roman" w:hAnsi="Times New Roman" w:cs="Times New Roman"/>
          <w:sz w:val="24"/>
          <w:szCs w:val="24"/>
        </w:rPr>
        <w:t>, Carlotta Achille</w:t>
      </w:r>
      <w:r w:rsidRPr="005627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5627EC">
        <w:rPr>
          <w:rFonts w:ascii="Times New Roman" w:eastAsia="Times New Roman" w:hAnsi="Times New Roman" w:cs="Times New Roman"/>
          <w:sz w:val="24"/>
          <w:szCs w:val="24"/>
        </w:rPr>
        <w:t>, Cristina Bignardi</w:t>
      </w:r>
      <w:r w:rsidRPr="005627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2,3</w:t>
      </w:r>
      <w:r w:rsidRPr="005627EC">
        <w:rPr>
          <w:rFonts w:ascii="Times New Roman" w:eastAsia="Times New Roman" w:hAnsi="Times New Roman" w:cs="Times New Roman"/>
          <w:sz w:val="24"/>
          <w:szCs w:val="24"/>
        </w:rPr>
        <w:t>, Diana Massai</w:t>
      </w:r>
      <w:r w:rsidRPr="005627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2,3</w:t>
      </w:r>
      <w:r w:rsidRPr="005627EC">
        <w:rPr>
          <w:rFonts w:ascii="Times New Roman" w:eastAsia="Times New Roman" w:hAnsi="Times New Roman" w:cs="Times New Roman"/>
          <w:sz w:val="24"/>
          <w:szCs w:val="24"/>
        </w:rPr>
        <w:t>, Andrea Cochis</w:t>
      </w:r>
      <w:r w:rsidRPr="005627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5627EC">
        <w:rPr>
          <w:rFonts w:ascii="Times New Roman" w:eastAsia="Times New Roman" w:hAnsi="Times New Roman" w:cs="Times New Roman"/>
          <w:sz w:val="24"/>
          <w:szCs w:val="24"/>
        </w:rPr>
        <w:t>, Lia Rimondini</w:t>
      </w:r>
      <w:r w:rsidRPr="005627E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1*</w:t>
      </w:r>
    </w:p>
    <w:p w14:paraId="570E3EC0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8A2776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627EC">
        <w:rPr>
          <w:rFonts w:ascii="Times New Roman" w:eastAsia="Times New Roman" w:hAnsi="Times New Roman" w:cs="Times New Roman"/>
          <w:b/>
          <w:bCs/>
          <w:sz w:val="24"/>
          <w:szCs w:val="24"/>
          <w:lang w:val="it"/>
        </w:rPr>
        <w:t>Affiliations</w:t>
      </w:r>
      <w:proofErr w:type="spellEnd"/>
    </w:p>
    <w:p w14:paraId="4718C04B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27EC">
        <w:rPr>
          <w:rFonts w:ascii="Times New Roman" w:eastAsia="Times New Roman" w:hAnsi="Times New Roman" w:cs="Times New Roman"/>
          <w:sz w:val="24"/>
          <w:szCs w:val="24"/>
        </w:rPr>
        <w:t xml:space="preserve">1. Department of Health Sciences, Center for Translational Research on Autoimmune and Allergic Diseases (CAAD), Università del Piemonte Orientale (UPO), </w:t>
      </w:r>
      <w:r w:rsidRPr="005627EC">
        <w:rPr>
          <w:rFonts w:ascii="Times New Roman" w:eastAsia="Times New Roman" w:hAnsi="Times New Roman" w:cs="Times New Roman"/>
          <w:sz w:val="24"/>
          <w:szCs w:val="24"/>
          <w:lang w:val="it"/>
        </w:rPr>
        <w:t>28100 Novara, NO, Italy</w:t>
      </w:r>
    </w:p>
    <w:p w14:paraId="1B95E2B4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27EC">
        <w:rPr>
          <w:rFonts w:ascii="Times New Roman" w:eastAsia="Times New Roman" w:hAnsi="Times New Roman" w:cs="Times New Roman"/>
          <w:sz w:val="24"/>
          <w:szCs w:val="24"/>
        </w:rPr>
        <w:t xml:space="preserve">2. Department of Mechanical and Aerospace Engineering and </w:t>
      </w:r>
      <w:proofErr w:type="spellStart"/>
      <w:r w:rsidRPr="005627EC">
        <w:rPr>
          <w:rFonts w:ascii="Times New Roman" w:eastAsia="Times New Roman" w:hAnsi="Times New Roman" w:cs="Times New Roman"/>
          <w:sz w:val="24"/>
          <w:szCs w:val="24"/>
        </w:rPr>
        <w:t>PolitoBIOMed</w:t>
      </w:r>
      <w:proofErr w:type="spellEnd"/>
      <w:r w:rsidRPr="005627EC">
        <w:rPr>
          <w:rFonts w:ascii="Times New Roman" w:eastAsia="Times New Roman" w:hAnsi="Times New Roman" w:cs="Times New Roman"/>
          <w:sz w:val="24"/>
          <w:szCs w:val="24"/>
        </w:rPr>
        <w:t xml:space="preserve"> Lab, </w:t>
      </w:r>
      <w:proofErr w:type="spellStart"/>
      <w:r w:rsidRPr="005627EC">
        <w:rPr>
          <w:rFonts w:ascii="Times New Roman" w:eastAsia="Times New Roman" w:hAnsi="Times New Roman" w:cs="Times New Roman"/>
          <w:sz w:val="24"/>
          <w:szCs w:val="24"/>
        </w:rPr>
        <w:t>Politecnico</w:t>
      </w:r>
      <w:proofErr w:type="spellEnd"/>
      <w:r w:rsidRPr="005627EC">
        <w:rPr>
          <w:rFonts w:ascii="Times New Roman" w:eastAsia="Times New Roman" w:hAnsi="Times New Roman" w:cs="Times New Roman"/>
          <w:sz w:val="24"/>
          <w:szCs w:val="24"/>
        </w:rPr>
        <w:t xml:space="preserve"> di Torino, </w:t>
      </w:r>
      <w:r w:rsidRPr="005627EC">
        <w:rPr>
          <w:rFonts w:ascii="Times New Roman" w:eastAsia="Times New Roman" w:hAnsi="Times New Roman" w:cs="Times New Roman"/>
          <w:sz w:val="24"/>
          <w:szCs w:val="24"/>
          <w:lang w:val="it"/>
        </w:rPr>
        <w:t>10129 Turin, TO, Italy</w:t>
      </w:r>
    </w:p>
    <w:p w14:paraId="6026C49E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27EC">
        <w:rPr>
          <w:rFonts w:ascii="Times New Roman" w:eastAsia="Times New Roman" w:hAnsi="Times New Roman" w:cs="Times New Roman"/>
          <w:sz w:val="24"/>
          <w:szCs w:val="24"/>
        </w:rPr>
        <w:t xml:space="preserve">3. Centro 3R, Interuniversity Center for the Promotion of the 3Rs Principles in Teaching and Research, </w:t>
      </w:r>
      <w:r w:rsidRPr="005627EC">
        <w:rPr>
          <w:rFonts w:ascii="Times New Roman" w:eastAsia="Times New Roman" w:hAnsi="Times New Roman" w:cs="Times New Roman"/>
          <w:sz w:val="24"/>
          <w:szCs w:val="24"/>
          <w:lang w:val="it"/>
        </w:rPr>
        <w:t>10129 Turin, TO, Italy</w:t>
      </w:r>
    </w:p>
    <w:p w14:paraId="4A51C833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27EC">
        <w:rPr>
          <w:rFonts w:ascii="Times New Roman" w:eastAsia="Times New Roman" w:hAnsi="Times New Roman" w:cs="Times New Roman"/>
          <w:sz w:val="24"/>
          <w:szCs w:val="24"/>
        </w:rPr>
        <w:t xml:space="preserve">4. E. Amaldi Foundation, </w:t>
      </w:r>
      <w:r w:rsidRPr="005627EC">
        <w:rPr>
          <w:rFonts w:ascii="Times New Roman" w:eastAsia="Times New Roman" w:hAnsi="Times New Roman" w:cs="Times New Roman"/>
          <w:sz w:val="24"/>
          <w:szCs w:val="24"/>
          <w:lang w:val="it"/>
        </w:rPr>
        <w:t>00133 Rome, RM, Italy</w:t>
      </w:r>
      <w:r w:rsidRPr="005627E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E7A2E76" w14:textId="77777777" w:rsidR="005627EC" w:rsidRPr="005627EC" w:rsidRDefault="005627EC" w:rsidP="005627EC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627EC">
        <w:rPr>
          <w:rFonts w:ascii="Times New Roman" w:eastAsia="Times New Roman" w:hAnsi="Times New Roman" w:cs="Times New Roman"/>
          <w:sz w:val="24"/>
          <w:szCs w:val="24"/>
        </w:rPr>
        <w:t xml:space="preserve">5. Hypatia Research Consortium, </w:t>
      </w:r>
      <w:r w:rsidRPr="005627EC">
        <w:rPr>
          <w:rFonts w:ascii="Times New Roman" w:eastAsia="Times New Roman" w:hAnsi="Times New Roman" w:cs="Times New Roman"/>
          <w:sz w:val="24"/>
          <w:szCs w:val="24"/>
          <w:lang w:val="it"/>
        </w:rPr>
        <w:t>00133 Rome, RM, Italy</w:t>
      </w:r>
    </w:p>
    <w:p w14:paraId="705527DA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lang w:val="it-IT"/>
        </w:rPr>
      </w:pPr>
    </w:p>
    <w:p w14:paraId="0DE6BEE0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b/>
          <w:bCs/>
          <w:lang w:val="it-IT"/>
        </w:rPr>
      </w:pPr>
      <w:proofErr w:type="spellStart"/>
      <w:r w:rsidRPr="005627EC">
        <w:rPr>
          <w:rFonts w:ascii="Times New Roman" w:eastAsia="Arial" w:hAnsi="Times New Roman" w:cs="Times New Roman"/>
          <w:b/>
          <w:bCs/>
          <w:lang w:val="it"/>
        </w:rPr>
        <w:t>Authors</w:t>
      </w:r>
      <w:proofErr w:type="spellEnd"/>
      <w:r w:rsidRPr="005627EC">
        <w:rPr>
          <w:rFonts w:ascii="Times New Roman" w:eastAsia="Arial" w:hAnsi="Times New Roman" w:cs="Times New Roman"/>
          <w:b/>
          <w:bCs/>
          <w:lang w:val="it"/>
        </w:rPr>
        <w:t xml:space="preserve">' Official Email </w:t>
      </w:r>
      <w:proofErr w:type="spellStart"/>
      <w:r w:rsidRPr="005627EC">
        <w:rPr>
          <w:rFonts w:ascii="Times New Roman" w:eastAsia="Arial" w:hAnsi="Times New Roman" w:cs="Times New Roman"/>
          <w:b/>
          <w:bCs/>
          <w:lang w:val="it"/>
        </w:rPr>
        <w:t>Addresses</w:t>
      </w:r>
      <w:proofErr w:type="spellEnd"/>
    </w:p>
    <w:p w14:paraId="68354168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lang w:val="it-IT"/>
        </w:rPr>
      </w:pPr>
      <w:r w:rsidRPr="005627EC">
        <w:rPr>
          <w:rFonts w:ascii="Times New Roman" w:eastAsia="Arial" w:hAnsi="Times New Roman" w:cs="Times New Roman"/>
          <w:lang w:val="it-IT"/>
        </w:rPr>
        <w:t xml:space="preserve">Author 1: </w:t>
      </w:r>
      <w:r w:rsidRPr="005627EC">
        <w:rPr>
          <w:rFonts w:ascii="Times New Roman" w:eastAsia="Arial" w:hAnsi="Times New Roman" w:cs="Times New Roman"/>
          <w:lang w:val="it"/>
        </w:rPr>
        <w:t>farah.daou@uniupo.it</w:t>
      </w:r>
    </w:p>
    <w:p w14:paraId="5E1B2F29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lang w:val="it-IT"/>
        </w:rPr>
      </w:pPr>
      <w:r w:rsidRPr="005627EC">
        <w:rPr>
          <w:rFonts w:ascii="Times New Roman" w:eastAsia="Arial" w:hAnsi="Times New Roman" w:cs="Times New Roman"/>
          <w:lang w:val="it-IT"/>
        </w:rPr>
        <w:lastRenderedPageBreak/>
        <w:t xml:space="preserve">Author 2: </w:t>
      </w:r>
      <w:r w:rsidRPr="005627EC">
        <w:rPr>
          <w:rFonts w:ascii="Times New Roman" w:eastAsia="Arial" w:hAnsi="Times New Roman" w:cs="Times New Roman"/>
          <w:lang w:val="it"/>
        </w:rPr>
        <w:t>stefano.gabetti@polito.it</w:t>
      </w:r>
    </w:p>
    <w:p w14:paraId="53ED25D0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lang w:val="it-IT"/>
        </w:rPr>
      </w:pPr>
      <w:r w:rsidRPr="005627EC">
        <w:rPr>
          <w:rFonts w:ascii="Times New Roman" w:eastAsia="Arial" w:hAnsi="Times New Roman" w:cs="Times New Roman"/>
          <w:lang w:val="it-IT"/>
        </w:rPr>
        <w:t xml:space="preserve">Author 3: </w:t>
      </w:r>
      <w:r w:rsidRPr="005627EC">
        <w:rPr>
          <w:rFonts w:ascii="Times New Roman" w:eastAsia="Arial" w:hAnsi="Times New Roman" w:cs="Times New Roman"/>
          <w:lang w:val="it"/>
        </w:rPr>
        <w:t>20063852@studenti.uniupo.it</w:t>
      </w:r>
    </w:p>
    <w:p w14:paraId="4BD0884F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lang w:val="it-IT"/>
        </w:rPr>
      </w:pPr>
      <w:r w:rsidRPr="005627EC">
        <w:rPr>
          <w:rFonts w:ascii="Times New Roman" w:eastAsia="Arial" w:hAnsi="Times New Roman" w:cs="Times New Roman"/>
          <w:lang w:val="it-IT"/>
        </w:rPr>
        <w:t xml:space="preserve">Author 4: </w:t>
      </w:r>
      <w:r w:rsidRPr="005627EC">
        <w:rPr>
          <w:rFonts w:ascii="Times New Roman" w:eastAsia="Arial" w:hAnsi="Times New Roman" w:cs="Times New Roman"/>
          <w:lang w:val="it"/>
        </w:rPr>
        <w:t>beatrice.masante@gmail.com</w:t>
      </w:r>
    </w:p>
    <w:p w14:paraId="1A0A202F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lang w:val="it-IT"/>
        </w:rPr>
      </w:pPr>
      <w:r w:rsidRPr="005627EC">
        <w:rPr>
          <w:rFonts w:ascii="Times New Roman" w:eastAsia="Arial" w:hAnsi="Times New Roman" w:cs="Times New Roman"/>
          <w:lang w:val="it-IT"/>
        </w:rPr>
        <w:t xml:space="preserve">Author 5: </w:t>
      </w:r>
      <w:r w:rsidRPr="005627EC">
        <w:rPr>
          <w:rFonts w:ascii="Times New Roman" w:eastAsia="Arial" w:hAnsi="Times New Roman" w:cs="Times New Roman"/>
          <w:lang w:val="it"/>
        </w:rPr>
        <w:t>elisa.scatena@consorzioipazia.it</w:t>
      </w:r>
    </w:p>
    <w:p w14:paraId="11816A9E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lang w:val="it-IT"/>
        </w:rPr>
      </w:pPr>
      <w:r w:rsidRPr="005627EC">
        <w:rPr>
          <w:rFonts w:ascii="Times New Roman" w:eastAsia="Arial" w:hAnsi="Times New Roman" w:cs="Times New Roman"/>
          <w:lang w:val="it-IT"/>
        </w:rPr>
        <w:t xml:space="preserve">Author 6: </w:t>
      </w:r>
      <w:r w:rsidRPr="005627EC">
        <w:rPr>
          <w:rFonts w:ascii="Times New Roman" w:eastAsia="Arial" w:hAnsi="Times New Roman" w:cs="Times New Roman"/>
          <w:lang w:val="it"/>
        </w:rPr>
        <w:t>carlotta.achille@fondazioneamaldi.it</w:t>
      </w:r>
    </w:p>
    <w:p w14:paraId="2CE3E413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lang w:val="it-IT"/>
        </w:rPr>
      </w:pPr>
      <w:r w:rsidRPr="005627EC">
        <w:rPr>
          <w:rFonts w:ascii="Times New Roman" w:eastAsia="Arial" w:hAnsi="Times New Roman" w:cs="Times New Roman"/>
          <w:lang w:val="it-IT"/>
        </w:rPr>
        <w:t xml:space="preserve">Author 7: </w:t>
      </w:r>
      <w:r w:rsidRPr="005627EC">
        <w:rPr>
          <w:rFonts w:ascii="Times New Roman" w:eastAsia="Arial" w:hAnsi="Times New Roman" w:cs="Times New Roman"/>
          <w:lang w:val="it"/>
        </w:rPr>
        <w:t>cristina.bignardi@polito.it</w:t>
      </w:r>
    </w:p>
    <w:p w14:paraId="3DB17AFA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lang w:val="it-IT"/>
        </w:rPr>
      </w:pPr>
      <w:r w:rsidRPr="005627EC">
        <w:rPr>
          <w:rFonts w:ascii="Times New Roman" w:eastAsia="Arial" w:hAnsi="Times New Roman" w:cs="Times New Roman"/>
          <w:lang w:val="it-IT"/>
        </w:rPr>
        <w:t xml:space="preserve">Author 8: </w:t>
      </w:r>
      <w:r w:rsidRPr="005627EC">
        <w:rPr>
          <w:rFonts w:ascii="Times New Roman" w:eastAsia="Arial" w:hAnsi="Times New Roman" w:cs="Times New Roman"/>
          <w:lang w:val="it"/>
        </w:rPr>
        <w:t>diana.massai@polito.it</w:t>
      </w:r>
    </w:p>
    <w:p w14:paraId="5CC7ACFF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lang w:val="it-IT"/>
        </w:rPr>
      </w:pPr>
      <w:r w:rsidRPr="005627EC">
        <w:rPr>
          <w:rFonts w:ascii="Times New Roman" w:eastAsia="Arial" w:hAnsi="Times New Roman" w:cs="Times New Roman"/>
          <w:lang w:val="it-IT"/>
        </w:rPr>
        <w:t>Author 9: andrea.cochis@med.uniupo.it</w:t>
      </w:r>
    </w:p>
    <w:p w14:paraId="7344AD37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lang w:val="it-IT"/>
        </w:rPr>
      </w:pPr>
      <w:r w:rsidRPr="005627EC">
        <w:rPr>
          <w:rFonts w:ascii="Times New Roman" w:eastAsia="Arial" w:hAnsi="Times New Roman" w:cs="Times New Roman"/>
          <w:lang w:val="it-IT"/>
        </w:rPr>
        <w:t xml:space="preserve">Author 10: </w:t>
      </w:r>
      <w:r w:rsidRPr="005627EC">
        <w:rPr>
          <w:rFonts w:ascii="Times New Roman" w:eastAsia="Arial" w:hAnsi="Times New Roman" w:cs="Times New Roman"/>
          <w:lang w:val="it"/>
        </w:rPr>
        <w:t>lia.rimondini@med.uniupo.it</w:t>
      </w:r>
    </w:p>
    <w:p w14:paraId="2CB61D7A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lang w:val="it-IT"/>
        </w:rPr>
      </w:pPr>
    </w:p>
    <w:p w14:paraId="6195ACF5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5627EC">
        <w:rPr>
          <w:rFonts w:ascii="Times New Roman" w:eastAsia="Arial" w:hAnsi="Times New Roman" w:cs="Times New Roman"/>
          <w:sz w:val="24"/>
          <w:szCs w:val="24"/>
        </w:rPr>
        <w:t>*</w:t>
      </w:r>
      <w:proofErr w:type="spellStart"/>
      <w:r w:rsidRPr="005627EC">
        <w:rPr>
          <w:rFonts w:ascii="Times New Roman" w:eastAsia="Arial" w:hAnsi="Times New Roman" w:cs="Times New Roman"/>
          <w:b/>
          <w:bCs/>
          <w:sz w:val="24"/>
          <w:szCs w:val="24"/>
          <w:lang w:val="it"/>
        </w:rPr>
        <w:t>Corresponding</w:t>
      </w:r>
      <w:proofErr w:type="spellEnd"/>
      <w:r w:rsidRPr="005627EC">
        <w:rPr>
          <w:rFonts w:ascii="Times New Roman" w:eastAsia="Arial" w:hAnsi="Times New Roman" w:cs="Times New Roman"/>
          <w:b/>
          <w:bCs/>
          <w:sz w:val="24"/>
          <w:szCs w:val="24"/>
          <w:lang w:val="it"/>
        </w:rPr>
        <w:t xml:space="preserve"> Author </w:t>
      </w:r>
      <w:proofErr w:type="spellStart"/>
      <w:r w:rsidRPr="005627EC">
        <w:rPr>
          <w:rFonts w:ascii="Times New Roman" w:eastAsia="Arial" w:hAnsi="Times New Roman" w:cs="Times New Roman"/>
          <w:b/>
          <w:bCs/>
          <w:sz w:val="24"/>
          <w:szCs w:val="24"/>
          <w:lang w:val="it"/>
        </w:rPr>
        <w:t>Details</w:t>
      </w:r>
      <w:proofErr w:type="spellEnd"/>
    </w:p>
    <w:p w14:paraId="46191276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r w:rsidRPr="005627EC">
        <w:rPr>
          <w:rFonts w:ascii="Times New Roman" w:eastAsia="Arial" w:hAnsi="Times New Roman" w:cs="Times New Roman"/>
          <w:sz w:val="24"/>
          <w:szCs w:val="24"/>
        </w:rPr>
        <w:t>Lia Rimondini</w:t>
      </w:r>
    </w:p>
    <w:p w14:paraId="4AE62271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  <w:hyperlink r:id="rId6" w:history="1">
        <w:r w:rsidRPr="005627EC">
          <w:rPr>
            <w:rFonts w:ascii="Times New Roman" w:eastAsia="Arial" w:hAnsi="Times New Roman" w:cs="Times New Roman"/>
            <w:color w:val="0000FF"/>
            <w:sz w:val="24"/>
            <w:szCs w:val="24"/>
            <w:u w:val="single"/>
          </w:rPr>
          <w:t>lia.rimondini@med.uniupo.it</w:t>
        </w:r>
      </w:hyperlink>
    </w:p>
    <w:p w14:paraId="79C42044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  <w:hyperlink r:id="rId7" w:history="1">
        <w:r w:rsidRPr="005627EC">
          <w:rPr>
            <w:rFonts w:ascii="Times New Roman" w:eastAsia="Arial" w:hAnsi="Times New Roman" w:cs="Times New Roman"/>
            <w:color w:val="000000"/>
            <w:sz w:val="24"/>
            <w:szCs w:val="24"/>
            <w:lang w:val="it"/>
          </w:rPr>
          <w:t>+39 0321 660673</w:t>
        </w:r>
      </w:hyperlink>
    </w:p>
    <w:p w14:paraId="7416BB06" w14:textId="77777777" w:rsidR="005627EC" w:rsidRPr="005627EC" w:rsidRDefault="005627EC" w:rsidP="005627EC">
      <w:pPr>
        <w:spacing w:after="0" w:line="480" w:lineRule="auto"/>
        <w:rPr>
          <w:rFonts w:ascii="Times New Roman" w:eastAsia="Arial" w:hAnsi="Times New Roman" w:cs="Times New Roman"/>
        </w:rPr>
      </w:pPr>
      <w:r w:rsidRPr="005627EC">
        <w:rPr>
          <w:rFonts w:ascii="Times New Roman" w:eastAsia="Arial" w:hAnsi="Times New Roman" w:cs="Times New Roman"/>
          <w:sz w:val="24"/>
          <w:szCs w:val="24"/>
        </w:rPr>
        <w:t>° These authors have contributed equally to this work.</w:t>
      </w:r>
    </w:p>
    <w:p w14:paraId="6AAFE91A" w14:textId="033D4D56" w:rsidR="00B1269C" w:rsidRPr="00F247AD" w:rsidRDefault="00B1269C" w:rsidP="00373090">
      <w:pPr>
        <w:spacing w:line="480" w:lineRule="auto"/>
        <w:rPr>
          <w:rFonts w:asciiTheme="majorBidi" w:hAnsiTheme="majorBidi" w:cstheme="majorBidi"/>
        </w:rPr>
      </w:pPr>
      <w:r w:rsidRPr="00F247AD">
        <w:rPr>
          <w:rFonts w:asciiTheme="majorBidi" w:hAnsiTheme="majorBidi" w:cstheme="majorBidi"/>
        </w:rPr>
        <w:br w:type="page"/>
      </w:r>
    </w:p>
    <w:p w14:paraId="055F61F6" w14:textId="77777777" w:rsidR="00B1269C" w:rsidRPr="00F247AD" w:rsidRDefault="00B1269C" w:rsidP="00B1269C">
      <w:pPr>
        <w:pStyle w:val="Heading1"/>
        <w:spacing w:line="480" w:lineRule="auto"/>
        <w:rPr>
          <w:rFonts w:asciiTheme="majorBidi" w:eastAsia="Times New Roman" w:hAnsiTheme="majorBidi" w:cstheme="majorBidi"/>
          <w:b/>
          <w:bCs/>
          <w:sz w:val="28"/>
          <w:szCs w:val="28"/>
          <w:lang w:val="en-US"/>
        </w:rPr>
      </w:pPr>
      <w:r w:rsidRPr="00F247AD">
        <w:rPr>
          <w:rFonts w:asciiTheme="majorBidi" w:eastAsia="Times New Roman" w:hAnsiTheme="majorBidi" w:cstheme="majorBidi"/>
          <w:b/>
          <w:bCs/>
          <w:sz w:val="28"/>
          <w:szCs w:val="28"/>
          <w:lang w:val="en-US"/>
        </w:rPr>
        <w:lastRenderedPageBreak/>
        <w:t>Supplementary</w:t>
      </w:r>
    </w:p>
    <w:p w14:paraId="373DC4DA" w14:textId="77777777" w:rsidR="00B1269C" w:rsidRPr="00F247AD" w:rsidRDefault="00B1269C" w:rsidP="00B1269C">
      <w:pPr>
        <w:spacing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F247AD">
        <w:rPr>
          <w:rFonts w:asciiTheme="majorBidi" w:eastAsia="Times New Roman" w:hAnsiTheme="majorBidi" w:cstheme="majorBidi"/>
          <w:b/>
          <w:bCs/>
          <w:sz w:val="24"/>
          <w:szCs w:val="24"/>
        </w:rPr>
        <w:t>Supplementary Table 1.</w:t>
      </w:r>
      <w:r w:rsidRPr="00F247AD">
        <w:rPr>
          <w:rFonts w:asciiTheme="majorBidi" w:eastAsia="Times New Roman" w:hAnsiTheme="majorBidi" w:cstheme="majorBidi"/>
          <w:sz w:val="24"/>
          <w:szCs w:val="24"/>
        </w:rPr>
        <w:t xml:space="preserve"> Description of the designed primers.</w:t>
      </w:r>
    </w:p>
    <w:tbl>
      <w:tblPr>
        <w:tblW w:w="88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80"/>
        <w:gridCol w:w="2865"/>
        <w:gridCol w:w="2850"/>
      </w:tblGrid>
      <w:tr w:rsidR="00B1269C" w:rsidRPr="00F247AD" w14:paraId="359EC947" w14:textId="77777777" w:rsidTr="00E468A2">
        <w:trPr>
          <w:trHeight w:val="497"/>
        </w:trPr>
        <w:tc>
          <w:tcPr>
            <w:tcW w:w="31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5B8A9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Gene</w:t>
            </w:r>
          </w:p>
          <w:p w14:paraId="717A0096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865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5687C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Forward Primer</w:t>
            </w:r>
          </w:p>
        </w:tc>
        <w:tc>
          <w:tcPr>
            <w:tcW w:w="2850" w:type="dxa"/>
            <w:tcBorders>
              <w:top w:val="single" w:sz="6" w:space="0" w:color="BFBFBF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364FC3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Reverse Primer</w:t>
            </w:r>
          </w:p>
        </w:tc>
      </w:tr>
      <w:tr w:rsidR="00B1269C" w:rsidRPr="00F247AD" w14:paraId="63651576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C6FAD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Runt-related transcription factor 2 (RUNX2)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5133E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GAA TGC CTC TGC TGT TAT GA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011BC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GAA GAC GGT TAT GGT CAA GG -3’</w:t>
            </w:r>
          </w:p>
        </w:tc>
      </w:tr>
      <w:tr w:rsidR="00B1269C" w:rsidRPr="00F247AD" w14:paraId="7A98FD26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54A9A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Alkaline phosphatase (ALP)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3BBDA7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GAG TAT GAG AGT GAC GAG AAA G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E782FE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GAA GTG GGA GTG CTT GTA TC -3’</w:t>
            </w:r>
          </w:p>
        </w:tc>
      </w:tr>
      <w:tr w:rsidR="00B1269C" w:rsidRPr="00F247AD" w14:paraId="04D9D148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48175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Osteopontin</w:t>
            </w:r>
            <w:proofErr w:type="spellEnd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(OPN)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5739A6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CCC ATC TCA GAA GCA GAA TC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4B6E78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TGG CTT TCG TTG GAC TTA C -3’</w:t>
            </w:r>
          </w:p>
        </w:tc>
      </w:tr>
      <w:tr w:rsidR="00B1269C" w:rsidRPr="00F247AD" w14:paraId="495EAC40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E68E9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Osteocalcin (OCN)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4B7D7F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AGG CGC TAC CTG TAT CAA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A5C95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CTC CTG AAA GCC GAT GTG -3’</w:t>
            </w:r>
          </w:p>
        </w:tc>
      </w:tr>
      <w:tr w:rsidR="00B1269C" w:rsidRPr="00F247AD" w14:paraId="661C6067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2F149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Collagen Type I Alpha 1 Chain (COL1A1)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EF55CA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GGA TTC CAG TTC GAG TAT GG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AD8CF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CAG TGG TAG GTG ATG TTC TG -3’</w:t>
            </w:r>
          </w:p>
        </w:tc>
      </w:tr>
      <w:tr w:rsidR="00B1269C" w:rsidRPr="00F247AD" w14:paraId="74A37B9A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B3C23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Matrix metalloproteinase 3 (MMP3)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2EFA0E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5’- TTT GAT GGA CCT</w:t>
            </w:r>
          </w:p>
          <w:p w14:paraId="4A3BE824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GGA AAT GT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58CFC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5’- GGT CCC TGT </w:t>
            </w:r>
            <w:proofErr w:type="spellStart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TGT</w:t>
            </w:r>
            <w:proofErr w:type="spellEnd"/>
          </w:p>
          <w:p w14:paraId="423E8C91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ATC CTT TG -3’</w:t>
            </w:r>
          </w:p>
        </w:tc>
      </w:tr>
      <w:tr w:rsidR="00B1269C" w:rsidRPr="00F247AD" w14:paraId="35090ABC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9B67C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Matrix metalloproteinase 9 (MMP9)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6A907B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5’- TTG ACA GCG ACA</w:t>
            </w:r>
          </w:p>
          <w:p w14:paraId="2235ABEE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AGA AGT G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119CDC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5’- GGC ACT GAG GAA</w:t>
            </w:r>
          </w:p>
          <w:p w14:paraId="3EBB5DC4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TGA TCT AAG -3’</w:t>
            </w:r>
          </w:p>
        </w:tc>
      </w:tr>
      <w:tr w:rsidR="00B1269C" w:rsidRPr="00F247AD" w14:paraId="34840263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DB04E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Bone morphogenetic protein 2 (BMP2)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916A4A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CGT CAA GCC AAA CAC AAA C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A77D71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AGC CAC AAT CCA GTC ATT C -3’</w:t>
            </w:r>
          </w:p>
        </w:tc>
      </w:tr>
      <w:tr w:rsidR="00B1269C" w:rsidRPr="00F247AD" w14:paraId="73B8540B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5C5B7E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Bone morphogenetic protein 4 (BMP4)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2ED9B6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GCT GGA ATG ACT GGA TTG T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2F0AF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ATG GTT GGT TGA GTT GAG G -3’</w:t>
            </w:r>
          </w:p>
        </w:tc>
      </w:tr>
      <w:tr w:rsidR="00B1269C" w:rsidRPr="00F247AD" w14:paraId="0E9DCD9F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7D2E79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Bone morphogenetic protein 6 (BMP6)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6C90D4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  <w:t xml:space="preserve">5’- CGA CAC </w:t>
            </w:r>
            <w:proofErr w:type="spellStart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  <w:t>CAC</w:t>
            </w:r>
            <w:proofErr w:type="spellEnd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  <w:t xml:space="preserve"> AAA GAG TTC A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FCE9AF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  <w:t>5’- CCC ATA ACA CAG TCC TTG TAG -3’</w:t>
            </w:r>
          </w:p>
        </w:tc>
      </w:tr>
      <w:tr w:rsidR="00B1269C" w:rsidRPr="00F247AD" w14:paraId="10F13912" w14:textId="77777777" w:rsidTr="008A0784">
        <w:trPr>
          <w:trHeight w:val="82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E607BB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Piezo-type mechanosensitive ion channel component 1 (PIEZO1)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368E6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5’- AAG GAG ATG </w:t>
            </w:r>
            <w:proofErr w:type="spellStart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ATG</w:t>
            </w:r>
            <w:proofErr w:type="spellEnd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GAC AGA GA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9C22D6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CTG ACG TGC AGG TAG TAA TG -3’</w:t>
            </w:r>
          </w:p>
        </w:tc>
      </w:tr>
      <w:tr w:rsidR="00B1269C" w:rsidRPr="00F247AD" w14:paraId="2A8091B9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272C67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Yes-associated protein 1 (YAP1)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DF1C20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AGA ACC GTT TCC CAG ACT A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46ADA6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TCA GCT CCT CTC CTT CTA TG -3’</w:t>
            </w:r>
          </w:p>
        </w:tc>
      </w:tr>
      <w:tr w:rsidR="00B1269C" w:rsidRPr="00F247AD" w14:paraId="7FB056F7" w14:textId="77777777" w:rsidTr="008A0784">
        <w:trPr>
          <w:trHeight w:val="82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32693" w14:textId="083DDE5C" w:rsidR="00B1269C" w:rsidRPr="00F247AD" w:rsidRDefault="00B1269C" w:rsidP="00373090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WW domain-containing transcription regulator protein 1 </w:t>
            </w:r>
            <w:r w:rsidR="00373090"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(WWTR1 / TAZ)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B8A00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  <w:t>5’- AAA TCA CCA CAT GGC AAG A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A0F78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GAG ATT TGG CTG GGA TAC TG -3’</w:t>
            </w:r>
          </w:p>
        </w:tc>
      </w:tr>
      <w:tr w:rsidR="00B1269C" w:rsidRPr="00F247AD" w14:paraId="7FA74FE7" w14:textId="77777777" w:rsidTr="008A0784">
        <w:trPr>
          <w:trHeight w:val="82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0542E9" w14:textId="3C93FBE3" w:rsidR="00B1269C" w:rsidRPr="00F247AD" w:rsidRDefault="00B1269C" w:rsidP="00373090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Connective Tissue Growth Factor (CTGF)</w:t>
            </w:r>
            <w:r w:rsidR="00373090"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373090" w:rsidRPr="00F247AD"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  <w:t xml:space="preserve">/ </w:t>
            </w:r>
            <w:r w:rsidR="00373090"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Cellular Communication Network Factor 2 (CCN2)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49DD2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AAG CTG ACC TGG AAG AGA A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87251A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CAG CCA GAA AGC TCA AAC T -3’</w:t>
            </w:r>
          </w:p>
        </w:tc>
      </w:tr>
      <w:tr w:rsidR="00B1269C" w:rsidRPr="00F247AD" w14:paraId="0095D91C" w14:textId="77777777" w:rsidTr="008A0784">
        <w:trPr>
          <w:trHeight w:val="82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13BB1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Mitogen-activated protein kinase 1 (MAPK1)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BC8FF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GTA CAG GAC CTC ATG GAA AC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AB45C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CTC TGA GGA TCT GGT AGA GAA -3’</w:t>
            </w:r>
          </w:p>
        </w:tc>
      </w:tr>
      <w:tr w:rsidR="00B1269C" w:rsidRPr="00F247AD" w14:paraId="584F3248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6B6AE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Janus kinase 1 (JAK1)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8AEAD4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TGG AAC CAA CGA CAA TGA G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FC682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GTC CCT GAG CAA ACA GAT AC -3’</w:t>
            </w:r>
          </w:p>
        </w:tc>
      </w:tr>
      <w:tr w:rsidR="00B1269C" w:rsidRPr="00F247AD" w14:paraId="52EC53CB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8D1D0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Prostaglandin-endoperoxide synthase 2 (PTGS2)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A61AB7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5’- GCC TGG TCT GAT </w:t>
            </w:r>
            <w:proofErr w:type="spellStart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GAT</w:t>
            </w:r>
            <w:proofErr w:type="spellEnd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GTA TG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BA597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5’- CTG CTT GTC TGG AAC </w:t>
            </w:r>
            <w:proofErr w:type="spellStart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AAC</w:t>
            </w:r>
            <w:proofErr w:type="spellEnd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 -3’</w:t>
            </w:r>
          </w:p>
        </w:tc>
      </w:tr>
      <w:tr w:rsidR="00B1269C" w:rsidRPr="00F247AD" w14:paraId="2F807A4F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576697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Interleukin 6 (IL-6)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079282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  <w:t xml:space="preserve">5’- CCC AGG AGA </w:t>
            </w:r>
            <w:proofErr w:type="spellStart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  <w:t>AGA</w:t>
            </w:r>
            <w:proofErr w:type="spellEnd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  <w:t xml:space="preserve"> TTC CAA AG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C7565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GTC GAG GAT GTA CCG AAT TT -3’</w:t>
            </w:r>
          </w:p>
        </w:tc>
      </w:tr>
      <w:tr w:rsidR="00B1269C" w:rsidRPr="00F247AD" w14:paraId="32BE159B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E101A3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Nuclear factor kappa B subunit 1 (NFKB1)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08BB5B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AGT ACA GGT CCA GGG TAT AG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876AF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TGC TTC ATC CCA GCA TTA G -3’</w:t>
            </w:r>
          </w:p>
        </w:tc>
      </w:tr>
      <w:tr w:rsidR="00B1269C" w:rsidRPr="00F247AD" w14:paraId="53D703DE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4FA2DE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Snail family transcriptional repressor 1 (SNAI1)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7E409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GAT GAG GAC AGT GGG AAA G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3E863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  <w:lang w:val="it-IT"/>
              </w:rPr>
              <w:t>5’-  XCTC CAA GGA AGA GAC TGA AG -3’</w:t>
            </w:r>
          </w:p>
        </w:tc>
      </w:tr>
      <w:tr w:rsidR="00B1269C" w:rsidRPr="00F247AD" w14:paraId="6C75B206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C36AF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Twist family </w:t>
            </w:r>
            <w:proofErr w:type="spellStart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bHLH</w:t>
            </w:r>
            <w:proofErr w:type="spellEnd"/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transcription factor 2 (TWIST2)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8ACC04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CAA GAT CCA GAC GCT CAA G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1736B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CTG CAG CTG GTC ATC TTA TT -3’</w:t>
            </w:r>
          </w:p>
        </w:tc>
      </w:tr>
      <w:tr w:rsidR="00B1269C" w:rsidRPr="00F247AD" w14:paraId="7372C200" w14:textId="77777777" w:rsidTr="008A0784">
        <w:trPr>
          <w:trHeight w:val="55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B8E6E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Transforming growth factor beta 1 (TGF-β1)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414B6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GTG GAG CTG TAC CAG AAA TAC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2B629C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CAA CTC CGG TGA CAT CAA A -3’</w:t>
            </w:r>
          </w:p>
        </w:tc>
      </w:tr>
      <w:tr w:rsidR="00B1269C" w:rsidRPr="00F247AD" w14:paraId="378B208C" w14:textId="77777777" w:rsidTr="008A0784">
        <w:trPr>
          <w:trHeight w:val="825"/>
        </w:trPr>
        <w:tc>
          <w:tcPr>
            <w:tcW w:w="3180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897735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Tyrosine 3-monooxygenase/tryptophan 5-monooxygenase (YWHAZ)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AEF3CF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GGA GGG TCG TCT CAA GTA T -3’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C37F2" w14:textId="77777777" w:rsidR="00B1269C" w:rsidRPr="00F247AD" w:rsidRDefault="00B1269C" w:rsidP="00B1269C">
            <w:pPr>
              <w:spacing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F247AD">
              <w:rPr>
                <w:rFonts w:asciiTheme="majorBidi" w:eastAsia="Times New Roman" w:hAnsiTheme="majorBidi" w:cstheme="majorBidi"/>
                <w:sz w:val="24"/>
                <w:szCs w:val="24"/>
              </w:rPr>
              <w:t>5’- ATC TCT TAG CTC CGT CTC AA -3’</w:t>
            </w:r>
          </w:p>
        </w:tc>
      </w:tr>
    </w:tbl>
    <w:p w14:paraId="077444ED" w14:textId="2FE4A63B" w:rsidR="00B1269C" w:rsidRPr="00F247AD" w:rsidRDefault="00B1269C" w:rsidP="00B1269C">
      <w:pPr>
        <w:rPr>
          <w:rFonts w:asciiTheme="majorBidi" w:eastAsia="Times New Roman" w:hAnsiTheme="majorBidi" w:cstheme="majorBidi"/>
          <w:sz w:val="24"/>
          <w:szCs w:val="24"/>
        </w:rPr>
      </w:pPr>
      <w:r w:rsidRPr="00F247AD">
        <w:rPr>
          <w:rFonts w:asciiTheme="majorBidi" w:eastAsia="Times New Roman" w:hAnsiTheme="majorBidi" w:cstheme="majorBidi"/>
          <w:sz w:val="24"/>
          <w:szCs w:val="24"/>
        </w:rPr>
        <w:br w:type="page"/>
      </w:r>
    </w:p>
    <w:p w14:paraId="2CEE5DE9" w14:textId="77777777" w:rsidR="00B1269C" w:rsidRPr="00F247AD" w:rsidRDefault="00B1269C" w:rsidP="00B1269C">
      <w:pPr>
        <w:spacing w:line="48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F247AD">
        <w:rPr>
          <w:rFonts w:asciiTheme="majorBidi" w:eastAsia="Times New Roman" w:hAnsiTheme="majorBidi" w:cstheme="majorBidi"/>
          <w:b/>
          <w:bCs/>
          <w:noProof/>
          <w:sz w:val="24"/>
          <w:szCs w:val="24"/>
        </w:rPr>
        <w:lastRenderedPageBreak/>
        <w:drawing>
          <wp:inline distT="114300" distB="114300" distL="114300" distR="114300" wp14:anchorId="751ABB83" wp14:editId="1D987A77">
            <wp:extent cx="4548188" cy="3776053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8188" cy="37760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957E7F" w14:textId="258B4645" w:rsidR="00B1269C" w:rsidRPr="00F247AD" w:rsidRDefault="00F247AD" w:rsidP="00B1269C">
      <w:pPr>
        <w:spacing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F247AD">
        <w:rPr>
          <w:rFonts w:asciiTheme="majorBidi" w:eastAsia="Times New Roman" w:hAnsiTheme="majorBidi" w:cstheme="majorBidi"/>
          <w:b/>
          <w:bCs/>
          <w:sz w:val="24"/>
          <w:szCs w:val="24"/>
        </w:rPr>
        <w:t>Supplementary Figure 1.</w:t>
      </w:r>
      <w:r w:rsidRPr="00F247A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B1269C" w:rsidRPr="00F247AD">
        <w:rPr>
          <w:rFonts w:asciiTheme="majorBidi" w:eastAsia="Times New Roman" w:hAnsiTheme="majorBidi" w:cstheme="majorBidi"/>
          <w:sz w:val="24"/>
          <w:szCs w:val="24"/>
        </w:rPr>
        <w:t>Metabolic activity of bone marrow-derived mesenchymal stem cells (BM-MSCs) within P3S3 scaffolds over 21 days, cultured under static conditions or continuous direct perfusion. Metabolic activity was assessed using the resazurin reduction assay to determine cell viability (*p &lt; 0.05).</w:t>
      </w:r>
      <w:r w:rsidR="00B1269C" w:rsidRPr="00F247AD">
        <w:rPr>
          <w:rFonts w:asciiTheme="majorBidi" w:hAnsiTheme="majorBidi" w:cstheme="majorBidi"/>
        </w:rPr>
        <w:br w:type="page"/>
      </w:r>
    </w:p>
    <w:p w14:paraId="3E8FFBC7" w14:textId="77777777" w:rsidR="00C01C42" w:rsidRDefault="00B1269C" w:rsidP="00C01C42">
      <w:pPr>
        <w:spacing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F247AD">
        <w:rPr>
          <w:rFonts w:asciiTheme="majorBidi" w:eastAsia="Times New Roman" w:hAnsiTheme="majorBidi" w:cstheme="majorBidi"/>
          <w:noProof/>
          <w:sz w:val="24"/>
          <w:szCs w:val="24"/>
        </w:rPr>
        <w:lastRenderedPageBreak/>
        <w:drawing>
          <wp:inline distT="114300" distB="114300" distL="114300" distR="114300" wp14:anchorId="7D9EF407" wp14:editId="5604B7B6">
            <wp:extent cx="4617819" cy="727329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7819" cy="7273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E8849" w14:textId="4BFF4BC6" w:rsidR="00C01C42" w:rsidRDefault="00F247AD" w:rsidP="00C01C42">
      <w:pPr>
        <w:spacing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F247AD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Supplementary Figure 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>2</w:t>
      </w:r>
      <w:r w:rsidRPr="00F247AD">
        <w:rPr>
          <w:rFonts w:asciiTheme="majorBidi" w:eastAsia="Times New Roman" w:hAnsiTheme="majorBidi" w:cstheme="majorBidi"/>
          <w:b/>
          <w:bCs/>
          <w:sz w:val="24"/>
          <w:szCs w:val="24"/>
        </w:rPr>
        <w:t>.</w:t>
      </w:r>
      <w:r w:rsidRPr="00F247A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B1269C" w:rsidRPr="00F247AD">
        <w:rPr>
          <w:rFonts w:asciiTheme="majorBidi" w:eastAsia="Times New Roman" w:hAnsiTheme="majorBidi" w:cstheme="majorBidi"/>
          <w:sz w:val="24"/>
          <w:szCs w:val="24"/>
        </w:rPr>
        <w:t xml:space="preserve">Live/dead and scanning electron microscopy (SEM) analyses of bone marrow-derived mesenchymal stem cells (BM-MSCs) within P3S3 scaffolds </w:t>
      </w:r>
      <w:r w:rsidR="00E468A2" w:rsidRPr="00F247AD">
        <w:rPr>
          <w:rFonts w:asciiTheme="majorBidi" w:eastAsia="Times New Roman" w:hAnsiTheme="majorBidi" w:cstheme="majorBidi"/>
          <w:sz w:val="24"/>
          <w:szCs w:val="24"/>
        </w:rPr>
        <w:t>on</w:t>
      </w:r>
      <w:r w:rsidR="00B1269C" w:rsidRPr="00F247AD">
        <w:rPr>
          <w:rFonts w:asciiTheme="majorBidi" w:eastAsia="Times New Roman" w:hAnsiTheme="majorBidi" w:cstheme="majorBidi"/>
          <w:sz w:val="24"/>
          <w:szCs w:val="24"/>
        </w:rPr>
        <w:t xml:space="preserve"> day 21, cultured under static culture or continuous, direct perfusion. (A) Live/dead staining showing 3D z-stack reconstructions of cell-seeded scaffolds, where green fluorescence represents live cells (due to </w:t>
      </w:r>
      <w:proofErr w:type="spellStart"/>
      <w:r w:rsidR="00B1269C" w:rsidRPr="00F247AD">
        <w:rPr>
          <w:rFonts w:asciiTheme="majorBidi" w:eastAsia="Times New Roman" w:hAnsiTheme="majorBidi" w:cstheme="majorBidi"/>
          <w:sz w:val="24"/>
          <w:szCs w:val="24"/>
        </w:rPr>
        <w:lastRenderedPageBreak/>
        <w:t>calcein</w:t>
      </w:r>
      <w:proofErr w:type="spellEnd"/>
      <w:r w:rsidR="00B1269C" w:rsidRPr="00F247AD">
        <w:rPr>
          <w:rFonts w:asciiTheme="majorBidi" w:eastAsia="Times New Roman" w:hAnsiTheme="majorBidi" w:cstheme="majorBidi"/>
          <w:sz w:val="24"/>
          <w:szCs w:val="24"/>
        </w:rPr>
        <w:t xml:space="preserve"> AM staining), and red fluorescence represents dead cells (due to ethidium homodimer-1 staining). Scale bar: 1000 µm (B) SEM of cell-cell, cell-scaffold, and cell-extracellular matrix (ECM) interactions. Scale bars: 500 µm (50x) and 100 µm (100x).</w:t>
      </w:r>
    </w:p>
    <w:p w14:paraId="55417A57" w14:textId="18AE96E7" w:rsidR="00B1269C" w:rsidRPr="00F247AD" w:rsidRDefault="00C01C42" w:rsidP="00C01C42">
      <w:pPr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br w:type="page"/>
      </w:r>
    </w:p>
    <w:p w14:paraId="14373679" w14:textId="77777777" w:rsidR="00B1269C" w:rsidRPr="00F247AD" w:rsidRDefault="00B1269C" w:rsidP="00B1269C">
      <w:pPr>
        <w:spacing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F247AD">
        <w:rPr>
          <w:rFonts w:asciiTheme="majorBidi" w:eastAsia="Times New Roman" w:hAnsiTheme="majorBidi" w:cstheme="majorBidi"/>
          <w:noProof/>
          <w:sz w:val="24"/>
          <w:szCs w:val="24"/>
        </w:rPr>
        <w:lastRenderedPageBreak/>
        <w:drawing>
          <wp:inline distT="114300" distB="114300" distL="114300" distR="114300" wp14:anchorId="0E08B509" wp14:editId="7F15CDAB">
            <wp:extent cx="5731200" cy="477520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77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59EA91" w14:textId="15E6D119" w:rsidR="00F247AD" w:rsidRPr="00B1269C" w:rsidRDefault="00F247AD" w:rsidP="00C01C42">
      <w:pPr>
        <w:spacing w:line="480" w:lineRule="auto"/>
        <w:rPr>
          <w:rFonts w:asciiTheme="majorBidi" w:hAnsiTheme="majorBidi" w:cstheme="majorBidi"/>
        </w:rPr>
      </w:pPr>
      <w:r w:rsidRPr="00F247AD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Supplementary Figure 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>3</w:t>
      </w:r>
      <w:r w:rsidRPr="00F247AD">
        <w:rPr>
          <w:rFonts w:asciiTheme="majorBidi" w:eastAsia="Times New Roman" w:hAnsiTheme="majorBidi" w:cstheme="majorBidi"/>
          <w:b/>
          <w:bCs/>
          <w:sz w:val="24"/>
          <w:szCs w:val="24"/>
        </w:rPr>
        <w:t>.</w:t>
      </w:r>
      <w:r w:rsidRPr="00F247A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B1269C" w:rsidRPr="00F247AD">
        <w:rPr>
          <w:rFonts w:asciiTheme="majorBidi" w:eastAsia="Times New Roman" w:hAnsiTheme="majorBidi" w:cstheme="majorBidi"/>
          <w:sz w:val="24"/>
          <w:szCs w:val="24"/>
        </w:rPr>
        <w:t xml:space="preserve">Metabolic activity of bone marrow-derived mesenchymal stem cells (BM-MSCs) within P3S3 and PLA600 scaffolds over 10 days. Cells were cultured under direct perfusion (DP) alone, or combined with </w:t>
      </w:r>
      <w:r w:rsidR="00E468A2">
        <w:rPr>
          <w:rFonts w:asciiTheme="majorBidi" w:eastAsia="Times New Roman" w:hAnsiTheme="majorBidi" w:cstheme="majorBidi"/>
          <w:sz w:val="24"/>
          <w:szCs w:val="24"/>
        </w:rPr>
        <w:t>intermittent</w:t>
      </w:r>
      <w:r w:rsidR="00B1269C" w:rsidRPr="00F247AD">
        <w:rPr>
          <w:rFonts w:asciiTheme="majorBidi" w:eastAsia="Times New Roman" w:hAnsiTheme="majorBidi" w:cstheme="majorBidi"/>
          <w:sz w:val="24"/>
          <w:szCs w:val="24"/>
        </w:rPr>
        <w:t xml:space="preserve"> hydrostatic pressure (</w:t>
      </w:r>
      <w:r w:rsidR="00E468A2">
        <w:rPr>
          <w:rFonts w:asciiTheme="majorBidi" w:eastAsia="Times New Roman" w:hAnsiTheme="majorBidi" w:cstheme="majorBidi"/>
          <w:sz w:val="24"/>
          <w:szCs w:val="24"/>
        </w:rPr>
        <w:t>HP,</w:t>
      </w:r>
      <w:r w:rsidR="00B1269C" w:rsidRPr="00F247AD">
        <w:rPr>
          <w:rFonts w:asciiTheme="majorBidi" w:eastAsia="Times New Roman" w:hAnsiTheme="majorBidi" w:cstheme="majorBidi"/>
          <w:sz w:val="24"/>
          <w:szCs w:val="24"/>
        </w:rPr>
        <w:t xml:space="preserve"> 15 kPa</w:t>
      </w:r>
      <w:r w:rsidR="00E468A2">
        <w:rPr>
          <w:rFonts w:asciiTheme="majorBidi" w:eastAsia="Times New Roman" w:hAnsiTheme="majorBidi" w:cstheme="majorBidi"/>
          <w:sz w:val="24"/>
          <w:szCs w:val="24"/>
        </w:rPr>
        <w:t>)</w:t>
      </w:r>
      <w:r w:rsidR="00B1269C" w:rsidRPr="00F247AD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E468A2">
        <w:rPr>
          <w:rFonts w:asciiTheme="majorBidi" w:eastAsia="Times New Roman" w:hAnsiTheme="majorBidi" w:cstheme="majorBidi"/>
          <w:sz w:val="24"/>
          <w:szCs w:val="24"/>
        </w:rPr>
        <w:t xml:space="preserve">for </w:t>
      </w:r>
      <w:r w:rsidR="00B1269C" w:rsidRPr="00F247AD">
        <w:rPr>
          <w:rFonts w:asciiTheme="majorBidi" w:eastAsia="Times New Roman" w:hAnsiTheme="majorBidi" w:cstheme="majorBidi"/>
          <w:sz w:val="24"/>
          <w:szCs w:val="24"/>
        </w:rPr>
        <w:t xml:space="preserve">2 h/day (rehabilitation program 1 [RP1]), pulsed electromagnetic field (PEMF) stimulation (75 Hz, 1.5 </w:t>
      </w:r>
      <w:proofErr w:type="spellStart"/>
      <w:r w:rsidR="00B1269C" w:rsidRPr="00F247AD">
        <w:rPr>
          <w:rFonts w:asciiTheme="majorBidi" w:eastAsia="Times New Roman" w:hAnsiTheme="majorBidi" w:cstheme="majorBidi"/>
          <w:sz w:val="24"/>
          <w:szCs w:val="24"/>
        </w:rPr>
        <w:t>mT</w:t>
      </w:r>
      <w:proofErr w:type="spellEnd"/>
      <w:r w:rsidR="00B1269C" w:rsidRPr="00F247AD">
        <w:rPr>
          <w:rFonts w:asciiTheme="majorBidi" w:eastAsia="Times New Roman" w:hAnsiTheme="majorBidi" w:cstheme="majorBidi"/>
          <w:sz w:val="24"/>
          <w:szCs w:val="24"/>
        </w:rPr>
        <w:t>) for 4 h/day (rehabilitation program 2 [RP2]), or RP1 and RP2 sequentially (rehabilitation program 3 [RP3]). Metabolic activity was assessed using the resazurin reduction assay to determine cell viability</w:t>
      </w:r>
      <w:r w:rsidR="00C01C42">
        <w:rPr>
          <w:rFonts w:asciiTheme="majorBidi" w:eastAsia="Times New Roman" w:hAnsiTheme="majorBidi" w:cstheme="majorBidi"/>
          <w:sz w:val="24"/>
          <w:szCs w:val="24"/>
        </w:rPr>
        <w:t>.</w:t>
      </w:r>
    </w:p>
    <w:sectPr w:rsidR="00F247AD" w:rsidRPr="00B1269C" w:rsidSect="00C01C42">
      <w:footerReference w:type="default" r:id="rId11"/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C5BBE" w14:textId="77777777" w:rsidR="00132987" w:rsidRDefault="00132987" w:rsidP="00C01C42">
      <w:pPr>
        <w:spacing w:after="0" w:line="240" w:lineRule="auto"/>
      </w:pPr>
      <w:r>
        <w:separator/>
      </w:r>
    </w:p>
  </w:endnote>
  <w:endnote w:type="continuationSeparator" w:id="0">
    <w:p w14:paraId="7D855A6C" w14:textId="77777777" w:rsidR="00132987" w:rsidRDefault="00132987" w:rsidP="00C01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3278254"/>
      <w:docPartObj>
        <w:docPartGallery w:val="Page Numbers (Bottom of Page)"/>
        <w:docPartUnique/>
      </w:docPartObj>
    </w:sdtPr>
    <w:sdtContent>
      <w:p w14:paraId="67F479D0" w14:textId="679E61E3" w:rsidR="00C01C42" w:rsidRDefault="00C01C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B5C514" w14:textId="77777777" w:rsidR="00C01C42" w:rsidRDefault="00C01C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A4B74" w14:textId="77777777" w:rsidR="00132987" w:rsidRDefault="00132987" w:rsidP="00C01C42">
      <w:pPr>
        <w:spacing w:after="0" w:line="240" w:lineRule="auto"/>
      </w:pPr>
      <w:r>
        <w:separator/>
      </w:r>
    </w:p>
  </w:footnote>
  <w:footnote w:type="continuationSeparator" w:id="0">
    <w:p w14:paraId="19F815DE" w14:textId="77777777" w:rsidR="00132987" w:rsidRDefault="00132987" w:rsidP="00C01C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960"/>
    <w:rsid w:val="000A0B87"/>
    <w:rsid w:val="00132987"/>
    <w:rsid w:val="00373090"/>
    <w:rsid w:val="003D2E50"/>
    <w:rsid w:val="005627EC"/>
    <w:rsid w:val="008D6960"/>
    <w:rsid w:val="00A85552"/>
    <w:rsid w:val="00B1269C"/>
    <w:rsid w:val="00C01C42"/>
    <w:rsid w:val="00CE4CD0"/>
    <w:rsid w:val="00E468A2"/>
    <w:rsid w:val="00E85EF0"/>
    <w:rsid w:val="00F247AD"/>
    <w:rsid w:val="00F34467"/>
    <w:rsid w:val="00FA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132E51"/>
  <w15:chartTrackingRefBased/>
  <w15:docId w15:val="{F950CF97-12D0-4BC1-99CA-5E849085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69C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69C"/>
    <w:rPr>
      <w:rFonts w:ascii="Arial" w:eastAsia="Arial" w:hAnsi="Arial" w:cs="Arial"/>
      <w:sz w:val="40"/>
      <w:szCs w:val="40"/>
      <w:lang w:val="it"/>
    </w:rPr>
  </w:style>
  <w:style w:type="character" w:styleId="Hyperlink">
    <w:name w:val="Hyperlink"/>
    <w:basedOn w:val="DefaultParagraphFont"/>
    <w:uiPriority w:val="99"/>
    <w:unhideWhenUsed/>
    <w:rsid w:val="0037309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1C4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C42"/>
  </w:style>
  <w:style w:type="paragraph" w:styleId="Footer">
    <w:name w:val="footer"/>
    <w:basedOn w:val="Normal"/>
    <w:link w:val="FooterChar"/>
    <w:uiPriority w:val="99"/>
    <w:unhideWhenUsed/>
    <w:rsid w:val="00C01C4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C42"/>
  </w:style>
  <w:style w:type="character" w:styleId="LineNumber">
    <w:name w:val="line number"/>
    <w:basedOn w:val="DefaultParagraphFont"/>
    <w:uiPriority w:val="99"/>
    <w:semiHidden/>
    <w:unhideWhenUsed/>
    <w:rsid w:val="00C01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tel:+39032166067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a.rimondini@med.uniupo.it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861</Words>
  <Characters>4911</Characters>
  <Application>Microsoft Office Word</Application>
  <DocSecurity>0</DocSecurity>
  <Lines>40</Lines>
  <Paragraphs>11</Paragraphs>
  <ScaleCrop>false</ScaleCrop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Farah Daou</dc:creator>
  <cp:keywords/>
  <dc:description/>
  <cp:lastModifiedBy>Farah Daou</cp:lastModifiedBy>
  <cp:revision>8</cp:revision>
  <dcterms:created xsi:type="dcterms:W3CDTF">2026-07-20T14:18:00Z</dcterms:created>
  <dcterms:modified xsi:type="dcterms:W3CDTF">2026-08-17T12:44:00Z</dcterms:modified>
</cp:coreProperties>
</file>