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6C13C" w14:textId="77777777" w:rsidR="00D13CF2" w:rsidRDefault="00D13CF2" w:rsidP="00D13CF2">
      <w:pPr>
        <w:keepNext/>
        <w:rPr>
          <w:rFonts w:cs="Arial"/>
          <w:sz w:val="20"/>
          <w:szCs w:val="20"/>
        </w:rPr>
      </w:pPr>
      <w:r w:rsidRPr="00E1065A">
        <w:rPr>
          <w:rFonts w:cs="Arial"/>
          <w:b/>
          <w:bCs/>
          <w:sz w:val="19"/>
          <w:szCs w:val="20"/>
        </w:rPr>
        <w:t>Table 4.</w:t>
      </w:r>
      <w:r w:rsidRPr="00E1065A">
        <w:rPr>
          <w:rFonts w:cs="Arial"/>
          <w:b/>
          <w:sz w:val="19"/>
          <w:szCs w:val="20"/>
        </w:rPr>
        <w:t xml:space="preserve"> Multivariable logistic regression analysis of factors associated with high treatment efficacy expectations.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3153"/>
        <w:gridCol w:w="1763"/>
        <w:gridCol w:w="788"/>
      </w:tblGrid>
      <w:tr w:rsidR="00D13CF2" w:rsidRPr="00E1065A" w14:paraId="411322A3" w14:textId="77777777" w:rsidTr="006316BE">
        <w:trPr>
          <w:tblHeader/>
          <w:jc w:val="center"/>
        </w:trPr>
        <w:tc>
          <w:tcPr>
            <w:tcW w:w="4248" w:type="dxa"/>
            <w:vAlign w:val="center"/>
          </w:tcPr>
          <w:p w14:paraId="77D00617" w14:textId="77777777" w:rsidR="00D13CF2" w:rsidRPr="00E1065A" w:rsidRDefault="00D13CF2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b/>
                <w:sz w:val="19"/>
                <w:szCs w:val="20"/>
              </w:rPr>
              <w:t>Variable</w:t>
            </w:r>
          </w:p>
        </w:tc>
        <w:tc>
          <w:tcPr>
            <w:tcW w:w="3153" w:type="dxa"/>
            <w:vAlign w:val="center"/>
          </w:tcPr>
          <w:p w14:paraId="0286A4C2" w14:textId="77777777" w:rsidR="00D13CF2" w:rsidRPr="00E1065A" w:rsidRDefault="00D13CF2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b/>
                <w:sz w:val="19"/>
                <w:szCs w:val="20"/>
              </w:rPr>
              <w:t>Category</w:t>
            </w:r>
          </w:p>
        </w:tc>
        <w:tc>
          <w:tcPr>
            <w:tcW w:w="1763" w:type="dxa"/>
            <w:vAlign w:val="center"/>
          </w:tcPr>
          <w:p w14:paraId="026B5875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b/>
                <w:sz w:val="19"/>
                <w:szCs w:val="20"/>
              </w:rPr>
              <w:t>Adjusted OR (95% CI)</w:t>
            </w:r>
          </w:p>
        </w:tc>
        <w:tc>
          <w:tcPr>
            <w:tcW w:w="788" w:type="dxa"/>
            <w:vAlign w:val="center"/>
          </w:tcPr>
          <w:p w14:paraId="6B2D39E6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b/>
                <w:sz w:val="19"/>
              </w:rPr>
              <w:t>P value</w:t>
            </w:r>
          </w:p>
        </w:tc>
      </w:tr>
      <w:tr w:rsidR="00D13CF2" w:rsidRPr="00E1065A" w14:paraId="5866B669" w14:textId="77777777" w:rsidTr="006316BE">
        <w:trPr>
          <w:jc w:val="center"/>
        </w:trPr>
        <w:tc>
          <w:tcPr>
            <w:tcW w:w="4248" w:type="dxa"/>
            <w:vAlign w:val="center"/>
          </w:tcPr>
          <w:p w14:paraId="1624A3C1" w14:textId="77777777" w:rsidR="00D13CF2" w:rsidRPr="00CB178A" w:rsidRDefault="00D13CF2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sz w:val="19"/>
              </w:rPr>
              <w:t>Age group</w:t>
            </w:r>
          </w:p>
        </w:tc>
        <w:tc>
          <w:tcPr>
            <w:tcW w:w="3153" w:type="dxa"/>
            <w:vAlign w:val="center"/>
          </w:tcPr>
          <w:p w14:paraId="16AAE31B" w14:textId="77777777" w:rsidR="00D13CF2" w:rsidRPr="00E1065A" w:rsidRDefault="00D13CF2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482A5D">
              <w:rPr>
                <w:rFonts w:cs="Arial"/>
                <w:sz w:val="19"/>
                <w:szCs w:val="20"/>
              </w:rPr>
              <w:t>≥</w:t>
            </w:r>
            <w:r w:rsidRPr="00E1065A">
              <w:rPr>
                <w:rFonts w:cs="Arial"/>
                <w:sz w:val="19"/>
                <w:szCs w:val="20"/>
              </w:rPr>
              <w:t>70</w:t>
            </w:r>
          </w:p>
        </w:tc>
        <w:tc>
          <w:tcPr>
            <w:tcW w:w="1763" w:type="dxa"/>
            <w:vAlign w:val="center"/>
          </w:tcPr>
          <w:p w14:paraId="34D73AEE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1 (reference)</w:t>
            </w:r>
          </w:p>
        </w:tc>
        <w:tc>
          <w:tcPr>
            <w:tcW w:w="788" w:type="dxa"/>
            <w:vAlign w:val="center"/>
          </w:tcPr>
          <w:p w14:paraId="3FFC982C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13CF2" w:rsidRPr="00E1065A" w14:paraId="0AEA7385" w14:textId="77777777" w:rsidTr="006316BE">
        <w:trPr>
          <w:jc w:val="center"/>
        </w:trPr>
        <w:tc>
          <w:tcPr>
            <w:tcW w:w="4248" w:type="dxa"/>
            <w:vAlign w:val="center"/>
          </w:tcPr>
          <w:p w14:paraId="7770BF98" w14:textId="77777777" w:rsidR="00D13CF2" w:rsidRPr="00CB178A" w:rsidRDefault="00D13CF2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14:paraId="3B73282C" w14:textId="77777777" w:rsidR="00D13CF2" w:rsidRPr="00E1065A" w:rsidRDefault="00D13CF2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&lt;70</w:t>
            </w:r>
          </w:p>
        </w:tc>
        <w:tc>
          <w:tcPr>
            <w:tcW w:w="1763" w:type="dxa"/>
            <w:vAlign w:val="center"/>
          </w:tcPr>
          <w:p w14:paraId="4BD906DC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1.19 (0.77-1.83)</w:t>
            </w:r>
          </w:p>
        </w:tc>
        <w:tc>
          <w:tcPr>
            <w:tcW w:w="788" w:type="dxa"/>
            <w:vAlign w:val="center"/>
          </w:tcPr>
          <w:p w14:paraId="5FE90ED2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.441</w:t>
            </w:r>
          </w:p>
        </w:tc>
      </w:tr>
      <w:tr w:rsidR="00D13CF2" w:rsidRPr="00E1065A" w14:paraId="40FC5156" w14:textId="77777777" w:rsidTr="006316BE">
        <w:trPr>
          <w:jc w:val="center"/>
        </w:trPr>
        <w:tc>
          <w:tcPr>
            <w:tcW w:w="4248" w:type="dxa"/>
            <w:vAlign w:val="center"/>
          </w:tcPr>
          <w:p w14:paraId="5F5E7800" w14:textId="77777777" w:rsidR="00D13CF2" w:rsidRPr="00CB178A" w:rsidRDefault="00D13CF2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CB178A">
              <w:rPr>
                <w:rFonts w:cs="Arial"/>
                <w:b/>
                <w:bCs/>
                <w:sz w:val="19"/>
                <w:szCs w:val="20"/>
              </w:rPr>
              <w:t>Sex</w:t>
            </w:r>
          </w:p>
        </w:tc>
        <w:tc>
          <w:tcPr>
            <w:tcW w:w="3153" w:type="dxa"/>
            <w:vAlign w:val="center"/>
          </w:tcPr>
          <w:p w14:paraId="462E8B2A" w14:textId="77777777" w:rsidR="00D13CF2" w:rsidRPr="00E1065A" w:rsidRDefault="00D13CF2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Female</w:t>
            </w:r>
          </w:p>
        </w:tc>
        <w:tc>
          <w:tcPr>
            <w:tcW w:w="1763" w:type="dxa"/>
            <w:vAlign w:val="center"/>
          </w:tcPr>
          <w:p w14:paraId="029DAB12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1 (reference)</w:t>
            </w:r>
          </w:p>
        </w:tc>
        <w:tc>
          <w:tcPr>
            <w:tcW w:w="788" w:type="dxa"/>
            <w:vAlign w:val="center"/>
          </w:tcPr>
          <w:p w14:paraId="75B878B9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13CF2" w:rsidRPr="00E1065A" w14:paraId="023749F6" w14:textId="77777777" w:rsidTr="006316BE">
        <w:trPr>
          <w:jc w:val="center"/>
        </w:trPr>
        <w:tc>
          <w:tcPr>
            <w:tcW w:w="4248" w:type="dxa"/>
            <w:vAlign w:val="center"/>
          </w:tcPr>
          <w:p w14:paraId="2AC93206" w14:textId="77777777" w:rsidR="00D13CF2" w:rsidRPr="00CB178A" w:rsidRDefault="00D13CF2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14:paraId="0390EB99" w14:textId="77777777" w:rsidR="00D13CF2" w:rsidRPr="00E1065A" w:rsidRDefault="00D13CF2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Male</w:t>
            </w:r>
          </w:p>
        </w:tc>
        <w:tc>
          <w:tcPr>
            <w:tcW w:w="1763" w:type="dxa"/>
            <w:vAlign w:val="center"/>
          </w:tcPr>
          <w:p w14:paraId="69AAF0C5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0.57 (0.38-0.86)</w:t>
            </w:r>
          </w:p>
        </w:tc>
        <w:tc>
          <w:tcPr>
            <w:tcW w:w="788" w:type="dxa"/>
            <w:vAlign w:val="center"/>
          </w:tcPr>
          <w:p w14:paraId="5DE3AB81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b/>
                <w:sz w:val="19"/>
                <w:szCs w:val="20"/>
              </w:rPr>
              <w:t>.007</w:t>
            </w:r>
          </w:p>
        </w:tc>
      </w:tr>
      <w:tr w:rsidR="00D13CF2" w:rsidRPr="00E1065A" w14:paraId="266EFFC2" w14:textId="77777777" w:rsidTr="006316BE">
        <w:trPr>
          <w:jc w:val="center"/>
        </w:trPr>
        <w:tc>
          <w:tcPr>
            <w:tcW w:w="4248" w:type="dxa"/>
            <w:vAlign w:val="center"/>
          </w:tcPr>
          <w:p w14:paraId="1E1D0A88" w14:textId="77777777" w:rsidR="00D13CF2" w:rsidRPr="00CB178A" w:rsidRDefault="00D13CF2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CB178A">
              <w:rPr>
                <w:rFonts w:cs="Arial"/>
                <w:b/>
                <w:bCs/>
                <w:sz w:val="19"/>
                <w:szCs w:val="20"/>
              </w:rPr>
              <w:t>Socioeconomic vulnerability</w:t>
            </w:r>
          </w:p>
        </w:tc>
        <w:tc>
          <w:tcPr>
            <w:tcW w:w="3153" w:type="dxa"/>
            <w:vAlign w:val="center"/>
          </w:tcPr>
          <w:p w14:paraId="5B29C4AB" w14:textId="77777777" w:rsidR="00D13CF2" w:rsidRPr="00E1065A" w:rsidRDefault="00D13CF2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High</w:t>
            </w:r>
          </w:p>
        </w:tc>
        <w:tc>
          <w:tcPr>
            <w:tcW w:w="1763" w:type="dxa"/>
            <w:vAlign w:val="center"/>
          </w:tcPr>
          <w:p w14:paraId="6C6ACCFA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1 (reference)</w:t>
            </w:r>
          </w:p>
        </w:tc>
        <w:tc>
          <w:tcPr>
            <w:tcW w:w="788" w:type="dxa"/>
            <w:vAlign w:val="center"/>
          </w:tcPr>
          <w:p w14:paraId="5846927F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13CF2" w:rsidRPr="00E1065A" w14:paraId="6EB902BF" w14:textId="77777777" w:rsidTr="006316BE">
        <w:trPr>
          <w:jc w:val="center"/>
        </w:trPr>
        <w:tc>
          <w:tcPr>
            <w:tcW w:w="4248" w:type="dxa"/>
            <w:vAlign w:val="center"/>
          </w:tcPr>
          <w:p w14:paraId="0B56855B" w14:textId="77777777" w:rsidR="00D13CF2" w:rsidRPr="00CB178A" w:rsidRDefault="00D13CF2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14:paraId="1146994D" w14:textId="77777777" w:rsidR="00D13CF2" w:rsidRPr="00E1065A" w:rsidRDefault="00D13CF2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 xml:space="preserve">Low </w:t>
            </w:r>
          </w:p>
        </w:tc>
        <w:tc>
          <w:tcPr>
            <w:tcW w:w="1763" w:type="dxa"/>
            <w:vAlign w:val="center"/>
          </w:tcPr>
          <w:p w14:paraId="5C73DD03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1.65 (1.11-2.46)</w:t>
            </w:r>
          </w:p>
        </w:tc>
        <w:tc>
          <w:tcPr>
            <w:tcW w:w="788" w:type="dxa"/>
            <w:vAlign w:val="center"/>
          </w:tcPr>
          <w:p w14:paraId="63F2A536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b/>
                <w:sz w:val="19"/>
                <w:szCs w:val="20"/>
              </w:rPr>
              <w:t>.014</w:t>
            </w:r>
          </w:p>
        </w:tc>
      </w:tr>
      <w:tr w:rsidR="00D13CF2" w:rsidRPr="00E1065A" w14:paraId="2CD07C34" w14:textId="77777777" w:rsidTr="006316BE">
        <w:trPr>
          <w:jc w:val="center"/>
        </w:trPr>
        <w:tc>
          <w:tcPr>
            <w:tcW w:w="4248" w:type="dxa"/>
            <w:vAlign w:val="center"/>
          </w:tcPr>
          <w:p w14:paraId="4AAB5C70" w14:textId="77777777" w:rsidR="00D13CF2" w:rsidRPr="00CB178A" w:rsidRDefault="00D13CF2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sz w:val="19"/>
              </w:rPr>
              <w:t>Disease stage</w:t>
            </w:r>
          </w:p>
        </w:tc>
        <w:tc>
          <w:tcPr>
            <w:tcW w:w="3153" w:type="dxa"/>
            <w:vAlign w:val="center"/>
          </w:tcPr>
          <w:p w14:paraId="2B0602B1" w14:textId="77777777" w:rsidR="00D13CF2" w:rsidRPr="00E1065A" w:rsidRDefault="00D13CF2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Advanced</w:t>
            </w:r>
            <w:r>
              <w:rPr>
                <w:rFonts w:cs="Arial"/>
                <w:sz w:val="19"/>
                <w:szCs w:val="20"/>
              </w:rPr>
              <w:t>, unresectable</w:t>
            </w:r>
          </w:p>
        </w:tc>
        <w:tc>
          <w:tcPr>
            <w:tcW w:w="1763" w:type="dxa"/>
            <w:vAlign w:val="center"/>
          </w:tcPr>
          <w:p w14:paraId="20A1F727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1 (reference)</w:t>
            </w:r>
          </w:p>
        </w:tc>
        <w:tc>
          <w:tcPr>
            <w:tcW w:w="788" w:type="dxa"/>
            <w:vAlign w:val="center"/>
          </w:tcPr>
          <w:p w14:paraId="00934526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b/>
                <w:sz w:val="19"/>
                <w:szCs w:val="20"/>
              </w:rPr>
              <w:t>.009</w:t>
            </w:r>
          </w:p>
        </w:tc>
      </w:tr>
      <w:tr w:rsidR="00D13CF2" w:rsidRPr="00E1065A" w14:paraId="78D3DD85" w14:textId="77777777" w:rsidTr="006316BE">
        <w:trPr>
          <w:jc w:val="center"/>
        </w:trPr>
        <w:tc>
          <w:tcPr>
            <w:tcW w:w="4248" w:type="dxa"/>
            <w:vAlign w:val="center"/>
          </w:tcPr>
          <w:p w14:paraId="55398F9D" w14:textId="77777777" w:rsidR="00D13CF2" w:rsidRPr="00CB178A" w:rsidRDefault="00D13CF2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14:paraId="1C474C45" w14:textId="77777777" w:rsidR="00D13CF2" w:rsidRPr="00E1065A" w:rsidRDefault="00D13CF2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Localized</w:t>
            </w:r>
          </w:p>
        </w:tc>
        <w:tc>
          <w:tcPr>
            <w:tcW w:w="1763" w:type="dxa"/>
            <w:vAlign w:val="center"/>
          </w:tcPr>
          <w:p w14:paraId="7645C722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1.79 (1.08-2.96)</w:t>
            </w:r>
          </w:p>
        </w:tc>
        <w:tc>
          <w:tcPr>
            <w:tcW w:w="788" w:type="dxa"/>
            <w:vAlign w:val="center"/>
          </w:tcPr>
          <w:p w14:paraId="6DF55BE9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b/>
                <w:sz w:val="19"/>
                <w:szCs w:val="20"/>
              </w:rPr>
              <w:t>.024</w:t>
            </w:r>
          </w:p>
        </w:tc>
      </w:tr>
      <w:tr w:rsidR="00D13CF2" w:rsidRPr="00E1065A" w14:paraId="60C865BA" w14:textId="77777777" w:rsidTr="006316BE">
        <w:trPr>
          <w:jc w:val="center"/>
        </w:trPr>
        <w:tc>
          <w:tcPr>
            <w:tcW w:w="4248" w:type="dxa"/>
            <w:vAlign w:val="center"/>
          </w:tcPr>
          <w:p w14:paraId="72E63C76" w14:textId="77777777" w:rsidR="00D13CF2" w:rsidRPr="00CB178A" w:rsidRDefault="00D13CF2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14:paraId="05AA7288" w14:textId="77777777" w:rsidR="00D13CF2" w:rsidRPr="00E1065A" w:rsidRDefault="00D13CF2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Locally advanced</w:t>
            </w:r>
            <w:r>
              <w:rPr>
                <w:rFonts w:cs="Arial"/>
                <w:sz w:val="19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 w:val="19"/>
                <w:szCs w:val="20"/>
              </w:rPr>
              <w:t>resectable</w:t>
            </w:r>
            <w:proofErr w:type="spellEnd"/>
          </w:p>
        </w:tc>
        <w:tc>
          <w:tcPr>
            <w:tcW w:w="1763" w:type="dxa"/>
            <w:vAlign w:val="center"/>
          </w:tcPr>
          <w:p w14:paraId="76F88207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1.98 (1.22-3.21)</w:t>
            </w:r>
          </w:p>
        </w:tc>
        <w:tc>
          <w:tcPr>
            <w:tcW w:w="788" w:type="dxa"/>
            <w:vAlign w:val="center"/>
          </w:tcPr>
          <w:p w14:paraId="36A13058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b/>
                <w:sz w:val="19"/>
                <w:szCs w:val="20"/>
              </w:rPr>
              <w:t>.006</w:t>
            </w:r>
          </w:p>
        </w:tc>
      </w:tr>
      <w:tr w:rsidR="00D13CF2" w:rsidRPr="00E1065A" w14:paraId="427F2B2A" w14:textId="77777777" w:rsidTr="006316BE">
        <w:trPr>
          <w:jc w:val="center"/>
        </w:trPr>
        <w:tc>
          <w:tcPr>
            <w:tcW w:w="4248" w:type="dxa"/>
            <w:vAlign w:val="center"/>
          </w:tcPr>
          <w:p w14:paraId="02F36E89" w14:textId="77777777" w:rsidR="00D13CF2" w:rsidRPr="00CB178A" w:rsidRDefault="00D13CF2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CB178A">
              <w:rPr>
                <w:rFonts w:cs="Arial"/>
                <w:b/>
                <w:bCs/>
                <w:sz w:val="19"/>
                <w:szCs w:val="20"/>
              </w:rPr>
              <w:t>Neutrophil-to-lymphocyte ratio (NLR)</w:t>
            </w:r>
          </w:p>
        </w:tc>
        <w:tc>
          <w:tcPr>
            <w:tcW w:w="3153" w:type="dxa"/>
            <w:vAlign w:val="center"/>
          </w:tcPr>
          <w:p w14:paraId="4FE428B4" w14:textId="77777777" w:rsidR="00D13CF2" w:rsidRPr="00E1065A" w:rsidRDefault="00D13CF2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9"/>
                <w:szCs w:val="20"/>
              </w:rPr>
              <w:t>≥</w:t>
            </w:r>
            <w:r w:rsidRPr="00E1065A">
              <w:rPr>
                <w:rFonts w:cs="Arial"/>
                <w:sz w:val="19"/>
                <w:szCs w:val="20"/>
              </w:rPr>
              <w:t>4</w:t>
            </w:r>
          </w:p>
        </w:tc>
        <w:tc>
          <w:tcPr>
            <w:tcW w:w="1763" w:type="dxa"/>
            <w:vAlign w:val="center"/>
          </w:tcPr>
          <w:p w14:paraId="7EFA5E4D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1 (reference)</w:t>
            </w:r>
          </w:p>
        </w:tc>
        <w:tc>
          <w:tcPr>
            <w:tcW w:w="788" w:type="dxa"/>
            <w:vAlign w:val="center"/>
          </w:tcPr>
          <w:p w14:paraId="6600A9CE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13CF2" w:rsidRPr="00E1065A" w14:paraId="47528553" w14:textId="77777777" w:rsidTr="006316BE">
        <w:trPr>
          <w:jc w:val="center"/>
        </w:trPr>
        <w:tc>
          <w:tcPr>
            <w:tcW w:w="4248" w:type="dxa"/>
            <w:vAlign w:val="center"/>
          </w:tcPr>
          <w:p w14:paraId="23A7B03E" w14:textId="77777777" w:rsidR="00D13CF2" w:rsidRPr="00E1065A" w:rsidRDefault="00D13CF2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14:paraId="73210706" w14:textId="77777777" w:rsidR="00D13CF2" w:rsidRPr="00E1065A" w:rsidRDefault="00D13CF2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&lt;4</w:t>
            </w:r>
          </w:p>
        </w:tc>
        <w:tc>
          <w:tcPr>
            <w:tcW w:w="1763" w:type="dxa"/>
            <w:vAlign w:val="center"/>
          </w:tcPr>
          <w:p w14:paraId="55175C7A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1.20 (0.78-1.86)</w:t>
            </w:r>
          </w:p>
        </w:tc>
        <w:tc>
          <w:tcPr>
            <w:tcW w:w="788" w:type="dxa"/>
            <w:vAlign w:val="center"/>
          </w:tcPr>
          <w:p w14:paraId="7C43925A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.404</w:t>
            </w:r>
          </w:p>
        </w:tc>
      </w:tr>
      <w:tr w:rsidR="00D13CF2" w:rsidRPr="00E1065A" w14:paraId="3305F1A3" w14:textId="77777777" w:rsidTr="006316BE">
        <w:trPr>
          <w:jc w:val="center"/>
        </w:trPr>
        <w:tc>
          <w:tcPr>
            <w:tcW w:w="4248" w:type="dxa"/>
            <w:vAlign w:val="center"/>
          </w:tcPr>
          <w:p w14:paraId="43D19A18" w14:textId="77777777" w:rsidR="00D13CF2" w:rsidRPr="00E1065A" w:rsidRDefault="00D13CF2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CB178A">
              <w:rPr>
                <w:rFonts w:cs="Arial"/>
                <w:b/>
                <w:bCs/>
                <w:sz w:val="19"/>
                <w:szCs w:val="20"/>
              </w:rPr>
              <w:t>Patient participation (PPS)</w:t>
            </w:r>
          </w:p>
        </w:tc>
        <w:tc>
          <w:tcPr>
            <w:tcW w:w="3153" w:type="dxa"/>
            <w:vAlign w:val="center"/>
          </w:tcPr>
          <w:p w14:paraId="5B11557F" w14:textId="77777777" w:rsidR="00D13CF2" w:rsidRPr="00E1065A" w:rsidRDefault="00D13CF2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High</w:t>
            </w:r>
          </w:p>
        </w:tc>
        <w:tc>
          <w:tcPr>
            <w:tcW w:w="1763" w:type="dxa"/>
            <w:vAlign w:val="center"/>
          </w:tcPr>
          <w:p w14:paraId="4309CD9E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1 (reference)</w:t>
            </w:r>
          </w:p>
        </w:tc>
        <w:tc>
          <w:tcPr>
            <w:tcW w:w="788" w:type="dxa"/>
            <w:vAlign w:val="center"/>
          </w:tcPr>
          <w:p w14:paraId="6A21F020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13CF2" w:rsidRPr="00E1065A" w14:paraId="069A3D00" w14:textId="77777777" w:rsidTr="006316BE">
        <w:trPr>
          <w:jc w:val="center"/>
        </w:trPr>
        <w:tc>
          <w:tcPr>
            <w:tcW w:w="4248" w:type="dxa"/>
            <w:vAlign w:val="center"/>
          </w:tcPr>
          <w:p w14:paraId="0613D748" w14:textId="77777777" w:rsidR="00D13CF2" w:rsidRPr="00E1065A" w:rsidRDefault="00D13CF2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14:paraId="42368932" w14:textId="77777777" w:rsidR="00D13CF2" w:rsidRPr="00E1065A" w:rsidRDefault="00D13CF2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 xml:space="preserve">Low </w:t>
            </w:r>
          </w:p>
        </w:tc>
        <w:tc>
          <w:tcPr>
            <w:tcW w:w="1763" w:type="dxa"/>
            <w:vAlign w:val="center"/>
          </w:tcPr>
          <w:p w14:paraId="413A2B2A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0.93 (0.63-1.37)</w:t>
            </w:r>
          </w:p>
        </w:tc>
        <w:tc>
          <w:tcPr>
            <w:tcW w:w="788" w:type="dxa"/>
            <w:vAlign w:val="center"/>
          </w:tcPr>
          <w:p w14:paraId="6F96C897" w14:textId="77777777" w:rsidR="00D13CF2" w:rsidRPr="00E1065A" w:rsidRDefault="00D13CF2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065A">
              <w:rPr>
                <w:rFonts w:cs="Arial"/>
                <w:sz w:val="19"/>
                <w:szCs w:val="20"/>
              </w:rPr>
              <w:t>.719</w:t>
            </w:r>
          </w:p>
        </w:tc>
      </w:tr>
    </w:tbl>
    <w:p w14:paraId="6622CB17" w14:textId="77777777" w:rsidR="00D13CF2" w:rsidRPr="00CB178A" w:rsidRDefault="00D13CF2" w:rsidP="00D13CF2">
      <w:pPr>
        <w:jc w:val="both"/>
        <w:rPr>
          <w:rFonts w:cs="Arial"/>
          <w:sz w:val="20"/>
          <w:szCs w:val="20"/>
        </w:rPr>
      </w:pPr>
      <w:r>
        <w:rPr>
          <w:sz w:val="19"/>
        </w:rPr>
        <w:t>Model performance: Omnibus chi-square = 38.24, P &lt; .001; −2 log-likelihood = 661.61; Cox and Snell R² = 0.049; Nagelkerke R² = 0.082; Hosmer-</w:t>
      </w:r>
      <w:proofErr w:type="spellStart"/>
      <w:r>
        <w:rPr>
          <w:sz w:val="19"/>
        </w:rPr>
        <w:t>Lemeshow</w:t>
      </w:r>
      <w:proofErr w:type="spellEnd"/>
      <w:r>
        <w:rPr>
          <w:sz w:val="19"/>
        </w:rPr>
        <w:t xml:space="preserve"> chi-square = 5.32, P = .723; AUC = 0.668 (95% CI 0.619-0.718); Brier score = 0.137.</w:t>
      </w:r>
    </w:p>
    <w:p w14:paraId="5FD623FE" w14:textId="77777777" w:rsidR="00D13CF2" w:rsidRDefault="00D13CF2" w:rsidP="00D13CF2">
      <w:pPr>
        <w:jc w:val="both"/>
        <w:rPr>
          <w:rFonts w:cs="Arial"/>
          <w:sz w:val="20"/>
          <w:szCs w:val="20"/>
        </w:rPr>
      </w:pPr>
      <w:r>
        <w:rPr>
          <w:sz w:val="19"/>
        </w:rPr>
        <w:t xml:space="preserve">Note: Odds ratios (ORs) &gt;1 indicate higher odds of reporting high treatment efficacy expectations. </w:t>
      </w:r>
    </w:p>
    <w:p w14:paraId="352FC408" w14:textId="77777777" w:rsidR="00D13CF2" w:rsidRPr="00E1065A" w:rsidRDefault="00D13CF2" w:rsidP="00D13CF2">
      <w:pPr>
        <w:jc w:val="both"/>
        <w:rPr>
          <w:rFonts w:cs="Arial"/>
          <w:sz w:val="20"/>
          <w:szCs w:val="20"/>
        </w:rPr>
      </w:pPr>
      <w:r>
        <w:rPr>
          <w:sz w:val="19"/>
        </w:rPr>
        <w:t>Reference categories were age ≥70 years, female sex, high socioeconomic vulnerability, advanced, unresectable disease, NLR ≥4, and high patient participation (PPS).</w:t>
      </w:r>
    </w:p>
    <w:p w14:paraId="1094F5DE" w14:textId="77777777" w:rsidR="00146971" w:rsidRDefault="00146971"/>
    <w:sectPr w:rsidR="00146971" w:rsidSect="00D13CF2">
      <w:footerReference w:type="default" r:id="rId4"/>
      <w:pgSz w:w="12240" w:h="15840"/>
      <w:pgMar w:top="1077" w:right="1077" w:bottom="1077" w:left="1077" w:header="720" w:footer="720" w:gutter="0"/>
      <w:lnNumType w:countBy="1" w:distance="360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02AF2" w14:textId="77777777" w:rsidR="00D13CF2" w:rsidRDefault="00D13CF2">
    <w:pPr>
      <w:suppressLineNumbers/>
      <w:spacing w:line="240" w:lineRule="auto"/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6A"/>
    <w:rsid w:val="00146971"/>
    <w:rsid w:val="00721014"/>
    <w:rsid w:val="0082210E"/>
    <w:rsid w:val="00A8156A"/>
    <w:rsid w:val="00D1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8B1FB"/>
  <w15:chartTrackingRefBased/>
  <w15:docId w15:val="{73FC6F54-F0FD-4402-990A-2B25C5B61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CF2"/>
    <w:pPr>
      <w:spacing w:after="0" w:line="480" w:lineRule="auto"/>
    </w:pPr>
    <w:rPr>
      <w:rFonts w:ascii="Arial" w:eastAsia="Arial" w:hAnsi="Arial"/>
      <w:kern w:val="0"/>
      <w:sz w:val="21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815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15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156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8156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156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156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156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156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156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15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15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815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815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815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815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815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815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815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815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81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8156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815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156A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815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8156A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815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15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15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8156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D13CF2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D13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984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Jimenez-Fonseca</dc:creator>
  <cp:keywords/>
  <dc:description/>
  <cp:lastModifiedBy>Paula Jimenez-Fonseca</cp:lastModifiedBy>
  <cp:revision>2</cp:revision>
  <dcterms:created xsi:type="dcterms:W3CDTF">2026-08-27T14:45:00Z</dcterms:created>
  <dcterms:modified xsi:type="dcterms:W3CDTF">2026-08-27T14:45:00Z</dcterms:modified>
</cp:coreProperties>
</file>