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1913D0" w14:textId="77777777" w:rsidR="002723EC" w:rsidRPr="00DC1FB1" w:rsidRDefault="002723EC" w:rsidP="00070E3A">
      <w:pPr>
        <w:spacing w:before="120" w:after="240" w:line="480" w:lineRule="auto"/>
        <w:jc w:val="both"/>
        <w:rPr>
          <w:b/>
          <w:bCs/>
          <w:lang w:val="en-GB"/>
        </w:rPr>
      </w:pPr>
      <w:r w:rsidRPr="00DC1FB1">
        <w:rPr>
          <w:b/>
          <w:bCs/>
          <w:lang w:val="en-GB"/>
        </w:rPr>
        <w:t>Supplementary material</w:t>
      </w:r>
    </w:p>
    <w:p w14:paraId="1B810D59" w14:textId="77777777" w:rsidR="002723EC" w:rsidRPr="00DC1FB1" w:rsidRDefault="002723EC" w:rsidP="00070E3A">
      <w:pPr>
        <w:spacing w:before="120" w:after="240" w:line="480" w:lineRule="auto"/>
        <w:jc w:val="both"/>
        <w:rPr>
          <w:b/>
          <w:bCs/>
          <w:lang w:val="en-GB"/>
        </w:rPr>
      </w:pPr>
      <w:r w:rsidRPr="00DC1FB1">
        <w:rPr>
          <w:b/>
          <w:bCs/>
          <w:lang w:val="en-GB"/>
        </w:rPr>
        <w:t xml:space="preserve">Granzyme A </w:t>
      </w:r>
      <w:r>
        <w:rPr>
          <w:b/>
          <w:bCs/>
          <w:lang w:val="en-GB"/>
        </w:rPr>
        <w:t>amplifies</w:t>
      </w:r>
      <w:r w:rsidRPr="00DC1FB1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human </w:t>
      </w:r>
      <w:r w:rsidRPr="00DC1FB1">
        <w:rPr>
          <w:b/>
          <w:bCs/>
          <w:lang w:val="en-GB"/>
        </w:rPr>
        <w:t xml:space="preserve">neutrophil </w:t>
      </w:r>
      <w:proofErr w:type="spellStart"/>
      <w:r w:rsidRPr="00DC1FB1">
        <w:rPr>
          <w:b/>
          <w:bCs/>
          <w:lang w:val="en-GB"/>
        </w:rPr>
        <w:t>pyroptosis</w:t>
      </w:r>
      <w:proofErr w:type="spellEnd"/>
    </w:p>
    <w:p w14:paraId="40E9DAC9" w14:textId="72CC43DE" w:rsidR="002723EC" w:rsidRPr="00DC1FB1" w:rsidRDefault="002723EC" w:rsidP="00070E3A">
      <w:pPr>
        <w:spacing w:before="240" w:after="240" w:line="480" w:lineRule="auto"/>
        <w:jc w:val="both"/>
        <w:rPr>
          <w:vertAlign w:val="superscript"/>
          <w:lang w:val="en-GB"/>
        </w:rPr>
      </w:pPr>
      <w:r w:rsidRPr="00DC1FB1">
        <w:rPr>
          <w:lang w:val="en-GB"/>
        </w:rPr>
        <w:t>Aleksandra Korba-Mikołajczyk</w:t>
      </w:r>
      <w:r w:rsidRPr="00DC1FB1">
        <w:rPr>
          <w:vertAlign w:val="superscript"/>
          <w:lang w:val="en-GB"/>
        </w:rPr>
        <w:t>1</w:t>
      </w:r>
      <w:r w:rsidRPr="00DC1FB1">
        <w:rPr>
          <w:lang w:val="en-GB"/>
        </w:rPr>
        <w:t>, Katarzyna Dominika Kotowska</w:t>
      </w:r>
      <w:r w:rsidRPr="00DC1FB1">
        <w:rPr>
          <w:vertAlign w:val="superscript"/>
          <w:lang w:val="en-GB"/>
        </w:rPr>
        <w:t>1</w:t>
      </w:r>
      <w:r>
        <w:rPr>
          <w:vertAlign w:val="superscript"/>
          <w:lang w:val="en-GB"/>
        </w:rPr>
        <w:t>#</w:t>
      </w:r>
      <w:r>
        <w:rPr>
          <w:lang w:val="en-GB"/>
        </w:rPr>
        <w:t>, E</w:t>
      </w:r>
      <w:r w:rsidRPr="00DC1FB1">
        <w:rPr>
          <w:lang w:val="en-GB"/>
        </w:rPr>
        <w:t>dyta Bielec</w:t>
      </w:r>
      <w:r w:rsidRPr="00DC1FB1">
        <w:rPr>
          <w:vertAlign w:val="superscript"/>
          <w:lang w:val="en-GB"/>
        </w:rPr>
        <w:t>1</w:t>
      </w:r>
      <w:r>
        <w:rPr>
          <w:vertAlign w:val="superscript"/>
          <w:lang w:val="en-GB"/>
        </w:rPr>
        <w:t>#</w:t>
      </w:r>
      <w:r w:rsidRPr="00DC1FB1">
        <w:rPr>
          <w:lang w:val="en-GB"/>
        </w:rPr>
        <w:t xml:space="preserve">, Kornelia </w:t>
      </w:r>
      <w:r w:rsidRPr="00BC73A1">
        <w:rPr>
          <w:lang w:val="en-GB"/>
        </w:rPr>
        <w:t>Steindel</w:t>
      </w:r>
      <w:r w:rsidRPr="00BC73A1">
        <w:rPr>
          <w:vertAlign w:val="superscript"/>
          <w:lang w:val="en-GB"/>
        </w:rPr>
        <w:t>1</w:t>
      </w:r>
      <w:r w:rsidRPr="00BC73A1">
        <w:rPr>
          <w:lang w:val="en-GB"/>
        </w:rPr>
        <w:t xml:space="preserve">, </w:t>
      </w:r>
      <w:r w:rsidR="00384345" w:rsidRPr="00DC1FB1">
        <w:rPr>
          <w:lang w:val="en-GB"/>
        </w:rPr>
        <w:t>Ronald Piotrowski</w:t>
      </w:r>
      <w:r w:rsidR="00384345" w:rsidRPr="00DC1FB1">
        <w:rPr>
          <w:vertAlign w:val="superscript"/>
          <w:lang w:val="en-GB"/>
        </w:rPr>
        <w:t>1</w:t>
      </w:r>
      <w:r w:rsidR="00384345" w:rsidRPr="00DC1FB1">
        <w:rPr>
          <w:lang w:val="en-GB"/>
        </w:rPr>
        <w:t>,</w:t>
      </w:r>
      <w:r w:rsidR="00384345">
        <w:rPr>
          <w:lang w:val="en-GB"/>
        </w:rPr>
        <w:t xml:space="preserve"> </w:t>
      </w:r>
      <w:r w:rsidRPr="00BC73A1">
        <w:rPr>
          <w:lang w:val="en-GB"/>
        </w:rPr>
        <w:t>Julia Miśkiewicz</w:t>
      </w:r>
      <w:r w:rsidRPr="00BC73A1">
        <w:rPr>
          <w:vertAlign w:val="superscript"/>
          <w:lang w:val="en-GB"/>
        </w:rPr>
        <w:t>1</w:t>
      </w:r>
      <w:r w:rsidRPr="00BC73A1">
        <w:rPr>
          <w:lang w:val="en-GB"/>
        </w:rPr>
        <w:t>, Melanie Brügger</w:t>
      </w:r>
      <w:r w:rsidRPr="00BC73A1">
        <w:rPr>
          <w:vertAlign w:val="superscript"/>
          <w:lang w:val="en-GB"/>
        </w:rPr>
        <w:t>2</w:t>
      </w:r>
      <w:r w:rsidRPr="00DC1FB1">
        <w:rPr>
          <w:highlight w:val="white"/>
          <w:vertAlign w:val="superscript"/>
          <w:lang w:val="en-GB"/>
        </w:rPr>
        <w:t>,3</w:t>
      </w:r>
      <w:r w:rsidRPr="00DC1FB1">
        <w:rPr>
          <w:highlight w:val="white"/>
          <w:lang w:val="en-GB"/>
        </w:rPr>
        <w:t>, Nedim Kozarac</w:t>
      </w:r>
      <w:r w:rsidRPr="00DC1FB1">
        <w:rPr>
          <w:highlight w:val="white"/>
          <w:vertAlign w:val="superscript"/>
          <w:lang w:val="en-GB"/>
        </w:rPr>
        <w:t>2,3,4</w:t>
      </w:r>
      <w:r w:rsidRPr="00DC1FB1">
        <w:rPr>
          <w:highlight w:val="white"/>
          <w:lang w:val="en-GB"/>
        </w:rPr>
        <w:t xml:space="preserve">, </w:t>
      </w:r>
      <w:r w:rsidRPr="00DC1FB1">
        <w:rPr>
          <w:lang w:val="en-GB"/>
        </w:rPr>
        <w:t>Scott Snipas</w:t>
      </w:r>
      <w:r w:rsidRPr="00DC1FB1">
        <w:rPr>
          <w:vertAlign w:val="superscript"/>
          <w:lang w:val="en-GB"/>
        </w:rPr>
        <w:t>5</w:t>
      </w:r>
      <w:r w:rsidRPr="00DC1FB1">
        <w:rPr>
          <w:lang w:val="en-GB"/>
        </w:rPr>
        <w:t xml:space="preserve"> Sonia Kołt</w:t>
      </w:r>
      <w:r w:rsidRPr="00DC1FB1">
        <w:rPr>
          <w:vertAlign w:val="superscript"/>
          <w:lang w:val="en-GB"/>
        </w:rPr>
        <w:t>1</w:t>
      </w:r>
      <w:r w:rsidRPr="00DC1FB1">
        <w:rPr>
          <w:highlight w:val="white"/>
          <w:lang w:val="en-GB"/>
        </w:rPr>
        <w:t>, Stanisław Potoczek</w:t>
      </w:r>
      <w:r w:rsidRPr="00DC1FB1">
        <w:rPr>
          <w:highlight w:val="white"/>
          <w:vertAlign w:val="superscript"/>
          <w:lang w:val="en-GB"/>
        </w:rPr>
        <w:t>7</w:t>
      </w:r>
      <w:r w:rsidRPr="00DC1FB1">
        <w:rPr>
          <w:highlight w:val="white"/>
          <w:lang w:val="en-GB"/>
        </w:rPr>
        <w:t>, Jocelyn Wanjian</w:t>
      </w:r>
      <w:r w:rsidR="00E15A50">
        <w:rPr>
          <w:lang w:val="en-GB"/>
        </w:rPr>
        <w:t>-Tang</w:t>
      </w:r>
      <w:r w:rsidRPr="00DC1FB1">
        <w:rPr>
          <w:vertAlign w:val="superscript"/>
          <w:lang w:val="en-GB"/>
        </w:rPr>
        <w:t>8</w:t>
      </w:r>
      <w:r w:rsidRPr="00DC1FB1">
        <w:rPr>
          <w:lang w:val="en-GB"/>
        </w:rPr>
        <w:t>,</w:t>
      </w:r>
      <w:r w:rsidRPr="00DC1FB1">
        <w:rPr>
          <w:highlight w:val="white"/>
          <w:lang w:val="en-GB"/>
        </w:rPr>
        <w:t xml:space="preserve"> Daniel Kirchhofer</w:t>
      </w:r>
      <w:r w:rsidRPr="00DC1FB1">
        <w:rPr>
          <w:highlight w:val="white"/>
          <w:vertAlign w:val="superscript"/>
          <w:lang w:val="en-GB"/>
        </w:rPr>
        <w:t>8</w:t>
      </w:r>
      <w:r w:rsidRPr="00DC1FB1">
        <w:rPr>
          <w:highlight w:val="white"/>
          <w:lang w:val="en-GB"/>
        </w:rPr>
        <w:t>, Guy Salvesen</w:t>
      </w:r>
      <w:r w:rsidRPr="00DC1FB1">
        <w:rPr>
          <w:highlight w:val="white"/>
          <w:vertAlign w:val="superscript"/>
          <w:lang w:val="en-GB"/>
        </w:rPr>
        <w:t>5</w:t>
      </w:r>
      <w:r w:rsidRPr="00DC1FB1">
        <w:rPr>
          <w:highlight w:val="white"/>
          <w:lang w:val="en-GB"/>
        </w:rPr>
        <w:t>, Charaf Benarafa</w:t>
      </w:r>
      <w:r w:rsidRPr="00DC1FB1">
        <w:rPr>
          <w:highlight w:val="white"/>
          <w:vertAlign w:val="superscript"/>
          <w:lang w:val="en-GB"/>
        </w:rPr>
        <w:t>2</w:t>
      </w:r>
      <w:r w:rsidRPr="00DC1FB1">
        <w:rPr>
          <w:vertAlign w:val="superscript"/>
          <w:lang w:val="en-GB"/>
        </w:rPr>
        <w:t>,3,6</w:t>
      </w:r>
      <w:r w:rsidRPr="00DC1FB1">
        <w:rPr>
          <w:lang w:val="en-GB"/>
        </w:rPr>
        <w:t>, Paulina Kasperkiewicz</w:t>
      </w:r>
      <w:r w:rsidRPr="00DC1FB1">
        <w:rPr>
          <w:vertAlign w:val="superscript"/>
          <w:lang w:val="en-GB"/>
        </w:rPr>
        <w:t>1*</w:t>
      </w:r>
    </w:p>
    <w:p w14:paraId="667B277C" w14:textId="77777777" w:rsidR="002723EC" w:rsidRPr="00DC1FB1" w:rsidRDefault="002723EC" w:rsidP="00070E3A">
      <w:pPr>
        <w:spacing w:before="120" w:after="240" w:line="480" w:lineRule="auto"/>
        <w:jc w:val="both"/>
        <w:rPr>
          <w:lang w:val="en-GB"/>
        </w:rPr>
      </w:pPr>
      <w:r w:rsidRPr="00DC1FB1">
        <w:rPr>
          <w:vertAlign w:val="superscript"/>
          <w:lang w:val="en-GB"/>
        </w:rPr>
        <w:t>1</w:t>
      </w:r>
      <w:r w:rsidRPr="00DC1FB1">
        <w:rPr>
          <w:lang w:val="en-GB"/>
        </w:rPr>
        <w:t>Faculty of Chemistry, Wroclaw University of Science and Technology, Wroclaw, Poland</w:t>
      </w:r>
    </w:p>
    <w:p w14:paraId="1DA6B16A" w14:textId="77777777" w:rsidR="002723EC" w:rsidRPr="00DC1FB1" w:rsidRDefault="002723EC" w:rsidP="00070E3A">
      <w:pPr>
        <w:spacing w:before="120" w:after="240" w:line="480" w:lineRule="auto"/>
        <w:jc w:val="both"/>
        <w:rPr>
          <w:color w:val="222222"/>
          <w:highlight w:val="white"/>
          <w:lang w:val="en-GB"/>
        </w:rPr>
      </w:pPr>
      <w:r w:rsidRPr="00DC1FB1">
        <w:rPr>
          <w:color w:val="222222"/>
          <w:highlight w:val="white"/>
          <w:vertAlign w:val="superscript"/>
          <w:lang w:val="en-GB"/>
        </w:rPr>
        <w:t>2</w:t>
      </w:r>
      <w:r w:rsidRPr="00DC1FB1">
        <w:rPr>
          <w:color w:val="222222"/>
          <w:highlight w:val="white"/>
          <w:lang w:val="en-GB"/>
        </w:rPr>
        <w:t xml:space="preserve">Institute of Virology and Immunology IVI, </w:t>
      </w:r>
      <w:proofErr w:type="spellStart"/>
      <w:r w:rsidRPr="00DC1FB1">
        <w:rPr>
          <w:color w:val="222222"/>
          <w:highlight w:val="white"/>
          <w:lang w:val="en-GB"/>
        </w:rPr>
        <w:t>Mittelhäusern</w:t>
      </w:r>
      <w:proofErr w:type="spellEnd"/>
      <w:r w:rsidRPr="00DC1FB1">
        <w:rPr>
          <w:color w:val="222222"/>
          <w:highlight w:val="white"/>
          <w:lang w:val="en-GB"/>
        </w:rPr>
        <w:t>, Switzerland</w:t>
      </w:r>
    </w:p>
    <w:p w14:paraId="1EF10288" w14:textId="77777777" w:rsidR="002723EC" w:rsidRPr="00DC1FB1" w:rsidRDefault="002723EC" w:rsidP="00070E3A">
      <w:pPr>
        <w:spacing w:before="120" w:after="240" w:line="480" w:lineRule="auto"/>
        <w:jc w:val="both"/>
        <w:rPr>
          <w:color w:val="222222"/>
          <w:highlight w:val="white"/>
          <w:lang w:val="en-GB"/>
        </w:rPr>
      </w:pPr>
      <w:r w:rsidRPr="00DC1FB1">
        <w:rPr>
          <w:color w:val="222222"/>
          <w:highlight w:val="white"/>
          <w:vertAlign w:val="superscript"/>
          <w:lang w:val="en-GB"/>
        </w:rPr>
        <w:t>3</w:t>
      </w:r>
      <w:r w:rsidRPr="00DC1FB1">
        <w:rPr>
          <w:color w:val="222222"/>
          <w:highlight w:val="white"/>
          <w:lang w:val="en-GB"/>
        </w:rPr>
        <w:t xml:space="preserve">Department of Infectious Diseases and Pathobiology, </w:t>
      </w:r>
      <w:proofErr w:type="spellStart"/>
      <w:r w:rsidRPr="00DC1FB1">
        <w:rPr>
          <w:color w:val="222222"/>
          <w:highlight w:val="white"/>
          <w:lang w:val="en-GB"/>
        </w:rPr>
        <w:t>Vetsuisse</w:t>
      </w:r>
      <w:proofErr w:type="spellEnd"/>
      <w:r w:rsidRPr="00DC1FB1">
        <w:rPr>
          <w:color w:val="222222"/>
          <w:highlight w:val="white"/>
          <w:lang w:val="en-GB"/>
        </w:rPr>
        <w:t xml:space="preserve"> Faculty, University of Bern, Bern, Switzerland</w:t>
      </w:r>
    </w:p>
    <w:p w14:paraId="1EFAD8C6" w14:textId="77777777" w:rsidR="002723EC" w:rsidRPr="00DC1FB1" w:rsidRDefault="002723EC" w:rsidP="00070E3A">
      <w:pPr>
        <w:spacing w:before="120" w:after="240" w:line="480" w:lineRule="auto"/>
        <w:jc w:val="both"/>
        <w:rPr>
          <w:color w:val="222222"/>
          <w:highlight w:val="white"/>
          <w:lang w:val="en-GB"/>
        </w:rPr>
      </w:pPr>
      <w:r w:rsidRPr="00DC1FB1">
        <w:rPr>
          <w:color w:val="222222"/>
          <w:highlight w:val="white"/>
          <w:vertAlign w:val="superscript"/>
          <w:lang w:val="en-GB"/>
        </w:rPr>
        <w:t>4</w:t>
      </w:r>
      <w:r w:rsidRPr="00DC1FB1">
        <w:rPr>
          <w:color w:val="222222"/>
          <w:highlight w:val="white"/>
          <w:lang w:val="en-GB"/>
        </w:rPr>
        <w:t>Graduate School for Cellular and Biomedical Science, University of Bern, Bern, Switzerland</w:t>
      </w:r>
    </w:p>
    <w:p w14:paraId="185AF4B5" w14:textId="77777777" w:rsidR="002723EC" w:rsidRPr="00DC1FB1" w:rsidRDefault="002723EC" w:rsidP="00070E3A">
      <w:pPr>
        <w:spacing w:before="120" w:after="240" w:line="480" w:lineRule="auto"/>
        <w:jc w:val="both"/>
        <w:rPr>
          <w:color w:val="222222"/>
          <w:highlight w:val="white"/>
          <w:lang w:val="en-GB"/>
        </w:rPr>
      </w:pPr>
      <w:r w:rsidRPr="00DC1FB1">
        <w:rPr>
          <w:color w:val="222222"/>
          <w:highlight w:val="white"/>
          <w:vertAlign w:val="superscript"/>
          <w:lang w:val="en-GB"/>
        </w:rPr>
        <w:t>5</w:t>
      </w:r>
      <w:r w:rsidRPr="00DC1FB1">
        <w:rPr>
          <w:color w:val="222222"/>
          <w:highlight w:val="white"/>
          <w:lang w:val="en-GB"/>
        </w:rPr>
        <w:t xml:space="preserve">NCI Designated Cancer </w:t>
      </w:r>
      <w:proofErr w:type="spellStart"/>
      <w:r w:rsidRPr="00DC1FB1">
        <w:rPr>
          <w:color w:val="222222"/>
          <w:highlight w:val="white"/>
          <w:lang w:val="en-GB"/>
        </w:rPr>
        <w:t>Center</w:t>
      </w:r>
      <w:proofErr w:type="spellEnd"/>
      <w:r w:rsidRPr="00DC1FB1">
        <w:rPr>
          <w:color w:val="222222"/>
          <w:highlight w:val="white"/>
          <w:lang w:val="en-GB"/>
        </w:rPr>
        <w:t>, Sanford Burnham Prebys Medical Discovery Institute, 10901 North Torrey Pines Road, La Jolla, CA, 92037, United States of America</w:t>
      </w:r>
    </w:p>
    <w:p w14:paraId="746A6FE2" w14:textId="77777777" w:rsidR="002723EC" w:rsidRPr="00DC1FB1" w:rsidRDefault="002723EC" w:rsidP="00070E3A">
      <w:pPr>
        <w:spacing w:before="120" w:after="240" w:line="480" w:lineRule="auto"/>
        <w:jc w:val="both"/>
        <w:rPr>
          <w:color w:val="222222"/>
          <w:highlight w:val="white"/>
          <w:lang w:val="en-GB"/>
        </w:rPr>
      </w:pPr>
      <w:r w:rsidRPr="00DC1FB1">
        <w:rPr>
          <w:color w:val="222222"/>
          <w:highlight w:val="white"/>
          <w:vertAlign w:val="superscript"/>
          <w:lang w:val="en-GB"/>
        </w:rPr>
        <w:t>6</w:t>
      </w:r>
      <w:r w:rsidRPr="00DC1FB1">
        <w:rPr>
          <w:color w:val="222222"/>
          <w:highlight w:val="white"/>
          <w:lang w:val="en-GB"/>
        </w:rPr>
        <w:t xml:space="preserve">Multidisciplinary </w:t>
      </w:r>
      <w:proofErr w:type="spellStart"/>
      <w:r w:rsidRPr="00DC1FB1">
        <w:rPr>
          <w:color w:val="222222"/>
          <w:highlight w:val="white"/>
          <w:lang w:val="en-GB"/>
        </w:rPr>
        <w:t>Center</w:t>
      </w:r>
      <w:proofErr w:type="spellEnd"/>
      <w:r w:rsidRPr="00DC1FB1">
        <w:rPr>
          <w:color w:val="222222"/>
          <w:highlight w:val="white"/>
          <w:lang w:val="en-GB"/>
        </w:rPr>
        <w:t xml:space="preserve"> for Infectious Diseases (MCID), University of Bern, Bern, Switzerland</w:t>
      </w:r>
    </w:p>
    <w:p w14:paraId="325330C8" w14:textId="77777777" w:rsidR="002723EC" w:rsidRPr="00DC1FB1" w:rsidRDefault="002723EC" w:rsidP="00070E3A">
      <w:pPr>
        <w:spacing w:before="120" w:after="240" w:line="480" w:lineRule="auto"/>
        <w:jc w:val="both"/>
        <w:rPr>
          <w:color w:val="222222"/>
          <w:highlight w:val="white"/>
          <w:lang w:val="en-GB"/>
        </w:rPr>
      </w:pPr>
      <w:r w:rsidRPr="00DC1FB1">
        <w:rPr>
          <w:color w:val="222222"/>
          <w:vertAlign w:val="superscript"/>
          <w:lang w:val="en-GB"/>
        </w:rPr>
        <w:t>7</w:t>
      </w:r>
      <w:r w:rsidRPr="00DC1FB1">
        <w:rPr>
          <w:lang w:val="en-GB"/>
        </w:rPr>
        <w:t>C</w:t>
      </w:r>
      <w:r w:rsidRPr="00DC1FB1">
        <w:rPr>
          <w:color w:val="222222"/>
          <w:highlight w:val="white"/>
          <w:lang w:val="en-GB"/>
        </w:rPr>
        <w:t xml:space="preserve">linical Department of </w:t>
      </w:r>
      <w:proofErr w:type="spellStart"/>
      <w:r w:rsidRPr="00DC1FB1">
        <w:rPr>
          <w:color w:val="222222"/>
          <w:highlight w:val="white"/>
          <w:lang w:val="en-GB"/>
        </w:rPr>
        <w:t>Hematology</w:t>
      </w:r>
      <w:proofErr w:type="spellEnd"/>
      <w:r w:rsidRPr="00DC1FB1">
        <w:rPr>
          <w:color w:val="222222"/>
          <w:highlight w:val="white"/>
          <w:lang w:val="en-GB"/>
        </w:rPr>
        <w:t>, Cell Therapies and Internal Medicine, Wroclaw Medical University, Wrocław, Poland</w:t>
      </w:r>
    </w:p>
    <w:p w14:paraId="3C832FEA" w14:textId="77777777" w:rsidR="002723EC" w:rsidRDefault="002723EC" w:rsidP="00070E3A">
      <w:pPr>
        <w:spacing w:before="120" w:after="240" w:line="480" w:lineRule="auto"/>
        <w:jc w:val="both"/>
        <w:rPr>
          <w:lang w:val="en-GB"/>
        </w:rPr>
      </w:pPr>
      <w:r w:rsidRPr="00DC1FB1">
        <w:rPr>
          <w:vertAlign w:val="superscript"/>
          <w:lang w:val="en-GB"/>
        </w:rPr>
        <w:t>8</w:t>
      </w:r>
      <w:r w:rsidRPr="00DC1FB1">
        <w:rPr>
          <w:lang w:val="en-GB"/>
        </w:rPr>
        <w:t>Dept. of Early Discovery Biochemistry, Genentech Inc., 1 DNA Way, South San Francisco, CA 94080, United States of America</w:t>
      </w:r>
    </w:p>
    <w:p w14:paraId="0FD1F3E2" w14:textId="77777777" w:rsidR="002723EC" w:rsidRPr="00DC1FB1" w:rsidRDefault="002723EC" w:rsidP="00070E3A">
      <w:pPr>
        <w:spacing w:before="120" w:after="240" w:line="480" w:lineRule="auto"/>
        <w:jc w:val="both"/>
        <w:rPr>
          <w:lang w:val="en-GB"/>
        </w:rPr>
      </w:pPr>
      <w:r w:rsidRPr="002723EC">
        <w:rPr>
          <w:vertAlign w:val="superscript"/>
          <w:lang w:val="en-US"/>
        </w:rPr>
        <w:t>#</w:t>
      </w:r>
      <w:r w:rsidRPr="00B72691">
        <w:rPr>
          <w:lang w:val="en-US"/>
        </w:rPr>
        <w:t>These authors contributed equally to this work.</w:t>
      </w:r>
    </w:p>
    <w:p w14:paraId="0485F0B5" w14:textId="77777777" w:rsidR="002723EC" w:rsidRPr="00DC1FB1" w:rsidRDefault="002723EC" w:rsidP="00070E3A">
      <w:pPr>
        <w:spacing w:before="240" w:after="240" w:line="480" w:lineRule="auto"/>
        <w:jc w:val="both"/>
        <w:rPr>
          <w:b/>
          <w:bCs/>
          <w:lang w:val="en-GB"/>
        </w:rPr>
      </w:pPr>
      <w:r w:rsidRPr="00DC1FB1">
        <w:rPr>
          <w:b/>
          <w:bCs/>
          <w:lang w:val="en-GB"/>
        </w:rPr>
        <w:t>*Corresponding Author: paulina.kasperkiewicz@pwr.edu.pl</w:t>
      </w:r>
    </w:p>
    <w:p w14:paraId="21700DCC" w14:textId="77777777" w:rsidR="002723EC" w:rsidRPr="00DC1FB1" w:rsidRDefault="002723EC" w:rsidP="00070E3A">
      <w:pPr>
        <w:spacing w:before="240" w:after="240" w:line="480" w:lineRule="auto"/>
        <w:jc w:val="both"/>
        <w:rPr>
          <w:lang w:val="en-GB"/>
        </w:rPr>
      </w:pPr>
      <w:r w:rsidRPr="00DC1FB1">
        <w:rPr>
          <w:lang w:val="en-GB"/>
        </w:rPr>
        <w:lastRenderedPageBreak/>
        <w:t xml:space="preserve">Keywords: Granzyme A, Regulated Cell Death, Human Neutrophils, </w:t>
      </w:r>
      <w:proofErr w:type="spellStart"/>
      <w:r w:rsidRPr="00DC1FB1">
        <w:rPr>
          <w:lang w:val="en-GB"/>
        </w:rPr>
        <w:t>Gasdermins</w:t>
      </w:r>
      <w:proofErr w:type="spellEnd"/>
      <w:r w:rsidRPr="00DC1FB1">
        <w:rPr>
          <w:lang w:val="en-GB"/>
        </w:rPr>
        <w:t xml:space="preserve">, Serine Protease, </w:t>
      </w:r>
      <w:proofErr w:type="spellStart"/>
      <w:r>
        <w:rPr>
          <w:lang w:val="en-GB"/>
        </w:rPr>
        <w:t>P</w:t>
      </w:r>
      <w:r w:rsidRPr="00DC1FB1">
        <w:rPr>
          <w:lang w:val="en-GB"/>
        </w:rPr>
        <w:t>yroptosis</w:t>
      </w:r>
      <w:proofErr w:type="spellEnd"/>
    </w:p>
    <w:p w14:paraId="672FFA1A" w14:textId="77777777" w:rsidR="002723EC" w:rsidRPr="00DC1FB1" w:rsidRDefault="002723EC" w:rsidP="00070E3A">
      <w:pPr>
        <w:spacing w:line="480" w:lineRule="auto"/>
        <w:jc w:val="both"/>
        <w:rPr>
          <w:lang w:val="en-GB"/>
        </w:rPr>
      </w:pPr>
    </w:p>
    <w:p w14:paraId="369A9482" w14:textId="77777777" w:rsidR="002723EC" w:rsidRPr="00DC1FB1" w:rsidRDefault="002723EC" w:rsidP="00070E3A">
      <w:pPr>
        <w:spacing w:before="120" w:after="240" w:line="480" w:lineRule="auto"/>
        <w:jc w:val="both"/>
      </w:pPr>
      <w:r w:rsidRPr="00404E65">
        <w:rPr>
          <w:noProof/>
        </w:rPr>
        <w:lastRenderedPageBreak/>
        <w:drawing>
          <wp:inline distT="0" distB="0" distL="0" distR="0" wp14:anchorId="2C9D7527" wp14:editId="2FA42393">
            <wp:extent cx="5733415" cy="7843520"/>
            <wp:effectExtent l="0" t="0" r="0" b="5080"/>
            <wp:docPr id="1209774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77449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84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009A1" w14:textId="77777777" w:rsidR="002723EC" w:rsidRPr="008E0F16" w:rsidRDefault="002723EC" w:rsidP="00070E3A">
      <w:pPr>
        <w:spacing w:before="120" w:after="240" w:line="480" w:lineRule="auto"/>
        <w:jc w:val="both"/>
        <w:rPr>
          <w:lang w:val="en-GB"/>
        </w:rPr>
      </w:pPr>
      <w:r w:rsidRPr="00DC1FB1">
        <w:rPr>
          <w:b/>
          <w:bCs/>
          <w:lang w:val="en-GB"/>
        </w:rPr>
        <w:t>Supplementary Figure S1. Chemical analysis of iSK15 (A) and SK15.5 (B).</w:t>
      </w:r>
      <w:r w:rsidRPr="00DC1FB1">
        <w:rPr>
          <w:lang w:val="en-GB"/>
        </w:rPr>
        <w:t xml:space="preserve"> </w:t>
      </w:r>
      <w:r w:rsidRPr="008E0F16">
        <w:rPr>
          <w:lang w:val="en-GB"/>
        </w:rPr>
        <w:t>Verified purity and calculated masses.</w:t>
      </w:r>
    </w:p>
    <w:p w14:paraId="5B64370A" w14:textId="6A4C015C" w:rsidR="00D62866" w:rsidRDefault="002723EC" w:rsidP="00070E3A">
      <w:pPr>
        <w:spacing w:line="480" w:lineRule="auto"/>
        <w:jc w:val="both"/>
        <w:rPr>
          <w:noProof/>
        </w:rPr>
      </w:pPr>
      <w:r w:rsidRPr="008E0F16">
        <w:rPr>
          <w:lang w:val="en-GB"/>
        </w:rPr>
        <w:lastRenderedPageBreak/>
        <w:t xml:space="preserve"> </w:t>
      </w:r>
      <w:r w:rsidR="00D62866">
        <w:rPr>
          <w:noProof/>
          <w14:ligatures w14:val="standardContextual"/>
        </w:rPr>
        <w:drawing>
          <wp:inline distT="0" distB="0" distL="0" distR="0" wp14:anchorId="00DD1E63" wp14:editId="1C0678F3">
            <wp:extent cx="5760720" cy="5739130"/>
            <wp:effectExtent l="0" t="0" r="5080" b="1270"/>
            <wp:docPr id="187773260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732607" name="Obraz 187773260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3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E4D7E" w14:textId="50DD0D09" w:rsidR="002723EC" w:rsidRPr="008E0F16" w:rsidRDefault="002723EC" w:rsidP="00070E3A">
      <w:pPr>
        <w:spacing w:line="480" w:lineRule="auto"/>
        <w:jc w:val="both"/>
        <w:rPr>
          <w:lang w:val="en-GB"/>
        </w:rPr>
      </w:pPr>
      <w:r w:rsidRPr="00DC1FB1">
        <w:rPr>
          <w:b/>
          <w:bCs/>
          <w:lang w:val="en-GB"/>
        </w:rPr>
        <w:t xml:space="preserve">Supplementary Figure S2. Additional materials including iSK15 rescue of LPS pretreated cells </w:t>
      </w:r>
      <w:r w:rsidRPr="00D62866">
        <w:rPr>
          <w:b/>
          <w:bCs/>
          <w:lang w:val="en-GB"/>
        </w:rPr>
        <w:t xml:space="preserve">and induced with nigericin, </w:t>
      </w:r>
      <w:r w:rsidR="008C3E07">
        <w:rPr>
          <w:b/>
          <w:bCs/>
          <w:lang w:val="en-GB"/>
        </w:rPr>
        <w:t xml:space="preserve">and </w:t>
      </w:r>
      <w:r w:rsidRPr="00D62866">
        <w:rPr>
          <w:b/>
          <w:bCs/>
          <w:lang w:val="en-GB"/>
        </w:rPr>
        <w:t>gating strategies.</w:t>
      </w:r>
      <w:r w:rsidRPr="00D62866">
        <w:rPr>
          <w:b/>
          <w:bCs/>
          <w:lang w:val="en-GB"/>
        </w:rPr>
        <w:br/>
        <w:t xml:space="preserve">(A) </w:t>
      </w:r>
      <w:r w:rsidRPr="00D62866">
        <w:rPr>
          <w:lang w:val="en-GB"/>
        </w:rPr>
        <w:t xml:space="preserve">qPCR-based quantification of gene expression. Ct values of GZMA and ACTB amplification. Neutrophils were isolated from peripheral blood of healthy patients, n=5. </w:t>
      </w:r>
      <w:r w:rsidRPr="00D62866">
        <w:rPr>
          <w:b/>
          <w:bCs/>
          <w:lang w:val="en-GB"/>
        </w:rPr>
        <w:t xml:space="preserve">(B) </w:t>
      </w:r>
      <w:r w:rsidRPr="00D62866">
        <w:rPr>
          <w:rFonts w:eastAsia="Arial Unicode MS"/>
          <w:lang w:val="en-GB"/>
        </w:rPr>
        <w:t xml:space="preserve">Ct values for GZMA and ACTB in isolated neutrophils from healthy donors, along with the calculated </w:t>
      </w:r>
      <w:r w:rsidRPr="00D62866">
        <w:rPr>
          <w:rFonts w:eastAsia="Arial Unicode MS"/>
        </w:rPr>
        <w:t>Δ</w:t>
      </w:r>
      <w:r w:rsidRPr="00D62866">
        <w:rPr>
          <w:rFonts w:eastAsia="Arial Unicode MS"/>
          <w:lang w:val="en-GB"/>
        </w:rPr>
        <w:t>Ct and relative expression (2</w:t>
      </w:r>
      <w:r w:rsidRPr="006364E9">
        <w:rPr>
          <w:rFonts w:eastAsia="Arial Unicode MS"/>
          <w:vertAlign w:val="superscript"/>
          <w:lang w:val="en-GB"/>
        </w:rPr>
        <w:t>−</w:t>
      </w:r>
      <w:r w:rsidRPr="006364E9">
        <w:rPr>
          <w:rFonts w:eastAsia="Arial Unicode MS"/>
          <w:vertAlign w:val="superscript"/>
        </w:rPr>
        <w:t>Δ</w:t>
      </w:r>
      <w:r w:rsidRPr="006364E9">
        <w:rPr>
          <w:rFonts w:eastAsia="Arial Unicode MS"/>
          <w:vertAlign w:val="superscript"/>
          <w:lang w:val="en-GB"/>
        </w:rPr>
        <w:t>Ct</w:t>
      </w:r>
      <w:r w:rsidRPr="00D62866">
        <w:rPr>
          <w:rFonts w:eastAsia="Arial Unicode MS"/>
          <w:lang w:val="en-GB"/>
        </w:rPr>
        <w:t>).</w:t>
      </w:r>
      <w:r w:rsidRPr="00D62866">
        <w:rPr>
          <w:b/>
          <w:bCs/>
          <w:lang w:val="en-GB"/>
        </w:rPr>
        <w:t xml:space="preserve"> (</w:t>
      </w:r>
      <w:r w:rsidR="00D62866" w:rsidRPr="00D62866">
        <w:rPr>
          <w:b/>
          <w:bCs/>
          <w:lang w:val="en-GB"/>
        </w:rPr>
        <w:t>C</w:t>
      </w:r>
      <w:r w:rsidRPr="00D62866">
        <w:rPr>
          <w:b/>
          <w:bCs/>
          <w:lang w:val="en-GB"/>
        </w:rPr>
        <w:t>)</w:t>
      </w:r>
      <w:r w:rsidRPr="00D62866">
        <w:rPr>
          <w:lang w:val="en-GB"/>
        </w:rPr>
        <w:t xml:space="preserve"> Nigericin-induced cell death </w:t>
      </w:r>
      <w:proofErr w:type="spellStart"/>
      <w:r w:rsidRPr="00D62866">
        <w:rPr>
          <w:lang w:val="en-GB"/>
        </w:rPr>
        <w:t>timecourse</w:t>
      </w:r>
      <w:proofErr w:type="spellEnd"/>
      <w:r w:rsidRPr="00D62866">
        <w:rPr>
          <w:lang w:val="en-GB"/>
        </w:rPr>
        <w:t>. Neutrophils pre-treated for 1 hour with iSK15 and/or pretreated</w:t>
      </w:r>
      <w:r w:rsidRPr="00DC1FB1">
        <w:rPr>
          <w:lang w:val="en-GB"/>
        </w:rPr>
        <w:t xml:space="preserve"> with LPS for 3 hours. Cell death is assessed at time points by flow cytometry as the percentage of SYTOX Green-positive cells. </w:t>
      </w:r>
      <w:r w:rsidRPr="00DC1FB1">
        <w:rPr>
          <w:b/>
          <w:bCs/>
          <w:lang w:val="en-GB"/>
        </w:rPr>
        <w:lastRenderedPageBreak/>
        <w:t>(</w:t>
      </w:r>
      <w:r w:rsidR="00D62866">
        <w:rPr>
          <w:b/>
          <w:bCs/>
          <w:lang w:val="en-GB"/>
        </w:rPr>
        <w:t>D</w:t>
      </w:r>
      <w:r w:rsidRPr="00DC1FB1">
        <w:rPr>
          <w:b/>
          <w:bCs/>
          <w:lang w:val="en-GB"/>
        </w:rPr>
        <w:t>)</w:t>
      </w:r>
      <w:r w:rsidRPr="00DC1FB1">
        <w:rPr>
          <w:lang w:val="en-GB"/>
        </w:rPr>
        <w:t xml:space="preserve"> Representative confocal images of naïve and nigericin-stimulated (10 µM, 15 and 30 minutes) human neutrophils co-stained with antibodies against GrA (</w:t>
      </w:r>
      <w:proofErr w:type="spellStart"/>
      <w:r w:rsidRPr="00DC1FB1">
        <w:rPr>
          <w:lang w:val="en-GB"/>
        </w:rPr>
        <w:t>AlexaFluor</w:t>
      </w:r>
      <w:proofErr w:type="spellEnd"/>
      <w:r w:rsidRPr="00DC1FB1">
        <w:rPr>
          <w:lang w:val="en-GB"/>
        </w:rPr>
        <w:t xml:space="preserve"> 488, green) and perforin (</w:t>
      </w:r>
      <w:proofErr w:type="spellStart"/>
      <w:r w:rsidRPr="00DC1FB1">
        <w:rPr>
          <w:lang w:val="en-GB"/>
        </w:rPr>
        <w:t>AlexaFluor</w:t>
      </w:r>
      <w:proofErr w:type="spellEnd"/>
      <w:r w:rsidRPr="00DC1FB1">
        <w:rPr>
          <w:lang w:val="en-GB"/>
        </w:rPr>
        <w:t xml:space="preserve"> 680, red). Nuclei counterstained with Hoechst (blue). Scale bar, 10 µm. </w:t>
      </w:r>
      <w:r w:rsidRPr="00DC1FB1">
        <w:rPr>
          <w:b/>
          <w:bCs/>
          <w:lang w:val="en-GB"/>
        </w:rPr>
        <w:t>(</w:t>
      </w:r>
      <w:r w:rsidR="00D62866">
        <w:rPr>
          <w:b/>
          <w:bCs/>
          <w:lang w:val="en-GB"/>
        </w:rPr>
        <w:t>E</w:t>
      </w:r>
      <w:r w:rsidRPr="00DC1FB1">
        <w:rPr>
          <w:b/>
          <w:bCs/>
          <w:lang w:val="en-GB"/>
        </w:rPr>
        <w:t xml:space="preserve">) </w:t>
      </w:r>
      <w:r w:rsidRPr="00DC1FB1">
        <w:rPr>
          <w:lang w:val="en-GB"/>
        </w:rPr>
        <w:t xml:space="preserve">Representative gating strategy for neutrophil viability assay by flow cytometry. Granulocytes were identified by FSC/SSC profile, singlets selected by aspect ratio FSC, and dead cells defined as SYTOX Green-positive and representative gating strategy for </w:t>
      </w:r>
      <w:proofErr w:type="spellStart"/>
      <w:r w:rsidRPr="00DC1FB1">
        <w:rPr>
          <w:lang w:val="en-GB"/>
        </w:rPr>
        <w:t>CellROX</w:t>
      </w:r>
      <w:proofErr w:type="spellEnd"/>
      <w:r w:rsidRPr="00DC1FB1">
        <w:rPr>
          <w:lang w:val="en-GB"/>
        </w:rPr>
        <w:t xml:space="preserve"> ROS assay. Granulocytes and singlets gated as in flow cytometry gating; </w:t>
      </w:r>
      <w:proofErr w:type="spellStart"/>
      <w:r w:rsidRPr="00DC1FB1">
        <w:rPr>
          <w:lang w:val="en-GB"/>
        </w:rPr>
        <w:t>CellROX</w:t>
      </w:r>
      <w:proofErr w:type="spellEnd"/>
      <w:r w:rsidRPr="00DC1FB1">
        <w:rPr>
          <w:lang w:val="en-GB"/>
        </w:rPr>
        <w:t xml:space="preserve">-positive cells identified by SYTOX Green channel fluorescence. </w:t>
      </w:r>
    </w:p>
    <w:p w14:paraId="61AF92BE" w14:textId="77777777" w:rsidR="002723EC" w:rsidRPr="008C3E07" w:rsidRDefault="002723EC" w:rsidP="00070E3A">
      <w:pPr>
        <w:spacing w:before="120" w:after="240" w:line="480" w:lineRule="auto"/>
        <w:jc w:val="both"/>
        <w:rPr>
          <w:lang w:val="en-US"/>
        </w:rPr>
      </w:pPr>
      <w:r w:rsidRPr="00822A6A">
        <w:rPr>
          <w:b/>
          <w:bCs/>
          <w:noProof/>
        </w:rPr>
        <w:lastRenderedPageBreak/>
        <w:drawing>
          <wp:inline distT="0" distB="0" distL="0" distR="0" wp14:anchorId="077940E0" wp14:editId="51BA7351">
            <wp:extent cx="5733415" cy="7174865"/>
            <wp:effectExtent l="0" t="0" r="0" b="635"/>
            <wp:docPr id="2124529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911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17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1FB1">
        <w:rPr>
          <w:b/>
          <w:bCs/>
          <w:lang w:val="en-GB"/>
        </w:rPr>
        <w:br/>
        <w:t>Supplementary Figure S3.  Granzyme A and perforin expression in neutrophils from WT and GrA</w:t>
      </w:r>
      <w:r w:rsidRPr="00DC1FB1">
        <w:rPr>
          <w:b/>
          <w:bCs/>
          <w:vertAlign w:val="superscript"/>
          <w:lang w:val="en-GB"/>
        </w:rPr>
        <w:t>-/-</w:t>
      </w:r>
      <w:r w:rsidRPr="00DC1FB1">
        <w:rPr>
          <w:b/>
          <w:bCs/>
          <w:lang w:val="en-GB"/>
        </w:rPr>
        <w:t xml:space="preserve"> mice and characterization of iPSC-derived neutrophil-like cells.</w:t>
      </w:r>
      <w:r w:rsidRPr="00DC1FB1">
        <w:rPr>
          <w:b/>
          <w:bCs/>
          <w:lang w:val="en-GB"/>
        </w:rPr>
        <w:br/>
      </w:r>
      <w:r w:rsidRPr="00DC1FB1">
        <w:rPr>
          <w:lang w:val="en-GB"/>
        </w:rPr>
        <w:t>(</w:t>
      </w:r>
      <w:r w:rsidRPr="00DC1FB1">
        <w:rPr>
          <w:b/>
          <w:bCs/>
          <w:lang w:val="en-GB"/>
        </w:rPr>
        <w:t>A</w:t>
      </w:r>
      <w:r w:rsidRPr="00DC1FB1">
        <w:rPr>
          <w:lang w:val="en-GB"/>
        </w:rPr>
        <w:t>) Flow cytometry gating strategy. Representative dot plots of mouse blood cell subpopulations within CD45</w:t>
      </w:r>
      <w:r w:rsidRPr="00DC1FB1">
        <w:rPr>
          <w:vertAlign w:val="superscript"/>
          <w:lang w:val="en-GB"/>
        </w:rPr>
        <w:t>+</w:t>
      </w:r>
      <w:r w:rsidRPr="00DC1FB1">
        <w:rPr>
          <w:lang w:val="en-GB"/>
        </w:rPr>
        <w:t xml:space="preserve"> singlets shown as (1) B cells (CD11b</w:t>
      </w:r>
      <w:r w:rsidRPr="00DC1FB1">
        <w:rPr>
          <w:vertAlign w:val="superscript"/>
          <w:lang w:val="en-GB"/>
        </w:rPr>
        <w:t>neg</w:t>
      </w:r>
      <w:r w:rsidRPr="00DC1FB1">
        <w:rPr>
          <w:lang w:val="en-GB"/>
        </w:rPr>
        <w:t>, Ly6G</w:t>
      </w:r>
      <w:r w:rsidRPr="00DC1FB1">
        <w:rPr>
          <w:vertAlign w:val="superscript"/>
          <w:lang w:val="en-GB"/>
        </w:rPr>
        <w:t>neg</w:t>
      </w:r>
      <w:r w:rsidRPr="00DC1FB1">
        <w:rPr>
          <w:lang w:val="en-GB"/>
        </w:rPr>
        <w:t>, NK1.1</w:t>
      </w:r>
      <w:r w:rsidRPr="00DC1FB1">
        <w:rPr>
          <w:vertAlign w:val="superscript"/>
          <w:lang w:val="en-GB"/>
        </w:rPr>
        <w:t>neg</w:t>
      </w:r>
      <w:r w:rsidRPr="00DC1FB1">
        <w:rPr>
          <w:lang w:val="en-GB"/>
        </w:rPr>
        <w:t>, CD19</w:t>
      </w:r>
      <w:r w:rsidRPr="00DC1FB1">
        <w:rPr>
          <w:vertAlign w:val="superscript"/>
          <w:lang w:val="en-GB"/>
        </w:rPr>
        <w:t>+</w:t>
      </w:r>
      <w:r w:rsidRPr="00DC1FB1">
        <w:rPr>
          <w:lang w:val="en-GB"/>
        </w:rPr>
        <w:t>), (2) NK cells (CD11b</w:t>
      </w:r>
      <w:r w:rsidRPr="00DC1FB1">
        <w:rPr>
          <w:vertAlign w:val="superscript"/>
          <w:lang w:val="en-GB"/>
        </w:rPr>
        <w:t>neg</w:t>
      </w:r>
      <w:r w:rsidRPr="00DC1FB1">
        <w:rPr>
          <w:lang w:val="en-GB"/>
        </w:rPr>
        <w:t>, Ly6G</w:t>
      </w:r>
      <w:r w:rsidRPr="00DC1FB1">
        <w:rPr>
          <w:vertAlign w:val="superscript"/>
          <w:lang w:val="en-GB"/>
        </w:rPr>
        <w:t>neg</w:t>
      </w:r>
      <w:r w:rsidRPr="00DC1FB1">
        <w:rPr>
          <w:lang w:val="en-GB"/>
        </w:rPr>
        <w:t>, CD19</w:t>
      </w:r>
      <w:r w:rsidRPr="00DC1FB1">
        <w:rPr>
          <w:vertAlign w:val="superscript"/>
          <w:lang w:val="en-GB"/>
        </w:rPr>
        <w:t>neg</w:t>
      </w:r>
      <w:r w:rsidRPr="00DC1FB1">
        <w:rPr>
          <w:lang w:val="en-GB"/>
        </w:rPr>
        <w:t>, NK1.1</w:t>
      </w:r>
      <w:r w:rsidRPr="00DC1FB1">
        <w:rPr>
          <w:vertAlign w:val="superscript"/>
          <w:lang w:val="en-GB"/>
        </w:rPr>
        <w:t>+</w:t>
      </w:r>
      <w:r w:rsidRPr="00DC1FB1">
        <w:rPr>
          <w:lang w:val="en-GB"/>
        </w:rPr>
        <w:t>), and (3) neutrophils (CD11b</w:t>
      </w:r>
      <w:r w:rsidRPr="00DC1FB1">
        <w:rPr>
          <w:vertAlign w:val="superscript"/>
          <w:lang w:val="en-GB"/>
        </w:rPr>
        <w:t>+</w:t>
      </w:r>
      <w:r w:rsidRPr="00DC1FB1">
        <w:rPr>
          <w:lang w:val="en-GB"/>
        </w:rPr>
        <w:t xml:space="preserve">, </w:t>
      </w:r>
      <w:r w:rsidRPr="00DC1FB1">
        <w:rPr>
          <w:lang w:val="en-GB"/>
        </w:rPr>
        <w:lastRenderedPageBreak/>
        <w:t>Ly6G</w:t>
      </w:r>
      <w:r w:rsidRPr="00DC1FB1">
        <w:rPr>
          <w:vertAlign w:val="superscript"/>
          <w:lang w:val="en-GB"/>
        </w:rPr>
        <w:t>+</w:t>
      </w:r>
      <w:r w:rsidRPr="00DC1FB1">
        <w:rPr>
          <w:lang w:val="en-GB"/>
        </w:rPr>
        <w:t>). (</w:t>
      </w:r>
      <w:r w:rsidRPr="00DC1FB1">
        <w:rPr>
          <w:b/>
          <w:bCs/>
          <w:lang w:val="en-GB"/>
        </w:rPr>
        <w:t>B</w:t>
      </w:r>
      <w:r w:rsidRPr="00DC1FB1">
        <w:rPr>
          <w:lang w:val="en-GB"/>
        </w:rPr>
        <w:t>) Representative flow cytometry plots of leukocyte subsets showing intracellular staining for GrA and perforin in B cells, NK cells, and neutrophils from WT and GrA</w:t>
      </w:r>
      <w:r w:rsidRPr="00DC1FB1">
        <w:rPr>
          <w:vertAlign w:val="superscript"/>
          <w:lang w:val="en-GB"/>
        </w:rPr>
        <w:t>-/-</w:t>
      </w:r>
      <w:r w:rsidRPr="00DC1FB1">
        <w:rPr>
          <w:lang w:val="en-GB"/>
        </w:rPr>
        <w:t xml:space="preserve"> mice. (</w:t>
      </w:r>
      <w:r w:rsidRPr="00DC1FB1">
        <w:rPr>
          <w:b/>
          <w:bCs/>
          <w:lang w:val="en-GB"/>
        </w:rPr>
        <w:t>C</w:t>
      </w:r>
      <w:r w:rsidRPr="00DC1FB1">
        <w:rPr>
          <w:lang w:val="en-GB"/>
        </w:rPr>
        <w:t>) Quantification of the percentage of GrA</w:t>
      </w:r>
      <w:r w:rsidRPr="00DC1FB1">
        <w:rPr>
          <w:vertAlign w:val="superscript"/>
          <w:lang w:val="en-GB"/>
        </w:rPr>
        <w:t>+</w:t>
      </w:r>
      <w:r w:rsidRPr="00DC1FB1">
        <w:rPr>
          <w:lang w:val="en-GB"/>
        </w:rPr>
        <w:t xml:space="preserve"> and perforin</w:t>
      </w:r>
      <w:r w:rsidRPr="00DC1FB1">
        <w:rPr>
          <w:vertAlign w:val="superscript"/>
          <w:lang w:val="en-GB"/>
        </w:rPr>
        <w:t>+</w:t>
      </w:r>
      <w:r w:rsidRPr="00DC1FB1">
        <w:rPr>
          <w:lang w:val="en-GB"/>
        </w:rPr>
        <w:t xml:space="preserve"> cells within B cell, NK cell, and neutrophil populations in blood from WT and GrA</w:t>
      </w:r>
      <w:r w:rsidRPr="00DC1FB1">
        <w:rPr>
          <w:vertAlign w:val="superscript"/>
          <w:lang w:val="en-GB"/>
        </w:rPr>
        <w:t>+</w:t>
      </w:r>
      <w:r w:rsidRPr="00DC1FB1">
        <w:rPr>
          <w:lang w:val="en-GB"/>
        </w:rPr>
        <w:t>mice. (</w:t>
      </w:r>
      <w:r w:rsidRPr="00DC1FB1">
        <w:rPr>
          <w:b/>
          <w:bCs/>
          <w:lang w:val="en-GB"/>
        </w:rPr>
        <w:t>D</w:t>
      </w:r>
      <w:r w:rsidRPr="00DC1FB1">
        <w:rPr>
          <w:lang w:val="en-GB"/>
        </w:rPr>
        <w:t>) Quantification of GrA expression in bone marrow neutrophils from WT and GrA</w:t>
      </w:r>
      <w:r w:rsidRPr="00DC1FB1">
        <w:rPr>
          <w:vertAlign w:val="superscript"/>
          <w:lang w:val="en-GB"/>
        </w:rPr>
        <w:t>-/-</w:t>
      </w:r>
      <w:r w:rsidRPr="00DC1FB1">
        <w:rPr>
          <w:lang w:val="en-GB"/>
        </w:rPr>
        <w:t xml:space="preserve"> mice. Data are from two experiments with 6 mice/genotype (3 females and 3 males) and were </w:t>
      </w:r>
      <w:proofErr w:type="spellStart"/>
      <w:r w:rsidRPr="00DC1FB1">
        <w:rPr>
          <w:lang w:val="en-GB"/>
        </w:rPr>
        <w:t>analyzed</w:t>
      </w:r>
      <w:proofErr w:type="spellEnd"/>
      <w:r w:rsidRPr="00DC1FB1">
        <w:rPr>
          <w:lang w:val="en-GB"/>
        </w:rPr>
        <w:t xml:space="preserve"> by multiple unpaired t tests. Each dot represents one individual mouse; bars indicate mean ± SEM. </w:t>
      </w:r>
      <w:r w:rsidRPr="00DC1FB1">
        <w:rPr>
          <w:b/>
          <w:bCs/>
          <w:lang w:val="en-GB"/>
        </w:rPr>
        <w:t>(E)</w:t>
      </w:r>
      <w:r w:rsidRPr="00DC1FB1">
        <w:rPr>
          <w:lang w:val="en-GB"/>
        </w:rPr>
        <w:t xml:space="preserve"> Schematic of the iPSC-to-neutrophil differentiation protocol. iPSCs were expanded in E8 medium, formed into embryoid bodies (EBs) in E8 medium supplemented with 10 ng/mL FGF-basic over 3–4 days, then transferred to </w:t>
      </w:r>
      <w:proofErr w:type="spellStart"/>
      <w:r w:rsidRPr="00DC1FB1">
        <w:rPr>
          <w:lang w:val="en-GB"/>
        </w:rPr>
        <w:t>Geltrex</w:t>
      </w:r>
      <w:proofErr w:type="spellEnd"/>
      <w:r w:rsidRPr="00DC1FB1">
        <w:rPr>
          <w:lang w:val="en-GB"/>
        </w:rPr>
        <w:t xml:space="preserve">-coated 6-well plates in </w:t>
      </w:r>
      <w:proofErr w:type="spellStart"/>
      <w:r w:rsidRPr="00DC1FB1">
        <w:rPr>
          <w:lang w:val="en-GB"/>
        </w:rPr>
        <w:t>STEMdiff</w:t>
      </w:r>
      <w:proofErr w:type="spellEnd"/>
      <w:r w:rsidRPr="00DC1FB1">
        <w:rPr>
          <w:lang w:val="en-GB"/>
        </w:rPr>
        <w:t xml:space="preserve"> Apel 2 medium supplemented with 25 ng/mL IL-3 and 50 ng/mL G-CSF. After 14 days of EB attachment and stromal formation, shed cells were collected every 7 days and subjected to terminal differentiation in RPMI 1640 supplemented with 10% FBS and 100 ng/mL G-CSF for 5–10 days. Representative brightfield images of each stage and Giemsa-stained cells at terminal differentiation are shown. </w:t>
      </w:r>
      <w:r w:rsidRPr="00DC1FB1">
        <w:rPr>
          <w:b/>
          <w:bCs/>
          <w:lang w:val="en-GB"/>
        </w:rPr>
        <w:t>(F)</w:t>
      </w:r>
      <w:r w:rsidRPr="00DC1FB1">
        <w:rPr>
          <w:rFonts w:eastAsia="Arial Unicode MS"/>
          <w:lang w:val="en-GB"/>
        </w:rPr>
        <w:t xml:space="preserve"> Flow cytometry analysis of CD11b and CD16 surface expression on </w:t>
      </w:r>
      <w:proofErr w:type="spellStart"/>
      <w:r w:rsidRPr="00DC1FB1">
        <w:rPr>
          <w:rFonts w:eastAsia="Arial Unicode MS"/>
          <w:lang w:val="en-GB"/>
        </w:rPr>
        <w:t>iPSneu</w:t>
      </w:r>
      <w:proofErr w:type="spellEnd"/>
      <w:r w:rsidRPr="00DC1FB1">
        <w:rPr>
          <w:rFonts w:eastAsia="Arial Unicode MS"/>
          <w:lang w:val="en-GB"/>
        </w:rPr>
        <w:t xml:space="preserve"> at day 7 of terminal differentiation. Gating strategy </w:t>
      </w:r>
      <w:proofErr w:type="gramStart"/>
      <w:r w:rsidRPr="00DC1FB1">
        <w:rPr>
          <w:rFonts w:eastAsia="Arial Unicode MS"/>
          <w:lang w:val="en-GB"/>
        </w:rPr>
        <w:t>shown:</w:t>
      </w:r>
      <w:proofErr w:type="gramEnd"/>
      <w:r w:rsidRPr="00DC1FB1">
        <w:rPr>
          <w:rFonts w:eastAsia="Arial Unicode MS"/>
          <w:lang w:val="en-GB"/>
        </w:rPr>
        <w:t xml:space="preserve"> cells → singlets → CD11b+ or CD16+ gate. </w:t>
      </w:r>
      <w:r w:rsidRPr="00DC1FB1">
        <w:rPr>
          <w:b/>
          <w:bCs/>
          <w:lang w:val="en-GB"/>
        </w:rPr>
        <w:t xml:space="preserve">(G) </w:t>
      </w:r>
      <w:r w:rsidRPr="00DC1FB1">
        <w:rPr>
          <w:lang w:val="en-GB"/>
        </w:rPr>
        <w:t xml:space="preserve">Representative confocal microscopy images of </w:t>
      </w:r>
      <w:proofErr w:type="spellStart"/>
      <w:r w:rsidRPr="00DC1FB1">
        <w:rPr>
          <w:lang w:val="en-GB"/>
        </w:rPr>
        <w:t>iPSneu</w:t>
      </w:r>
      <w:proofErr w:type="spellEnd"/>
      <w:r w:rsidRPr="00DC1FB1">
        <w:rPr>
          <w:lang w:val="en-GB"/>
        </w:rPr>
        <w:t xml:space="preserve"> stained with anti-GrA antibody </w:t>
      </w:r>
      <w:r w:rsidRPr="00DC1FB1">
        <w:rPr>
          <w:lang w:val="en-GB"/>
        </w:rPr>
        <w:lastRenderedPageBreak/>
        <w:t>(</w:t>
      </w:r>
      <w:proofErr w:type="spellStart"/>
      <w:r w:rsidRPr="00DC1FB1">
        <w:rPr>
          <w:lang w:val="en-GB"/>
        </w:rPr>
        <w:t>AlexaFluor</w:t>
      </w:r>
      <w:proofErr w:type="spellEnd"/>
      <w:r w:rsidRPr="00DC1FB1">
        <w:rPr>
          <w:lang w:val="en-GB"/>
        </w:rPr>
        <w:t xml:space="preserve"> 488, green) and Hoechst nuclear stain (blue). </w:t>
      </w:r>
      <w:r w:rsidRPr="008C3E07">
        <w:rPr>
          <w:lang w:val="en-US"/>
        </w:rPr>
        <w:t>Scale bar, 10 µm.</w:t>
      </w:r>
      <w:r w:rsidRPr="00DC1FB1">
        <w:rPr>
          <w:b/>
          <w:bCs/>
          <w:noProof/>
        </w:rPr>
        <w:drawing>
          <wp:inline distT="0" distB="0" distL="0" distR="0" wp14:anchorId="78E6CF20" wp14:editId="49A5039F">
            <wp:extent cx="6053559" cy="4473962"/>
            <wp:effectExtent l="0" t="0" r="4445" b="0"/>
            <wp:docPr id="781654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54763" name="Picture 7816547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7525" cy="449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2C90E" w14:textId="1EB919B6" w:rsidR="002723EC" w:rsidRDefault="002723EC" w:rsidP="00070E3A">
      <w:pPr>
        <w:spacing w:before="120" w:after="240" w:line="480" w:lineRule="auto"/>
        <w:jc w:val="both"/>
        <w:rPr>
          <w:lang w:val="en-GB"/>
        </w:rPr>
      </w:pPr>
      <w:r w:rsidRPr="00DC1FB1">
        <w:rPr>
          <w:b/>
          <w:bCs/>
          <w:lang w:val="en-GB"/>
        </w:rPr>
        <w:t xml:space="preserve">Supplementary </w:t>
      </w:r>
      <w:r w:rsidR="00D2533A">
        <w:rPr>
          <w:b/>
          <w:bCs/>
          <w:lang w:val="en-GB"/>
        </w:rPr>
        <w:t>Figure 4</w:t>
      </w:r>
      <w:r w:rsidRPr="00DC1FB1">
        <w:rPr>
          <w:b/>
          <w:bCs/>
          <w:lang w:val="en-GB"/>
        </w:rPr>
        <w:t xml:space="preserve">. </w:t>
      </w:r>
      <w:r w:rsidRPr="00D2533A">
        <w:rPr>
          <w:b/>
          <w:bCs/>
          <w:lang w:val="en-GB"/>
        </w:rPr>
        <w:t>Design of GSDMD and GSDME-based substrates.</w:t>
      </w:r>
      <w:r w:rsidRPr="00DC1FB1">
        <w:rPr>
          <w:b/>
          <w:bCs/>
          <w:lang w:val="en-GB"/>
        </w:rPr>
        <w:t xml:space="preserve"> </w:t>
      </w:r>
    </w:p>
    <w:p w14:paraId="27780F01" w14:textId="77777777" w:rsidR="002723EC" w:rsidRDefault="002723EC" w:rsidP="00070E3A">
      <w:pPr>
        <w:spacing w:before="120" w:after="240" w:line="480" w:lineRule="auto"/>
        <w:jc w:val="both"/>
        <w:rPr>
          <w:lang w:val="en-GB"/>
        </w:rPr>
      </w:pPr>
      <w:r w:rsidRPr="001F261E">
        <w:rPr>
          <w:noProof/>
        </w:rPr>
        <w:lastRenderedPageBreak/>
        <w:drawing>
          <wp:inline distT="0" distB="0" distL="0" distR="0" wp14:anchorId="7084F0EE" wp14:editId="371BDDA9">
            <wp:extent cx="5733415" cy="5107940"/>
            <wp:effectExtent l="0" t="0" r="0" b="0"/>
            <wp:docPr id="664289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28962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510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99402" w14:textId="4D1A5D50" w:rsidR="00601A4A" w:rsidRPr="002723EC" w:rsidRDefault="002723EC" w:rsidP="00070E3A">
      <w:pPr>
        <w:spacing w:before="120" w:after="240" w:line="480" w:lineRule="auto"/>
        <w:jc w:val="both"/>
        <w:rPr>
          <w:lang w:val="en-GB"/>
        </w:rPr>
      </w:pPr>
      <w:r w:rsidRPr="001F261E">
        <w:rPr>
          <w:b/>
          <w:bCs/>
          <w:lang w:val="en-GB"/>
        </w:rPr>
        <w:t>Supplementary Figure S</w:t>
      </w:r>
      <w:r w:rsidR="00D2533A">
        <w:rPr>
          <w:b/>
          <w:bCs/>
          <w:lang w:val="en-GB"/>
        </w:rPr>
        <w:t>5</w:t>
      </w:r>
      <w:r w:rsidRPr="001F261E">
        <w:rPr>
          <w:b/>
          <w:bCs/>
          <w:lang w:val="en-GB"/>
        </w:rPr>
        <w:t xml:space="preserve">. </w:t>
      </w:r>
      <w:r>
        <w:rPr>
          <w:b/>
          <w:bCs/>
          <w:lang w:val="en-GB"/>
        </w:rPr>
        <w:t xml:space="preserve">Additional materials confirming the expression and purity of GrA. </w:t>
      </w:r>
      <w:r w:rsidRPr="001F261E">
        <w:rPr>
          <w:b/>
          <w:bCs/>
          <w:lang w:val="en-GB"/>
        </w:rPr>
        <w:t>(A)</w:t>
      </w:r>
      <w:r>
        <w:rPr>
          <w:lang w:val="en-GB"/>
        </w:rPr>
        <w:t xml:space="preserve"> </w:t>
      </w:r>
      <w:proofErr w:type="spellStart"/>
      <w:r w:rsidRPr="001F261E">
        <w:rPr>
          <w:lang w:val="en-GB"/>
        </w:rPr>
        <w:t>Coomasie</w:t>
      </w:r>
      <w:proofErr w:type="spellEnd"/>
      <w:r w:rsidRPr="001F261E">
        <w:rPr>
          <w:lang w:val="en-GB"/>
        </w:rPr>
        <w:t xml:space="preserve"> Blue staining from GrA expression in </w:t>
      </w:r>
      <w:r w:rsidRPr="001F261E">
        <w:rPr>
          <w:i/>
          <w:iCs/>
          <w:lang w:val="en-US"/>
        </w:rPr>
        <w:t xml:space="preserve">K. </w:t>
      </w:r>
      <w:proofErr w:type="spellStart"/>
      <w:r w:rsidRPr="001F261E">
        <w:rPr>
          <w:i/>
          <w:iCs/>
          <w:lang w:val="en-US"/>
        </w:rPr>
        <w:t>phaffii</w:t>
      </w:r>
      <w:proofErr w:type="spellEnd"/>
      <w:r w:rsidRPr="001F261E">
        <w:rPr>
          <w:i/>
          <w:iCs/>
          <w:lang w:val="en-GB"/>
        </w:rPr>
        <w:t xml:space="preserve"> </w:t>
      </w:r>
      <w:r w:rsidRPr="001F261E">
        <w:rPr>
          <w:lang w:val="en-GB"/>
        </w:rPr>
        <w:t>subjected to SDS-PAGE electrophoresis.</w:t>
      </w:r>
      <w:r>
        <w:rPr>
          <w:lang w:val="en-GB"/>
        </w:rPr>
        <w:t xml:space="preserve"> </w:t>
      </w:r>
      <w:r w:rsidRPr="001F261E">
        <w:rPr>
          <w:b/>
          <w:bCs/>
          <w:lang w:val="en-GB"/>
        </w:rPr>
        <w:t>(B)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Chromatrographs</w:t>
      </w:r>
      <w:proofErr w:type="spellEnd"/>
      <w:r>
        <w:rPr>
          <w:lang w:val="en-GB"/>
        </w:rPr>
        <w:t xml:space="preserve"> of GrA purification, confirming the purity of the enzyme.</w:t>
      </w:r>
    </w:p>
    <w:sectPr w:rsidR="00601A4A" w:rsidRPr="002723EC" w:rsidSect="00070E3A"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148F3E" w14:textId="77777777" w:rsidR="00AB4D51" w:rsidRDefault="00AB4D51" w:rsidP="00A36331">
      <w:pPr>
        <w:spacing w:line="240" w:lineRule="auto"/>
      </w:pPr>
      <w:r>
        <w:separator/>
      </w:r>
    </w:p>
  </w:endnote>
  <w:endnote w:type="continuationSeparator" w:id="0">
    <w:p w14:paraId="0D91F1DF" w14:textId="77777777" w:rsidR="00AB4D51" w:rsidRDefault="00AB4D51" w:rsidP="00A363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990142389"/>
      <w:docPartObj>
        <w:docPartGallery w:val="Page Numbers (Bottom of Page)"/>
        <w:docPartUnique/>
      </w:docPartObj>
    </w:sdtPr>
    <w:sdtContent>
      <w:p w14:paraId="0C21E919" w14:textId="5C0D415C" w:rsidR="00A36331" w:rsidRDefault="00A36331" w:rsidP="003E2626">
        <w:pPr>
          <w:pStyle w:val="Stopka"/>
          <w:framePr w:wrap="none" w:vAnchor="text" w:hAnchor="margin" w:xAlign="outside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14</w:t>
        </w:r>
        <w:r>
          <w:rPr>
            <w:rStyle w:val="Numerstrony"/>
          </w:rPr>
          <w:fldChar w:fldCharType="end"/>
        </w:r>
      </w:p>
    </w:sdtContent>
  </w:sdt>
  <w:p w14:paraId="028A3BB9" w14:textId="77777777" w:rsidR="00A36331" w:rsidRDefault="00A36331" w:rsidP="00A36331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623906285"/>
      <w:docPartObj>
        <w:docPartGallery w:val="Page Numbers (Bottom of Page)"/>
        <w:docPartUnique/>
      </w:docPartObj>
    </w:sdtPr>
    <w:sdtContent>
      <w:p w14:paraId="1FF71AF0" w14:textId="1206B6AB" w:rsidR="00A36331" w:rsidRDefault="00A36331" w:rsidP="003E2626">
        <w:pPr>
          <w:pStyle w:val="Stopka"/>
          <w:framePr w:wrap="none" w:vAnchor="text" w:hAnchor="margin" w:xAlign="outside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9</w:t>
        </w:r>
        <w:r>
          <w:rPr>
            <w:rStyle w:val="Numerstrony"/>
          </w:rPr>
          <w:fldChar w:fldCharType="end"/>
        </w:r>
      </w:p>
    </w:sdtContent>
  </w:sdt>
  <w:p w14:paraId="22E40095" w14:textId="77777777" w:rsidR="00A36331" w:rsidRDefault="00A36331" w:rsidP="00A36331">
    <w:pPr>
      <w:pStyle w:val="Stopka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142D1A" w14:textId="77777777" w:rsidR="00AB4D51" w:rsidRDefault="00AB4D51" w:rsidP="00A36331">
      <w:pPr>
        <w:spacing w:line="240" w:lineRule="auto"/>
      </w:pPr>
      <w:r>
        <w:separator/>
      </w:r>
    </w:p>
  </w:footnote>
  <w:footnote w:type="continuationSeparator" w:id="0">
    <w:p w14:paraId="7A7D4455" w14:textId="77777777" w:rsidR="00AB4D51" w:rsidRDefault="00AB4D51" w:rsidP="00A363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112E67"/>
    <w:multiLevelType w:val="multilevel"/>
    <w:tmpl w:val="C7BE592C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CF95839"/>
    <w:multiLevelType w:val="hybridMultilevel"/>
    <w:tmpl w:val="8A902D52"/>
    <w:lvl w:ilvl="0" w:tplc="54141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731575">
    <w:abstractNumId w:val="1"/>
  </w:num>
  <w:num w:numId="2" w16cid:durableId="12359657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mirrorMargins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43"/>
    <w:rsid w:val="00004002"/>
    <w:rsid w:val="00021443"/>
    <w:rsid w:val="00045ADA"/>
    <w:rsid w:val="00060BB6"/>
    <w:rsid w:val="000646ED"/>
    <w:rsid w:val="00064D55"/>
    <w:rsid w:val="00064EF6"/>
    <w:rsid w:val="00070E3A"/>
    <w:rsid w:val="00080BCD"/>
    <w:rsid w:val="000B203C"/>
    <w:rsid w:val="000D4A78"/>
    <w:rsid w:val="000E0D3A"/>
    <w:rsid w:val="000E729D"/>
    <w:rsid w:val="000E76C9"/>
    <w:rsid w:val="001509FF"/>
    <w:rsid w:val="001518CF"/>
    <w:rsid w:val="00154BC5"/>
    <w:rsid w:val="00173823"/>
    <w:rsid w:val="0018210B"/>
    <w:rsid w:val="00192F27"/>
    <w:rsid w:val="00193D62"/>
    <w:rsid w:val="001A4BD5"/>
    <w:rsid w:val="001A5041"/>
    <w:rsid w:val="001D1847"/>
    <w:rsid w:val="001D6C24"/>
    <w:rsid w:val="00210D79"/>
    <w:rsid w:val="00227249"/>
    <w:rsid w:val="00241E53"/>
    <w:rsid w:val="00251407"/>
    <w:rsid w:val="002548D1"/>
    <w:rsid w:val="002665DD"/>
    <w:rsid w:val="002723EC"/>
    <w:rsid w:val="002748F4"/>
    <w:rsid w:val="002864A4"/>
    <w:rsid w:val="00287293"/>
    <w:rsid w:val="002B56C1"/>
    <w:rsid w:val="002D2631"/>
    <w:rsid w:val="002D72B0"/>
    <w:rsid w:val="002E3927"/>
    <w:rsid w:val="002E536D"/>
    <w:rsid w:val="002F1673"/>
    <w:rsid w:val="003025EA"/>
    <w:rsid w:val="00305D92"/>
    <w:rsid w:val="003152D5"/>
    <w:rsid w:val="00321D7C"/>
    <w:rsid w:val="00334C98"/>
    <w:rsid w:val="00343832"/>
    <w:rsid w:val="00353D49"/>
    <w:rsid w:val="00365231"/>
    <w:rsid w:val="0037426B"/>
    <w:rsid w:val="00384345"/>
    <w:rsid w:val="00386B59"/>
    <w:rsid w:val="00386F14"/>
    <w:rsid w:val="003A0A4C"/>
    <w:rsid w:val="003A2D7C"/>
    <w:rsid w:val="003A460A"/>
    <w:rsid w:val="003B1DFE"/>
    <w:rsid w:val="003C1631"/>
    <w:rsid w:val="003C1E5F"/>
    <w:rsid w:val="003C49B1"/>
    <w:rsid w:val="003D5321"/>
    <w:rsid w:val="003D6BB9"/>
    <w:rsid w:val="003E1512"/>
    <w:rsid w:val="003F341B"/>
    <w:rsid w:val="004004DB"/>
    <w:rsid w:val="00407D2E"/>
    <w:rsid w:val="00423B56"/>
    <w:rsid w:val="00443B84"/>
    <w:rsid w:val="004567FD"/>
    <w:rsid w:val="00456BBA"/>
    <w:rsid w:val="0046011D"/>
    <w:rsid w:val="004841C7"/>
    <w:rsid w:val="004B340D"/>
    <w:rsid w:val="004B38AE"/>
    <w:rsid w:val="004C589F"/>
    <w:rsid w:val="004C6305"/>
    <w:rsid w:val="004D3F0C"/>
    <w:rsid w:val="00513D61"/>
    <w:rsid w:val="0051733E"/>
    <w:rsid w:val="00521F0F"/>
    <w:rsid w:val="005227E8"/>
    <w:rsid w:val="005251EE"/>
    <w:rsid w:val="0052550A"/>
    <w:rsid w:val="00556EFD"/>
    <w:rsid w:val="00560C47"/>
    <w:rsid w:val="005629B8"/>
    <w:rsid w:val="00570178"/>
    <w:rsid w:val="005A28D2"/>
    <w:rsid w:val="005A5874"/>
    <w:rsid w:val="005B3256"/>
    <w:rsid w:val="005B57BD"/>
    <w:rsid w:val="005C531D"/>
    <w:rsid w:val="005C618C"/>
    <w:rsid w:val="005C651D"/>
    <w:rsid w:val="005E2B75"/>
    <w:rsid w:val="005E6350"/>
    <w:rsid w:val="005F46B9"/>
    <w:rsid w:val="00601A4A"/>
    <w:rsid w:val="006072BD"/>
    <w:rsid w:val="006205FA"/>
    <w:rsid w:val="006364E9"/>
    <w:rsid w:val="00640E14"/>
    <w:rsid w:val="00642EA8"/>
    <w:rsid w:val="00653298"/>
    <w:rsid w:val="00662F32"/>
    <w:rsid w:val="00682FF2"/>
    <w:rsid w:val="0069722C"/>
    <w:rsid w:val="006A1FF5"/>
    <w:rsid w:val="006B455E"/>
    <w:rsid w:val="006C4BD1"/>
    <w:rsid w:val="006C6A6C"/>
    <w:rsid w:val="006D0A8F"/>
    <w:rsid w:val="006F05AC"/>
    <w:rsid w:val="00700E4C"/>
    <w:rsid w:val="007478D5"/>
    <w:rsid w:val="007502A3"/>
    <w:rsid w:val="00764788"/>
    <w:rsid w:val="00764FA3"/>
    <w:rsid w:val="00792A45"/>
    <w:rsid w:val="007B633E"/>
    <w:rsid w:val="007E2061"/>
    <w:rsid w:val="007F5A86"/>
    <w:rsid w:val="00821A1B"/>
    <w:rsid w:val="0082405B"/>
    <w:rsid w:val="00826CAB"/>
    <w:rsid w:val="0084765C"/>
    <w:rsid w:val="00875188"/>
    <w:rsid w:val="008B49AC"/>
    <w:rsid w:val="008C3E07"/>
    <w:rsid w:val="008C6F17"/>
    <w:rsid w:val="008D5D29"/>
    <w:rsid w:val="008D716F"/>
    <w:rsid w:val="008E3911"/>
    <w:rsid w:val="008E6828"/>
    <w:rsid w:val="00902908"/>
    <w:rsid w:val="00910BCB"/>
    <w:rsid w:val="00910DF3"/>
    <w:rsid w:val="00934808"/>
    <w:rsid w:val="0093711D"/>
    <w:rsid w:val="00975E6E"/>
    <w:rsid w:val="0098041B"/>
    <w:rsid w:val="00981680"/>
    <w:rsid w:val="0098265D"/>
    <w:rsid w:val="009833E8"/>
    <w:rsid w:val="00993568"/>
    <w:rsid w:val="009968F1"/>
    <w:rsid w:val="009B6BB8"/>
    <w:rsid w:val="009B7BEC"/>
    <w:rsid w:val="009D1AC0"/>
    <w:rsid w:val="009D6FA0"/>
    <w:rsid w:val="009D77B3"/>
    <w:rsid w:val="009E0FD5"/>
    <w:rsid w:val="009E345B"/>
    <w:rsid w:val="009E6905"/>
    <w:rsid w:val="00A07467"/>
    <w:rsid w:val="00A147E5"/>
    <w:rsid w:val="00A15C0E"/>
    <w:rsid w:val="00A203C8"/>
    <w:rsid w:val="00A21277"/>
    <w:rsid w:val="00A24A85"/>
    <w:rsid w:val="00A36331"/>
    <w:rsid w:val="00A46A4D"/>
    <w:rsid w:val="00A51C3A"/>
    <w:rsid w:val="00A63957"/>
    <w:rsid w:val="00A8229A"/>
    <w:rsid w:val="00A86F34"/>
    <w:rsid w:val="00A87569"/>
    <w:rsid w:val="00A973CA"/>
    <w:rsid w:val="00AB0153"/>
    <w:rsid w:val="00AB3F7A"/>
    <w:rsid w:val="00AB4D51"/>
    <w:rsid w:val="00AC6B5F"/>
    <w:rsid w:val="00AD1635"/>
    <w:rsid w:val="00AE0A32"/>
    <w:rsid w:val="00AE447E"/>
    <w:rsid w:val="00B179F3"/>
    <w:rsid w:val="00B26E3A"/>
    <w:rsid w:val="00B60689"/>
    <w:rsid w:val="00B650C8"/>
    <w:rsid w:val="00B71476"/>
    <w:rsid w:val="00B80B83"/>
    <w:rsid w:val="00B85B4D"/>
    <w:rsid w:val="00BA045C"/>
    <w:rsid w:val="00BA518B"/>
    <w:rsid w:val="00BB0700"/>
    <w:rsid w:val="00BB3788"/>
    <w:rsid w:val="00BC76F7"/>
    <w:rsid w:val="00BE50F7"/>
    <w:rsid w:val="00BF2B85"/>
    <w:rsid w:val="00C0434E"/>
    <w:rsid w:val="00C16FD8"/>
    <w:rsid w:val="00C24672"/>
    <w:rsid w:val="00C272E9"/>
    <w:rsid w:val="00C4739D"/>
    <w:rsid w:val="00C55FC0"/>
    <w:rsid w:val="00C60AF8"/>
    <w:rsid w:val="00C63115"/>
    <w:rsid w:val="00C6548C"/>
    <w:rsid w:val="00C65729"/>
    <w:rsid w:val="00C72643"/>
    <w:rsid w:val="00C80E8D"/>
    <w:rsid w:val="00CA60C5"/>
    <w:rsid w:val="00CC4B7A"/>
    <w:rsid w:val="00CD0A61"/>
    <w:rsid w:val="00CE077A"/>
    <w:rsid w:val="00CE5053"/>
    <w:rsid w:val="00CF0849"/>
    <w:rsid w:val="00D02E08"/>
    <w:rsid w:val="00D20D7F"/>
    <w:rsid w:val="00D2533A"/>
    <w:rsid w:val="00D27B99"/>
    <w:rsid w:val="00D41C85"/>
    <w:rsid w:val="00D45D17"/>
    <w:rsid w:val="00D51C7C"/>
    <w:rsid w:val="00D62866"/>
    <w:rsid w:val="00D654D4"/>
    <w:rsid w:val="00D72BA6"/>
    <w:rsid w:val="00D761CA"/>
    <w:rsid w:val="00D771DE"/>
    <w:rsid w:val="00D81936"/>
    <w:rsid w:val="00D85966"/>
    <w:rsid w:val="00D87153"/>
    <w:rsid w:val="00DE0CF3"/>
    <w:rsid w:val="00DE2D69"/>
    <w:rsid w:val="00E039CE"/>
    <w:rsid w:val="00E05F0B"/>
    <w:rsid w:val="00E15A50"/>
    <w:rsid w:val="00E433DD"/>
    <w:rsid w:val="00E72334"/>
    <w:rsid w:val="00E7286E"/>
    <w:rsid w:val="00E737C3"/>
    <w:rsid w:val="00E92382"/>
    <w:rsid w:val="00E94E5B"/>
    <w:rsid w:val="00EA3202"/>
    <w:rsid w:val="00EA6B7F"/>
    <w:rsid w:val="00EC09CC"/>
    <w:rsid w:val="00EF0A4F"/>
    <w:rsid w:val="00EF2C7A"/>
    <w:rsid w:val="00F0635B"/>
    <w:rsid w:val="00F070FC"/>
    <w:rsid w:val="00F2009A"/>
    <w:rsid w:val="00F459AF"/>
    <w:rsid w:val="00F45BCC"/>
    <w:rsid w:val="00F46788"/>
    <w:rsid w:val="00F50938"/>
    <w:rsid w:val="00F67D46"/>
    <w:rsid w:val="00F72C5A"/>
    <w:rsid w:val="00FA0AB8"/>
    <w:rsid w:val="00FA3B12"/>
    <w:rsid w:val="00FA4E94"/>
    <w:rsid w:val="00FB00B7"/>
    <w:rsid w:val="00FB758E"/>
    <w:rsid w:val="00FC360A"/>
    <w:rsid w:val="00FE2343"/>
    <w:rsid w:val="00FF0DFD"/>
    <w:rsid w:val="00FF3E13"/>
    <w:rsid w:val="00FF50DC"/>
    <w:rsid w:val="00FF7286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82D7C"/>
  <w15:chartTrackingRefBased/>
  <w15:docId w15:val="{BD8F641A-F674-B648-9430-D5303EC0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23EC"/>
    <w:pPr>
      <w:spacing w:line="276" w:lineRule="auto"/>
    </w:pPr>
    <w:rPr>
      <w:rFonts w:ascii="Arial" w:eastAsia="Arial" w:hAnsi="Arial" w:cs="Arial"/>
      <w:kern w:val="0"/>
      <w:sz w:val="22"/>
      <w:szCs w:val="22"/>
      <w:lang w:val="pl" w:eastAsia="en-GB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48D1"/>
    <w:pPr>
      <w:keepNext/>
      <w:keepLines/>
      <w:numPr>
        <w:numId w:val="2"/>
      </w:numPr>
      <w:spacing w:before="240" w:line="240" w:lineRule="auto"/>
      <w:ind w:hanging="360"/>
      <w:jc w:val="both"/>
      <w:outlineLvl w:val="0"/>
    </w:pPr>
    <w:rPr>
      <w:rFonts w:asciiTheme="majorHAnsi" w:eastAsiaTheme="majorEastAsia" w:hAnsiTheme="majorHAnsi" w:cstheme="majorBidi"/>
      <w:color w:val="0B769F" w:themeColor="accent4" w:themeShade="BF"/>
      <w:kern w:val="2"/>
      <w:sz w:val="28"/>
      <w:szCs w:val="32"/>
      <w:lang w:val="pl-PL" w:eastAsia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144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144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144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144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1443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1443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1443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1443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48D1"/>
    <w:rPr>
      <w:rFonts w:asciiTheme="majorHAnsi" w:eastAsiaTheme="majorEastAsia" w:hAnsiTheme="majorHAnsi" w:cstheme="majorBidi"/>
      <w:color w:val="0B769F" w:themeColor="accent4" w:themeShade="BF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1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1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1443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1443"/>
    <w:rPr>
      <w:rFonts w:eastAsiaTheme="majorEastAsia" w:cstheme="majorBidi"/>
      <w:color w:val="0F4761" w:themeColor="accent1" w:themeShade="BF"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1443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1443"/>
    <w:rPr>
      <w:rFonts w:eastAsiaTheme="majorEastAsia" w:cstheme="majorBidi"/>
      <w:color w:val="595959" w:themeColor="text1" w:themeTint="A6"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1443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1443"/>
    <w:rPr>
      <w:rFonts w:eastAsiaTheme="majorEastAsia" w:cstheme="majorBidi"/>
      <w:color w:val="272727" w:themeColor="text1" w:themeTint="D8"/>
      <w:sz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021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21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1443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21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1443"/>
    <w:pPr>
      <w:spacing w:before="160" w:after="160" w:line="240" w:lineRule="auto"/>
      <w:jc w:val="center"/>
    </w:pPr>
    <w:rPr>
      <w:rFonts w:asciiTheme="minorHAnsi" w:eastAsia="Times New Roman" w:hAnsiTheme="minorHAnsi" w:cstheme="minorBidi"/>
      <w:i/>
      <w:iCs/>
      <w:color w:val="404040" w:themeColor="text1" w:themeTint="BF"/>
      <w:kern w:val="2"/>
      <w:szCs w:val="24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21443"/>
    <w:rPr>
      <w:i/>
      <w:iCs/>
      <w:color w:val="404040" w:themeColor="text1" w:themeTint="BF"/>
      <w:sz w:val="22"/>
    </w:rPr>
  </w:style>
  <w:style w:type="paragraph" w:styleId="Akapitzlist">
    <w:name w:val="List Paragraph"/>
    <w:basedOn w:val="Normalny"/>
    <w:uiPriority w:val="34"/>
    <w:qFormat/>
    <w:rsid w:val="00021443"/>
    <w:pPr>
      <w:spacing w:line="240" w:lineRule="auto"/>
      <w:ind w:left="720"/>
      <w:contextualSpacing/>
    </w:pPr>
    <w:rPr>
      <w:rFonts w:asciiTheme="minorHAnsi" w:eastAsia="Times New Roman" w:hAnsiTheme="minorHAnsi" w:cstheme="minorBidi"/>
      <w:kern w:val="2"/>
      <w:szCs w:val="24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214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1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theme="minorBidi"/>
      <w:i/>
      <w:iCs/>
      <w:color w:val="0F4761" w:themeColor="accent1" w:themeShade="BF"/>
      <w:kern w:val="2"/>
      <w:szCs w:val="24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1443"/>
    <w:rPr>
      <w:i/>
      <w:iCs/>
      <w:color w:val="0F4761" w:themeColor="accent1" w:themeShade="BF"/>
      <w:sz w:val="22"/>
    </w:rPr>
  </w:style>
  <w:style w:type="character" w:styleId="Odwoanieintensywne">
    <w:name w:val="Intense Reference"/>
    <w:basedOn w:val="Domylnaczcionkaakapitu"/>
    <w:uiPriority w:val="32"/>
    <w:qFormat/>
    <w:rsid w:val="0002144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723E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070E3A"/>
  </w:style>
  <w:style w:type="paragraph" w:styleId="Stopka">
    <w:name w:val="footer"/>
    <w:basedOn w:val="Normalny"/>
    <w:link w:val="StopkaZnak"/>
    <w:uiPriority w:val="99"/>
    <w:unhideWhenUsed/>
    <w:rsid w:val="00A3633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6331"/>
    <w:rPr>
      <w:rFonts w:ascii="Arial" w:eastAsia="Arial" w:hAnsi="Arial" w:cs="Arial"/>
      <w:kern w:val="0"/>
      <w:sz w:val="22"/>
      <w:szCs w:val="22"/>
      <w:lang w:val="pl" w:eastAsia="en-GB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A36331"/>
  </w:style>
  <w:style w:type="paragraph" w:styleId="Poprawka">
    <w:name w:val="Revision"/>
    <w:hidden/>
    <w:uiPriority w:val="99"/>
    <w:semiHidden/>
    <w:rsid w:val="008B49AC"/>
    <w:rPr>
      <w:rFonts w:ascii="Arial" w:eastAsia="Arial" w:hAnsi="Arial" w:cs="Arial"/>
      <w:kern w:val="0"/>
      <w:sz w:val="22"/>
      <w:szCs w:val="22"/>
      <w:lang w:val="p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9D264C-4546-5746-BC1A-2151D7834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758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paulina.kasperkiewicz@pwr.edu.pl</dc:creator>
  <cp:keywords/>
  <dc:description/>
  <cp:lastModifiedBy>paulina.kasperkiewicz@pwr.edu.pl</cp:lastModifiedBy>
  <cp:revision>7</cp:revision>
  <dcterms:created xsi:type="dcterms:W3CDTF">2026-08-26T18:13:00Z</dcterms:created>
  <dcterms:modified xsi:type="dcterms:W3CDTF">2026-08-26T18:56:00Z</dcterms:modified>
</cp:coreProperties>
</file>