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F35D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/>
        <w:jc w:val="both"/>
        <w:textAlignment w:val="auto"/>
      </w:pPr>
      <w:bookmarkStart w:id="0" w:name="_Hlk181004646"/>
      <w:r>
        <w:rPr>
          <w:szCs w:val="24"/>
        </w:rPr>
        <w:t>Appendix A. Data sources and index-construction algorithms</w:t>
      </w:r>
    </w:p>
    <w:p w14:paraId="1CCEA99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/>
        <w:jc w:val="both"/>
        <w:textAlignment w:val="auto"/>
      </w:pPr>
      <w:r>
        <w:t>This appendix documents the public sources from which the dataset is drawn and the pseudocode of the index construction and estimation pipeline.</w:t>
      </w:r>
    </w:p>
    <w:p w14:paraId="5BADBAA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/>
        <w:jc w:val="both"/>
        <w:textAlignment w:val="auto"/>
      </w:pPr>
      <w:r>
        <w:t xml:space="preserve">Firm-level quarterly financial statements are taken from the following public repositories: the financial-analysis pages of East Money at </w:t>
      </w:r>
      <w:r>
        <w:fldChar w:fldCharType="begin"/>
      </w:r>
      <w:r>
        <w:instrText xml:space="preserve"> HYPERLINK "https://emweb.eastmoney.com/PC_HSF10/NewFinanceAnalysis/" \h </w:instrText>
      </w:r>
      <w:r>
        <w:fldChar w:fldCharType="separate"/>
      </w:r>
      <w:r>
        <w:t>https://emweb.eastmoney.com/PC_HSF10/NewFinanceAnalysis/</w:t>
      </w:r>
      <w:r>
        <w:fldChar w:fldCharType="end"/>
      </w:r>
      <w:r>
        <w:t xml:space="preserve">; the corporate-announcement archive of Sina Finance at </w:t>
      </w:r>
      <w:r>
        <w:fldChar w:fldCharType="begin"/>
      </w:r>
      <w:r>
        <w:instrText xml:space="preserve"> HYPERLINK "http://money.finance.sina.com.cn/corp/view/vCB_AllBulletinDetail.php" \h </w:instrText>
      </w:r>
      <w:r>
        <w:fldChar w:fldCharType="separate"/>
      </w:r>
      <w:r>
        <w:t>http://money.finance.sina.com.cn/corp/view/vCB_AllBulletinDetail.php</w:t>
      </w:r>
      <w:r>
        <w:fldChar w:fldCharType="end"/>
      </w:r>
      <w:r>
        <w:t xml:space="preserve">; the listed-company news and filing service of the Hong Kong Exchanges and Clearing at </w:t>
      </w:r>
      <w:r>
        <w:fldChar w:fldCharType="begin"/>
      </w:r>
      <w:r>
        <w:instrText xml:space="preserve"> HYPERLINK "https://www1.hkexnews.hk/listedco/listconews/sehk/" \h </w:instrText>
      </w:r>
      <w:r>
        <w:fldChar w:fldCharType="separate"/>
      </w:r>
      <w:r>
        <w:t>https://www1.hkexnews.hk/listedco/listconews/sehk/</w:t>
      </w:r>
      <w:r>
        <w:fldChar w:fldCharType="end"/>
      </w:r>
      <w:r>
        <w:t xml:space="preserve">; and the Shanghai and Shenzhen disclosure portal at </w:t>
      </w:r>
      <w:r>
        <w:fldChar w:fldCharType="begin"/>
      </w:r>
      <w:r>
        <w:instrText xml:space="preserve"> HYPERLINK "http://static.cninfo.com.cn/" \h </w:instrText>
      </w:r>
      <w:r>
        <w:fldChar w:fldCharType="separate"/>
      </w:r>
      <w:r>
        <w:t>http://static.cninfo.com.cn/</w:t>
      </w:r>
      <w:r>
        <w:fldChar w:fldCharType="end"/>
      </w:r>
      <w:r>
        <w:t xml:space="preserve">. Industry volume and growth series are taken from the China Association of Automobile Manufacturers at </w:t>
      </w:r>
      <w:r>
        <w:fldChar w:fldCharType="begin"/>
      </w:r>
      <w:r>
        <w:instrText xml:space="preserve"> HYPERLINK "http://www.caam.org.cn/" \h </w:instrText>
      </w:r>
      <w:r>
        <w:fldChar w:fldCharType="separate"/>
      </w:r>
      <w:r>
        <w:t>http://www.caam.org.cn/</w:t>
      </w:r>
      <w:r>
        <w:fldChar w:fldCharType="end"/>
      </w:r>
      <w:r>
        <w:t xml:space="preserve"> and from the China Passenger Car Association at </w:t>
      </w:r>
      <w:r>
        <w:fldChar w:fldCharType="begin"/>
      </w:r>
      <w:r>
        <w:instrText xml:space="preserve"> HYPERLINK "http://www.cpcaauto.com/" \h </w:instrText>
      </w:r>
      <w:r>
        <w:fldChar w:fldCharType="separate"/>
      </w:r>
      <w:r>
        <w:t>http://www.cpcaauto.com/</w:t>
      </w:r>
      <w:r>
        <w:fldChar w:fldCharType="end"/>
      </w:r>
      <w:r>
        <w:t xml:space="preserve">. Supplementary sectoral commentary used to date the price-war and policy-turn quarters is drawn from BOCOM International at </w:t>
      </w:r>
      <w:r>
        <w:fldChar w:fldCharType="begin"/>
      </w:r>
      <w:r>
        <w:instrText xml:space="preserve"> HYPERLINK "https://research.bocomgroup.com" \h </w:instrText>
      </w:r>
      <w:r>
        <w:fldChar w:fldCharType="separate"/>
      </w:r>
      <w:r>
        <w:t>https://research.bocomgroup.com</w:t>
      </w:r>
      <w:r>
        <w:fldChar w:fldCharType="end"/>
      </w:r>
      <w:r>
        <w:t xml:space="preserve">, SPDB International at </w:t>
      </w:r>
      <w:r>
        <w:fldChar w:fldCharType="begin"/>
      </w:r>
      <w:r>
        <w:instrText xml:space="preserve"> HYPERLINK "https://www.spdbi.com" \h </w:instrText>
      </w:r>
      <w:r>
        <w:fldChar w:fldCharType="separate"/>
      </w:r>
      <w:r>
        <w:t>https://www.spdbi.com</w:t>
      </w:r>
      <w:r>
        <w:fldChar w:fldCharType="end"/>
      </w:r>
      <w:r>
        <w:t xml:space="preserve">, and Wallstreetcn at </w:t>
      </w:r>
      <w:r>
        <w:fldChar w:fldCharType="begin"/>
      </w:r>
      <w:r>
        <w:instrText xml:space="preserve"> HYPERLINK "https://wallstreetcn.com" \h </w:instrText>
      </w:r>
      <w:r>
        <w:fldChar w:fldCharType="separate"/>
      </w:r>
      <w:r>
        <w:t>https://wallstreetcn.com</w:t>
      </w:r>
      <w:r>
        <w:fldChar w:fldCharType="end"/>
      </w:r>
      <w:r>
        <w:t>. Where a firm reports semi-annually rather than quarterly, the intermediate quarter is taken from the interim report and the associated management discussion published on the same platforms.</w:t>
      </w:r>
    </w:p>
    <w:p w14:paraId="11F000E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/>
        <w:jc w:val="both"/>
        <w:textAlignment w:val="auto"/>
        <w:rPr>
          <w:highlight w:val="yellow"/>
        </w:rPr>
      </w:pPr>
      <w:r>
        <w:t xml:space="preserve">The construction of the two indices and the estimation pipeline are summarised in </w:t>
      </w:r>
      <w:r>
        <w:rPr>
          <w:highlight w:val="none"/>
        </w:rPr>
        <w:t>the following pseudocode, which can be implemented directly in any standard panel-econometrics environment.</w:t>
      </w:r>
    </w:p>
    <w:p w14:paraId="09D56566">
      <w:pPr>
        <w:pStyle w:val="5"/>
        <w:bidi w:val="0"/>
        <w:ind w:left="0" w:leftChars="0" w:firstLine="0" w:firstLineChars="0"/>
        <w:jc w:val="center"/>
        <w:rPr>
          <w:rFonts w:hint="eastAsia" w:eastAsia="宋体"/>
          <w:highlight w:val="yellow"/>
          <w:lang w:eastAsia="zh-CN"/>
        </w:rPr>
      </w:pPr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5326380" cy="4540250"/>
            <wp:effectExtent l="0" t="0" r="7620" b="6350"/>
            <wp:docPr id="7" name="图片 7" descr="renx 02-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renx 02-33"/>
                    <pic:cNvPicPr>
                      <a:picLocks noChangeAspect="1"/>
                    </pic:cNvPicPr>
                  </pic:nvPicPr>
                  <pic:blipFill>
                    <a:blip r:embed="rId4">
                      <a:lum contrast="30000"/>
                    </a:blip>
                    <a:srcRect l="1757" b="4241"/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1D633440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alatino Linotype">
    <w:altName w:val="苹方-简"/>
    <w:panose1 w:val="02040502050505030304"/>
    <w:charset w:val="00"/>
    <w:family w:val="roman"/>
    <w:pitch w:val="default"/>
    <w:sig w:usb0="00000000" w:usb1="00000000" w:usb2="00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EF0DE4"/>
    <w:rsid w:val="F7EF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MDPI_2.1_heading1"/>
    <w:qFormat/>
    <w:uiPriority w:val="0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hAnsi="Palatino Linotype" w:eastAsia="Times New Roman" w:cs="Times New Roman"/>
      <w:b/>
      <w:snapToGrid w:val="0"/>
      <w:color w:val="000000"/>
      <w:sz w:val="24"/>
      <w:szCs w:val="22"/>
      <w:lang w:val="en-US" w:eastAsia="de-DE" w:bidi="en-US"/>
    </w:rPr>
  </w:style>
  <w:style w:type="paragraph" w:customStyle="1" w:styleId="5">
    <w:name w:val="MDPI_3.1_text"/>
    <w:qFormat/>
    <w:uiPriority w:val="0"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2026-09-02T19:18:00Z</dcterms:created>
  <dc:creator>Ce</dc:creator>
  <cp:lastModifiedBy>Ce</cp:lastModifiedBy>
  <dcterms:modified xsi:type="dcterms:W3CDTF">2026-09-02T19:18:38Z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826F2676A51580CB0506986A1FF225F9_41</vt:lpwstr>
  </property>
</Properties>
</file>