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Supplementary Information</w:t>
      </w:r>
    </w:p>
    <w:p>
      <w:pPr>
        <w:spacing w:after="300"/>
      </w:pPr>
      <w:r>
        <w:rPr>
          <w:i/>
          <w:iCs/>
        </w:rPr>
        <w:t xml:space="preserve">When explanations disagree: a consequence-calibrated audit of post-hoc attribution for clinical time-series prediction</w:t>
      </w:r>
    </w:p>
    <w:p>
      <w:pPr>
        <w:pStyle w:val="Heading2"/>
      </w:pPr>
      <w:r>
        <w:t xml:space="preserve">Supplementary Table 1</w:t>
      </w:r>
    </w:p>
    <w:p>
      <w:pPr>
        <w:spacing w:after="200"/>
      </w:pPr>
      <w:r>
        <w:t xml:space="preserve">Clinician vignette survey: per-vignette response distribution, consistency and specialty pattern. Plurality and dissent are computed from n = 35 respondents (Neurosurgery n = 12, Neurocritical Care n = 12, General Critical Care n = 11). Pairwise agreement is the probability that two randomly selected respondents chose the same action for that vignette. Vignettes 1, 2, 6 were each presented 3 times, vignette 7 was presented 4 times, and vignettes 3, 4, 5, 8 were presented 1–3 times within the 20-item instrument; distributions were identical across repeated presentations of the same vignette (test–retest consistency 244/245 respondent-vignette-repeat sets, 99.6%).</w:t>
      </w:r>
    </w:p>
    <w:tbl>
      <w:tblPr>
        <w:tblW w:type="dxa" w:w="12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900"/>
            <w:shd w:fill="D9D9D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</w:rPr>
              <w:t xml:space="preserve">Vignette</w:t>
            </w:r>
          </w:p>
        </w:tc>
        <w:tc>
          <w:tcPr>
            <w:tcW w:type="dxa" w:w="2600"/>
            <w:shd w:fill="D9D9D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</w:rPr>
              <w:t xml:space="preserve">Action set contested</w:t>
            </w:r>
          </w:p>
        </w:tc>
        <w:tc>
          <w:tcPr>
            <w:tcW w:type="dxa" w:w="2400"/>
            <w:shd w:fill="D9D9D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</w:rPr>
              <w:t xml:space="preserve">Plurality action (%)</w:t>
            </w:r>
          </w:p>
        </w:tc>
        <w:tc>
          <w:tcPr>
            <w:tcW w:type="dxa" w:w="1100"/>
            <w:shd w:fill="D9D9D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</w:rPr>
              <w:t xml:space="preserve">Dissent (%)</w:t>
            </w:r>
          </w:p>
        </w:tc>
        <w:tc>
          <w:tcPr>
            <w:tcW w:type="dxa" w:w="1500"/>
            <w:shd w:fill="D9D9D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</w:rPr>
              <w:t xml:space="preserve">Pairwise agreement (%)</w:t>
            </w:r>
          </w:p>
        </w:tc>
        <w:tc>
          <w:tcPr>
            <w:tcW w:type="dxa" w:w="3800"/>
            <w:shd w:fill="D9D9D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</w:rPr>
              <w:t xml:space="preserve">Disagreement pattern</w:t>
            </w:r>
          </w:p>
        </w:tc>
      </w:tr>
      <w:tr>
        <w:tc>
          <w:tcPr>
            <w:tcW w:type="dxa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Vasopressors vs. IV fluids</w:t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Increase vasopressors (68.6)</w:t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31.4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55.6</w:t>
            </w:r>
          </w:p>
        </w:tc>
        <w:tc>
          <w:tcPr>
            <w:tcW w:type="dxa" w:w="3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By specialty: Gen. Crit. Care unanimous fluids; Neurocrit. Care &amp; Neurosurgery unanimous vasopressors</w:t>
            </w:r>
          </w:p>
        </w:tc>
      </w:tr>
      <w:tr>
        <w:tc>
          <w:tcPr>
            <w:tcW w:type="dxa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2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IV fluids vs. antihypertensives</w:t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Administer IV fluids (65.7)</w:t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34.3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53.6</w:t>
            </w:r>
          </w:p>
        </w:tc>
        <w:tc>
          <w:tcPr>
            <w:tcW w:type="dxa" w:w="3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By specialty: Gen. Crit. Care unanimous fluids; Neurocrit. Care mostly fluids; Neurosurgery mostly antihypertensives</w:t>
            </w:r>
          </w:p>
        </w:tc>
      </w:tr>
      <w:tr>
        <w:tc>
          <w:tcPr>
            <w:tcW w:type="dxa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3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CT spine vs. IV fluids</w:t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Obtain stat CT spine (97.1)</w:t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2.9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94.3</w:t>
            </w:r>
          </w:p>
        </w:tc>
        <w:tc>
          <w:tcPr>
            <w:tcW w:type="dxa" w:w="3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Near-unanimous across all specialties</w:t>
            </w:r>
          </w:p>
        </w:tc>
      </w:tr>
      <w:tr>
        <w:tc>
          <w:tcPr>
            <w:tcW w:type="dxa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4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Sedation vs. oxygenation vs. CT spine</w:t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Decrease sedation (57.1)</w:t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42.9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40.2</w:t>
            </w:r>
          </w:p>
        </w:tc>
        <w:tc>
          <w:tcPr>
            <w:tcW w:type="dxa" w:w="3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Neurosurgery diverges toward CT spine; other two specialties split sedation/oxygenation</w:t>
            </w:r>
          </w:p>
        </w:tc>
      </w:tr>
      <w:tr>
        <w:tc>
          <w:tcPr>
            <w:tcW w:type="dxa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5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Antihypertensives vs. IV fluids</w:t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Initiate antihypertensives (97.1)</w:t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2.9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94.3</w:t>
            </w:r>
          </w:p>
        </w:tc>
        <w:tc>
          <w:tcPr>
            <w:tcW w:type="dxa" w:w="3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Near-unanimous across all specialties</w:t>
            </w:r>
          </w:p>
        </w:tc>
      </w:tr>
      <w:tr>
        <w:tc>
          <w:tcPr>
            <w:tcW w:type="dxa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6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IV fluids vs. vasopressors</w:t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Administer IV fluids (68.6)</w:t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31.4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55.6</w:t>
            </w:r>
          </w:p>
        </w:tc>
        <w:tc>
          <w:tcPr>
            <w:tcW w:type="dxa" w:w="3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By specialty: Gen. Crit. Care &amp; Neurocrit. Care unanimous fluids; Neurosurgery mostly vasopressors</w:t>
            </w:r>
          </w:p>
        </w:tc>
      </w:tr>
      <w:tr>
        <w:tc>
          <w:tcPr>
            <w:tcW w:type="dxa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7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CT spine (unanimous)</w:t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Obtain stat CT spine (100.0)</w:t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0.0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100.0</w:t>
            </w:r>
          </w:p>
        </w:tc>
        <w:tc>
          <w:tcPr>
            <w:tcW w:type="dxa" w:w="3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Unanimous across all specialties and all 4 repeated presentations</w:t>
            </w:r>
          </w:p>
        </w:tc>
      </w:tr>
      <w:tr>
        <w:tc>
          <w:tcPr>
            <w:tcW w:type="dxa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8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Sedation vs. CT spine vs. oxygenation</w:t>
            </w:r>
          </w:p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Decrease sedation (60.0)</w:t>
            </w:r>
          </w:p>
        </w:tc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40.0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42.4</w:t>
            </w:r>
          </w:p>
        </w:tc>
        <w:tc>
          <w:tcPr>
            <w:tcW w:type="dxa" w:w="3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Neurosurgery diverges toward CT spine; other two specialties split sedation/oxygenation</w:t>
            </w:r>
          </w:p>
        </w:tc>
      </w:tr>
    </w:tbl>
    <w:p>
      <w:pPr>
        <w:spacing w:before="300"/>
      </w:pPr>
    </w:p>
    <w:p>
      <w:r>
        <w:rPr>
          <w:i/>
          <w:iCs/>
        </w:rPr>
        <w:t xml:space="preserve">Note: this survey is a bedside-action consensus study among practising clinicians, independent of and complementary to the attribution-linked, decision-flip reader study described in the main text. Respondents were not shown model attributions; the survey establishes that the action space used in the structural mapping corresponds to points of genuine, and in most contested cases specialty-patterned, clinical disagreement. It does not measure decision-flip rates against any specific attribution method pair.</w:t>
      </w:r>
    </w:p>
    <w:sectPr>
      <w:pgSz w:w="15840" w:h="122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2026-08-20T19:24:10.903Z</dcterms:created>
  <dcterms:modified xsi:type="dcterms:W3CDTF">2026-08-20T19:24:10.915Z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