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C9E2B" w14:textId="77777777" w:rsidR="0033419C" w:rsidRPr="0033419C" w:rsidRDefault="0033419C" w:rsidP="0033419C">
      <w:pPr>
        <w:pStyle w:val="Title"/>
        <w:jc w:val="center"/>
        <w:rPr>
          <w:rFonts w:asciiTheme="majorBidi" w:hAnsiTheme="majorBidi"/>
          <w:b/>
          <w:bCs/>
          <w:sz w:val="40"/>
          <w:szCs w:val="40"/>
        </w:rPr>
      </w:pPr>
      <w:r w:rsidRPr="0033419C">
        <w:rPr>
          <w:rFonts w:asciiTheme="majorBidi" w:hAnsiTheme="majorBidi"/>
          <w:b/>
          <w:bCs/>
          <w:sz w:val="40"/>
          <w:szCs w:val="40"/>
        </w:rPr>
        <w:t>Supplementary Material</w:t>
      </w:r>
    </w:p>
    <w:p w14:paraId="47D68A49" w14:textId="77777777" w:rsidR="0033419C" w:rsidRDefault="0033419C" w:rsidP="0033419C">
      <w:pPr>
        <w:jc w:val="center"/>
        <w:rPr>
          <w:rFonts w:asciiTheme="majorBidi" w:hAnsiTheme="majorBidi" w:cstheme="majorBidi"/>
          <w:b/>
          <w:sz w:val="24"/>
          <w:szCs w:val="24"/>
        </w:rPr>
      </w:pPr>
    </w:p>
    <w:p w14:paraId="45ECAB3E" w14:textId="04A1A228" w:rsidR="0033419C" w:rsidRDefault="0033419C" w:rsidP="0033419C">
      <w:pPr>
        <w:jc w:val="center"/>
        <w:rPr>
          <w:rFonts w:asciiTheme="majorBidi" w:hAnsiTheme="majorBidi" w:cstheme="majorBidi"/>
          <w:b/>
          <w:sz w:val="24"/>
          <w:szCs w:val="24"/>
        </w:rPr>
      </w:pPr>
      <w:r w:rsidRPr="0033419C">
        <w:rPr>
          <w:rFonts w:asciiTheme="majorBidi" w:hAnsiTheme="majorBidi" w:cstheme="majorBidi"/>
          <w:b/>
          <w:sz w:val="24"/>
          <w:szCs w:val="24"/>
        </w:rPr>
        <w:t>Gaussian Process–Based Bayesian Optimization of Lower-Limb PNS–TMS Interstimulus Intervals in Adults and Children: A Proof-of-Concept Toward a Personalized Framework</w:t>
      </w:r>
    </w:p>
    <w:p w14:paraId="47027895" w14:textId="77777777" w:rsidR="0033419C" w:rsidRDefault="0033419C" w:rsidP="0033419C">
      <w:pPr>
        <w:jc w:val="center"/>
        <w:rPr>
          <w:rFonts w:asciiTheme="majorBidi" w:hAnsiTheme="majorBidi" w:cstheme="majorBidi"/>
          <w:b/>
          <w:sz w:val="24"/>
          <w:szCs w:val="24"/>
        </w:rPr>
      </w:pPr>
    </w:p>
    <w:p w14:paraId="5AF3403A" w14:textId="77777777" w:rsidR="0033419C" w:rsidRDefault="0033419C" w:rsidP="0033419C">
      <w:pPr>
        <w:spacing w:line="480" w:lineRule="auto"/>
        <w:jc w:val="center"/>
        <w:rPr>
          <w:rFonts w:asciiTheme="majorBidi" w:hAnsiTheme="majorBidi" w:cstheme="majorBidi"/>
          <w:sz w:val="24"/>
          <w:szCs w:val="24"/>
        </w:rPr>
      </w:pPr>
      <w:r>
        <w:rPr>
          <w:noProof/>
        </w:rPr>
        <w:drawing>
          <wp:inline distT="0" distB="0" distL="0" distR="0" wp14:anchorId="103BB5F5" wp14:editId="02A8B871">
            <wp:extent cx="6153150" cy="4210570"/>
            <wp:effectExtent l="0" t="0" r="0" b="0"/>
            <wp:docPr id="20318973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97379" name=""/>
                    <pic:cNvPicPr/>
                  </pic:nvPicPr>
                  <pic:blipFill>
                    <a:blip r:embed="rId6">
                      <a:extLst>
                        <a:ext uri="{28A0092B-C50C-407E-A947-70E740481C1C}">
                          <a14:useLocalDpi xmlns:a14="http://schemas.microsoft.com/office/drawing/2010/main" val="0"/>
                        </a:ext>
                      </a:extLst>
                    </a:blip>
                    <a:stretch>
                      <a:fillRect/>
                    </a:stretch>
                  </pic:blipFill>
                  <pic:spPr>
                    <a:xfrm>
                      <a:off x="0" y="0"/>
                      <a:ext cx="6176152" cy="4226310"/>
                    </a:xfrm>
                    <a:prstGeom prst="rect">
                      <a:avLst/>
                    </a:prstGeom>
                  </pic:spPr>
                </pic:pic>
              </a:graphicData>
            </a:graphic>
          </wp:inline>
        </w:drawing>
      </w:r>
    </w:p>
    <w:p w14:paraId="305207D1" w14:textId="7A66E6AC" w:rsidR="00CE6B51" w:rsidRPr="00CE6B51" w:rsidRDefault="00CE6B51" w:rsidP="00CE6B51">
      <w:pPr>
        <w:spacing w:line="480" w:lineRule="auto"/>
        <w:rPr>
          <w:rFonts w:asciiTheme="majorBidi" w:hAnsiTheme="majorBidi" w:cstheme="majorBidi"/>
          <w:sz w:val="24"/>
          <w:szCs w:val="24"/>
          <w:lang w:val="en-CA"/>
        </w:rPr>
      </w:pPr>
      <w:r w:rsidRPr="00CE6B51">
        <w:rPr>
          <w:rFonts w:asciiTheme="majorBidi" w:hAnsiTheme="majorBidi" w:cstheme="majorBidi"/>
          <w:b/>
          <w:bCs/>
          <w:sz w:val="24"/>
          <w:szCs w:val="24"/>
          <w:lang w:val="en-CA"/>
        </w:rPr>
        <w:t>Supplementary Figure S1</w:t>
      </w:r>
      <w:r w:rsidRPr="00CE6B51">
        <w:rPr>
          <w:rFonts w:asciiTheme="majorBidi" w:hAnsiTheme="majorBidi" w:cstheme="majorBidi"/>
          <w:b/>
          <w:bCs/>
          <w:sz w:val="24"/>
          <w:szCs w:val="24"/>
          <w:lang w:val="en-CA"/>
        </w:rPr>
        <w:t xml:space="preserve">. </w:t>
      </w:r>
      <w:r w:rsidRPr="00CE6B51">
        <w:rPr>
          <w:rFonts w:asciiTheme="majorBidi" w:hAnsiTheme="majorBidi" w:cstheme="majorBidi"/>
          <w:b/>
          <w:bCs/>
          <w:sz w:val="24"/>
          <w:szCs w:val="24"/>
          <w:lang w:val="en-CA"/>
        </w:rPr>
        <w:t>Participant-specific TA responses across ISIs in adults.</w:t>
      </w:r>
      <w:r w:rsidRPr="00CE6B51">
        <w:rPr>
          <w:rFonts w:asciiTheme="majorBidi" w:hAnsiTheme="majorBidi" w:cstheme="majorBidi"/>
          <w:sz w:val="24"/>
          <w:szCs w:val="24"/>
          <w:lang w:val="en-CA"/>
        </w:rPr>
        <w:t xml:space="preserve"> AUC responses are shown across the 26 latency-referenced ISIs for each adult participant. Motor-threshold and sensory-threshold PNS responses are shown in blue and red, respectively, with the corresponding baseline AUC indicated by dashed lines. Trial-level response distributions are shown around the per-ISI responses; color coding indicates the reported pain rating on a 0–10 scale.</w:t>
      </w:r>
    </w:p>
    <w:p w14:paraId="4CDA9C85" w14:textId="77777777" w:rsidR="0033419C" w:rsidRDefault="0033419C" w:rsidP="00CE6B51">
      <w:pPr>
        <w:spacing w:line="480" w:lineRule="auto"/>
        <w:rPr>
          <w:rFonts w:asciiTheme="majorBidi" w:hAnsiTheme="majorBidi" w:cstheme="majorBidi"/>
          <w:sz w:val="24"/>
          <w:szCs w:val="24"/>
        </w:rPr>
      </w:pPr>
    </w:p>
    <w:p w14:paraId="131B399D" w14:textId="698C5DB7" w:rsidR="0033419C" w:rsidRDefault="0033419C" w:rsidP="0033419C">
      <w:pPr>
        <w:spacing w:line="480" w:lineRule="auto"/>
        <w:jc w:val="center"/>
        <w:rPr>
          <w:rFonts w:asciiTheme="majorBidi" w:hAnsiTheme="majorBidi" w:cstheme="majorBidi"/>
          <w:sz w:val="24"/>
          <w:szCs w:val="24"/>
        </w:rPr>
      </w:pPr>
      <w:r>
        <w:rPr>
          <w:noProof/>
        </w:rPr>
        <w:lastRenderedPageBreak/>
        <w:drawing>
          <wp:inline distT="0" distB="0" distL="0" distR="0" wp14:anchorId="300342D9" wp14:editId="7E969477">
            <wp:extent cx="6153120" cy="4220409"/>
            <wp:effectExtent l="0" t="0" r="635" b="8890"/>
            <wp:docPr id="18318361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6195" name="Picture 1831836195"/>
                    <pic:cNvPicPr/>
                  </pic:nvPicPr>
                  <pic:blipFill>
                    <a:blip r:embed="rId7">
                      <a:extLst>
                        <a:ext uri="{28A0092B-C50C-407E-A947-70E740481C1C}">
                          <a14:useLocalDpi xmlns:a14="http://schemas.microsoft.com/office/drawing/2010/main"/>
                        </a:ext>
                      </a:extLst>
                    </a:blip>
                    <a:stretch>
                      <a:fillRect/>
                    </a:stretch>
                  </pic:blipFill>
                  <pic:spPr>
                    <a:xfrm>
                      <a:off x="0" y="0"/>
                      <a:ext cx="6153120" cy="4220409"/>
                    </a:xfrm>
                    <a:prstGeom prst="rect">
                      <a:avLst/>
                    </a:prstGeom>
                  </pic:spPr>
                </pic:pic>
              </a:graphicData>
            </a:graphic>
          </wp:inline>
        </w:drawing>
      </w:r>
    </w:p>
    <w:p w14:paraId="48837030" w14:textId="24FF70CD" w:rsidR="00CE6B51" w:rsidRPr="00CE6B51" w:rsidRDefault="00CE6B51" w:rsidP="00CE6B51">
      <w:pPr>
        <w:spacing w:line="480" w:lineRule="auto"/>
        <w:rPr>
          <w:rFonts w:asciiTheme="majorBidi" w:hAnsiTheme="majorBidi" w:cstheme="majorBidi"/>
          <w:b/>
          <w:bCs/>
          <w:sz w:val="24"/>
          <w:szCs w:val="24"/>
          <w:lang w:val="en-CA"/>
        </w:rPr>
      </w:pPr>
      <w:r w:rsidRPr="00CE6B51">
        <w:rPr>
          <w:rFonts w:asciiTheme="majorBidi" w:hAnsiTheme="majorBidi" w:cstheme="majorBidi"/>
          <w:b/>
          <w:bCs/>
          <w:sz w:val="24"/>
          <w:szCs w:val="24"/>
          <w:lang w:val="en-CA"/>
        </w:rPr>
        <w:t>Supplementary Figure S2</w:t>
      </w:r>
      <w:r>
        <w:rPr>
          <w:rFonts w:asciiTheme="majorBidi" w:hAnsiTheme="majorBidi" w:cstheme="majorBidi"/>
          <w:b/>
          <w:bCs/>
          <w:sz w:val="24"/>
          <w:szCs w:val="24"/>
          <w:lang w:val="en-CA"/>
        </w:rPr>
        <w:t xml:space="preserve">. </w:t>
      </w:r>
      <w:r w:rsidRPr="00CE6B51">
        <w:rPr>
          <w:rFonts w:asciiTheme="majorBidi" w:hAnsiTheme="majorBidi" w:cstheme="majorBidi"/>
          <w:b/>
          <w:bCs/>
          <w:sz w:val="24"/>
          <w:szCs w:val="24"/>
          <w:lang w:val="en-CA"/>
        </w:rPr>
        <w:t>Participant-specific SOL responses across ISIs in adults.</w:t>
      </w:r>
      <w:r w:rsidRPr="00CE6B51">
        <w:rPr>
          <w:rFonts w:asciiTheme="majorBidi" w:hAnsiTheme="majorBidi" w:cstheme="majorBidi"/>
          <w:sz w:val="24"/>
          <w:szCs w:val="24"/>
          <w:lang w:val="en-CA"/>
        </w:rPr>
        <w:t xml:space="preserve"> AUC responses are shown across the 26 latency-referenced ISIs for each adult participant. Motor-threshold and sensory-threshold PNS responses are shown in blue and red, respectively. Points indicate the per-ISI responses, surrounding distributions illustrate trial-level variability, and dashed lines indicate the corresponding baseline AUC values.</w:t>
      </w:r>
    </w:p>
    <w:p w14:paraId="1A5FC603" w14:textId="77777777" w:rsidR="00CE6B51" w:rsidRDefault="00CE6B51" w:rsidP="0033419C">
      <w:pPr>
        <w:spacing w:line="480" w:lineRule="auto"/>
        <w:jc w:val="center"/>
        <w:rPr>
          <w:rFonts w:asciiTheme="majorBidi" w:hAnsiTheme="majorBidi" w:cstheme="majorBidi"/>
          <w:sz w:val="24"/>
          <w:szCs w:val="24"/>
        </w:rPr>
      </w:pPr>
    </w:p>
    <w:p w14:paraId="7216D0C6" w14:textId="77777777" w:rsidR="0033419C" w:rsidRDefault="0033419C" w:rsidP="0033419C">
      <w:pPr>
        <w:spacing w:line="480" w:lineRule="auto"/>
        <w:jc w:val="both"/>
        <w:rPr>
          <w:rFonts w:asciiTheme="majorBidi" w:hAnsiTheme="majorBidi" w:cstheme="majorBidi"/>
          <w:sz w:val="24"/>
          <w:szCs w:val="24"/>
        </w:rPr>
      </w:pPr>
    </w:p>
    <w:p w14:paraId="014B0D15" w14:textId="77777777" w:rsidR="0033419C" w:rsidRDefault="0033419C" w:rsidP="0033419C">
      <w:pPr>
        <w:spacing w:line="480" w:lineRule="auto"/>
        <w:jc w:val="both"/>
        <w:rPr>
          <w:rFonts w:asciiTheme="majorBidi" w:hAnsiTheme="majorBidi" w:cstheme="majorBidi"/>
          <w:sz w:val="24"/>
          <w:szCs w:val="24"/>
        </w:rPr>
      </w:pPr>
    </w:p>
    <w:p w14:paraId="69556A11" w14:textId="77777777" w:rsidR="0033419C" w:rsidRDefault="0033419C" w:rsidP="0033419C">
      <w:pPr>
        <w:spacing w:line="480" w:lineRule="auto"/>
        <w:jc w:val="both"/>
        <w:rPr>
          <w:rFonts w:asciiTheme="majorBidi" w:hAnsiTheme="majorBidi" w:cstheme="majorBidi"/>
          <w:sz w:val="24"/>
          <w:szCs w:val="24"/>
        </w:rPr>
      </w:pPr>
    </w:p>
    <w:p w14:paraId="149CB64A" w14:textId="77777777" w:rsidR="0033419C" w:rsidRDefault="0033419C" w:rsidP="0033419C">
      <w:pPr>
        <w:spacing w:line="480" w:lineRule="auto"/>
        <w:jc w:val="both"/>
        <w:rPr>
          <w:rFonts w:asciiTheme="majorBidi" w:hAnsiTheme="majorBidi" w:cstheme="majorBidi"/>
          <w:sz w:val="24"/>
          <w:szCs w:val="24"/>
        </w:rPr>
      </w:pPr>
    </w:p>
    <w:p w14:paraId="167E02FF" w14:textId="0F33CE41" w:rsidR="0033419C" w:rsidRDefault="0033419C" w:rsidP="00CE6B51">
      <w:pPr>
        <w:spacing w:line="480" w:lineRule="auto"/>
        <w:rPr>
          <w:rFonts w:asciiTheme="majorBidi" w:hAnsiTheme="majorBidi" w:cstheme="majorBidi"/>
          <w:sz w:val="24"/>
          <w:szCs w:val="24"/>
        </w:rPr>
      </w:pPr>
      <w:r>
        <w:rPr>
          <w:noProof/>
        </w:rPr>
        <w:lastRenderedPageBreak/>
        <w:drawing>
          <wp:inline distT="0" distB="0" distL="0" distR="0" wp14:anchorId="0E3AB788" wp14:editId="09209DC5">
            <wp:extent cx="6140860" cy="4212000"/>
            <wp:effectExtent l="0" t="0" r="0" b="0"/>
            <wp:docPr id="20518406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40605" name="Picture 2051840605"/>
                    <pic:cNvPicPr/>
                  </pic:nvPicPr>
                  <pic:blipFill>
                    <a:blip r:embed="rId8">
                      <a:extLst>
                        <a:ext uri="{28A0092B-C50C-407E-A947-70E740481C1C}">
                          <a14:useLocalDpi xmlns:a14="http://schemas.microsoft.com/office/drawing/2010/main"/>
                        </a:ext>
                      </a:extLst>
                    </a:blip>
                    <a:stretch>
                      <a:fillRect/>
                    </a:stretch>
                  </pic:blipFill>
                  <pic:spPr>
                    <a:xfrm>
                      <a:off x="0" y="0"/>
                      <a:ext cx="6140860" cy="4212000"/>
                    </a:xfrm>
                    <a:prstGeom prst="rect">
                      <a:avLst/>
                    </a:prstGeom>
                  </pic:spPr>
                </pic:pic>
              </a:graphicData>
            </a:graphic>
          </wp:inline>
        </w:drawing>
      </w:r>
    </w:p>
    <w:p w14:paraId="30C38732" w14:textId="17640582" w:rsidR="00CE6B51" w:rsidRPr="00CE6B51" w:rsidRDefault="00CE6B51" w:rsidP="00CE6B51">
      <w:pPr>
        <w:spacing w:line="480" w:lineRule="auto"/>
        <w:rPr>
          <w:rFonts w:asciiTheme="majorBidi" w:hAnsiTheme="majorBidi" w:cstheme="majorBidi"/>
          <w:b/>
          <w:bCs/>
          <w:sz w:val="24"/>
          <w:szCs w:val="24"/>
          <w:lang w:val="en-CA"/>
        </w:rPr>
      </w:pPr>
      <w:r w:rsidRPr="00CE6B51">
        <w:rPr>
          <w:rFonts w:asciiTheme="majorBidi" w:hAnsiTheme="majorBidi" w:cstheme="majorBidi"/>
          <w:b/>
          <w:bCs/>
          <w:sz w:val="24"/>
          <w:szCs w:val="24"/>
          <w:lang w:val="en-CA"/>
        </w:rPr>
        <w:t>Supplementary Figure S3</w:t>
      </w:r>
      <w:r>
        <w:rPr>
          <w:rFonts w:asciiTheme="majorBidi" w:hAnsiTheme="majorBidi" w:cstheme="majorBidi"/>
          <w:b/>
          <w:bCs/>
          <w:sz w:val="24"/>
          <w:szCs w:val="24"/>
          <w:lang w:val="en-CA"/>
        </w:rPr>
        <w:t xml:space="preserve">. </w:t>
      </w:r>
      <w:r w:rsidRPr="00CE6B51">
        <w:rPr>
          <w:rFonts w:asciiTheme="majorBidi" w:hAnsiTheme="majorBidi" w:cstheme="majorBidi"/>
          <w:b/>
          <w:bCs/>
          <w:sz w:val="24"/>
          <w:szCs w:val="24"/>
          <w:lang w:val="en-CA"/>
        </w:rPr>
        <w:t>Participant-specific GAS responses across ISIs in adults.</w:t>
      </w:r>
      <w:r w:rsidRPr="00CE6B51">
        <w:rPr>
          <w:rFonts w:asciiTheme="majorBidi" w:hAnsiTheme="majorBidi" w:cstheme="majorBidi"/>
          <w:sz w:val="24"/>
          <w:szCs w:val="24"/>
          <w:lang w:val="en-CA"/>
        </w:rPr>
        <w:t xml:space="preserve"> AUC</w:t>
      </w:r>
      <w:r>
        <w:rPr>
          <w:rFonts w:asciiTheme="majorBidi" w:hAnsiTheme="majorBidi" w:cstheme="majorBidi"/>
          <w:sz w:val="24"/>
          <w:szCs w:val="24"/>
          <w:lang w:val="en-CA"/>
        </w:rPr>
        <w:t xml:space="preserve"> </w:t>
      </w:r>
      <w:r w:rsidRPr="00CE6B51">
        <w:rPr>
          <w:rFonts w:asciiTheme="majorBidi" w:hAnsiTheme="majorBidi" w:cstheme="majorBidi"/>
          <w:sz w:val="24"/>
          <w:szCs w:val="24"/>
          <w:lang w:val="en-CA"/>
        </w:rPr>
        <w:t>responses are shown across the 26 latency-referenced ISIs for each adult participant. Motor-threshold and sensory-threshold PNS responses are shown in blue and red, respectively. Points indicate the per-ISI responses, surrounding distributions illustrate trial-level variability, and dashed lines indicate the corresponding baseline AUC values.</w:t>
      </w:r>
    </w:p>
    <w:p w14:paraId="55A105F7" w14:textId="77777777" w:rsidR="00CE6B51" w:rsidRDefault="00CE6B51" w:rsidP="00CE6B51">
      <w:pPr>
        <w:spacing w:line="480" w:lineRule="auto"/>
        <w:rPr>
          <w:rFonts w:asciiTheme="majorBidi" w:hAnsiTheme="majorBidi" w:cstheme="majorBidi"/>
          <w:sz w:val="24"/>
          <w:szCs w:val="24"/>
        </w:rPr>
      </w:pPr>
    </w:p>
    <w:p w14:paraId="73F1DF0B" w14:textId="77777777" w:rsidR="0033419C" w:rsidRDefault="0033419C" w:rsidP="0033419C">
      <w:pPr>
        <w:spacing w:line="480" w:lineRule="auto"/>
        <w:jc w:val="center"/>
        <w:rPr>
          <w:rFonts w:asciiTheme="majorBidi" w:hAnsiTheme="majorBidi" w:cstheme="majorBidi"/>
          <w:sz w:val="24"/>
          <w:szCs w:val="24"/>
        </w:rPr>
      </w:pPr>
    </w:p>
    <w:p w14:paraId="46BB7DBB" w14:textId="77777777" w:rsidR="0033419C" w:rsidRDefault="0033419C" w:rsidP="0033419C">
      <w:pPr>
        <w:spacing w:line="480" w:lineRule="auto"/>
        <w:rPr>
          <w:rFonts w:asciiTheme="majorBidi" w:hAnsiTheme="majorBidi" w:cstheme="majorBidi"/>
          <w:b/>
          <w:sz w:val="24"/>
          <w:szCs w:val="24"/>
        </w:rPr>
      </w:pPr>
    </w:p>
    <w:p w14:paraId="41BB442E" w14:textId="77777777" w:rsidR="0033419C" w:rsidRDefault="0033419C" w:rsidP="0033419C">
      <w:pPr>
        <w:spacing w:line="480" w:lineRule="auto"/>
        <w:rPr>
          <w:rFonts w:asciiTheme="majorBidi" w:hAnsiTheme="majorBidi" w:cstheme="majorBidi"/>
          <w:b/>
          <w:sz w:val="24"/>
          <w:szCs w:val="24"/>
        </w:rPr>
      </w:pPr>
    </w:p>
    <w:p w14:paraId="77A1C9B2" w14:textId="77777777" w:rsidR="0033419C" w:rsidRDefault="0033419C" w:rsidP="0033419C">
      <w:pPr>
        <w:spacing w:line="480" w:lineRule="auto"/>
        <w:rPr>
          <w:rFonts w:asciiTheme="majorBidi" w:hAnsiTheme="majorBidi" w:cstheme="majorBidi"/>
          <w:b/>
          <w:sz w:val="24"/>
          <w:szCs w:val="24"/>
        </w:rPr>
      </w:pPr>
    </w:p>
    <w:p w14:paraId="24B11DC5" w14:textId="77777777" w:rsidR="0033419C" w:rsidRDefault="0033419C" w:rsidP="00CE6B51">
      <w:pPr>
        <w:spacing w:after="80"/>
        <w:rPr>
          <w:rFonts w:asciiTheme="majorBidi" w:hAnsiTheme="majorBidi" w:cstheme="majorBidi"/>
          <w:b/>
          <w:sz w:val="24"/>
          <w:szCs w:val="24"/>
        </w:rPr>
      </w:pPr>
      <w:r>
        <w:rPr>
          <w:noProof/>
        </w:rPr>
        <w:lastRenderedPageBreak/>
        <w:drawing>
          <wp:inline distT="0" distB="0" distL="0" distR="0" wp14:anchorId="6E037B66" wp14:editId="055E0507">
            <wp:extent cx="6140861" cy="4212000"/>
            <wp:effectExtent l="0" t="0" r="0" b="0"/>
            <wp:docPr id="7710916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91658" name="Picture 771091658"/>
                    <pic:cNvPicPr/>
                  </pic:nvPicPr>
                  <pic:blipFill>
                    <a:blip r:embed="rId9">
                      <a:extLst>
                        <a:ext uri="{28A0092B-C50C-407E-A947-70E740481C1C}">
                          <a14:useLocalDpi xmlns:a14="http://schemas.microsoft.com/office/drawing/2010/main"/>
                        </a:ext>
                      </a:extLst>
                    </a:blip>
                    <a:stretch>
                      <a:fillRect/>
                    </a:stretch>
                  </pic:blipFill>
                  <pic:spPr>
                    <a:xfrm>
                      <a:off x="0" y="0"/>
                      <a:ext cx="6140861" cy="4212000"/>
                    </a:xfrm>
                    <a:prstGeom prst="rect">
                      <a:avLst/>
                    </a:prstGeom>
                  </pic:spPr>
                </pic:pic>
              </a:graphicData>
            </a:graphic>
          </wp:inline>
        </w:drawing>
      </w:r>
    </w:p>
    <w:p w14:paraId="53C482A1" w14:textId="0DA52CBD" w:rsidR="00CE6B51" w:rsidRPr="00CE6B51" w:rsidRDefault="00CE6B51" w:rsidP="00CE6B51">
      <w:pPr>
        <w:spacing w:line="480" w:lineRule="auto"/>
        <w:rPr>
          <w:rFonts w:asciiTheme="majorBidi" w:hAnsiTheme="majorBidi" w:cstheme="majorBidi"/>
          <w:sz w:val="24"/>
          <w:szCs w:val="24"/>
          <w:lang w:val="en-CA"/>
        </w:rPr>
      </w:pPr>
      <w:r w:rsidRPr="00CE6B51">
        <w:rPr>
          <w:rFonts w:asciiTheme="majorBidi" w:hAnsiTheme="majorBidi" w:cstheme="majorBidi"/>
          <w:b/>
          <w:bCs/>
          <w:sz w:val="24"/>
          <w:szCs w:val="24"/>
          <w:lang w:val="en-CA"/>
        </w:rPr>
        <w:t>Supplementary Figure S4</w:t>
      </w:r>
      <w:r w:rsidRPr="00CE6B51">
        <w:rPr>
          <w:rFonts w:asciiTheme="majorBidi" w:hAnsiTheme="majorBidi" w:cstheme="majorBidi"/>
          <w:b/>
          <w:bCs/>
          <w:sz w:val="24"/>
          <w:szCs w:val="24"/>
          <w:lang w:val="en-CA"/>
        </w:rPr>
        <w:t xml:space="preserve">. </w:t>
      </w:r>
      <w:r w:rsidRPr="00CE6B51">
        <w:rPr>
          <w:rFonts w:asciiTheme="majorBidi" w:hAnsiTheme="majorBidi" w:cstheme="majorBidi"/>
          <w:b/>
          <w:bCs/>
          <w:sz w:val="24"/>
          <w:szCs w:val="24"/>
          <w:lang w:val="en-CA"/>
        </w:rPr>
        <w:t>Participant-specific TA responses across ISIs in children</w:t>
      </w:r>
      <w:r w:rsidRPr="00CE6B51">
        <w:rPr>
          <w:rFonts w:asciiTheme="majorBidi" w:hAnsiTheme="majorBidi" w:cstheme="majorBidi"/>
          <w:sz w:val="24"/>
          <w:szCs w:val="24"/>
          <w:lang w:val="en-CA"/>
        </w:rPr>
        <w:t>. AUC</w:t>
      </w:r>
      <w:r>
        <w:rPr>
          <w:rFonts w:asciiTheme="majorBidi" w:hAnsiTheme="majorBidi" w:cstheme="majorBidi"/>
          <w:sz w:val="24"/>
          <w:szCs w:val="24"/>
          <w:lang w:val="en-CA"/>
        </w:rPr>
        <w:t xml:space="preserve"> </w:t>
      </w:r>
      <w:r w:rsidRPr="00CE6B51">
        <w:rPr>
          <w:rFonts w:asciiTheme="majorBidi" w:hAnsiTheme="majorBidi" w:cstheme="majorBidi"/>
          <w:sz w:val="24"/>
          <w:szCs w:val="24"/>
          <w:lang w:val="en-CA"/>
        </w:rPr>
        <w:t>responses under motor-threshold PNS are shown across the 26 latency-referenced ISIs for each child. Black points indicate the per-ISI responses, surrounding distributions illustrate trial-level variability, and dashed lines indicate the baseline AUC. Color coding indicates the reported pain rating on a 0–10 scale.</w:t>
      </w:r>
    </w:p>
    <w:p w14:paraId="005F315E" w14:textId="77777777" w:rsidR="00CE6B51" w:rsidRDefault="00CE6B51" w:rsidP="00CE6B51">
      <w:pPr>
        <w:spacing w:after="80"/>
        <w:rPr>
          <w:rFonts w:asciiTheme="majorBidi" w:hAnsiTheme="majorBidi" w:cstheme="majorBidi"/>
          <w:b/>
          <w:sz w:val="24"/>
          <w:szCs w:val="24"/>
        </w:rPr>
      </w:pPr>
    </w:p>
    <w:p w14:paraId="52BF1921" w14:textId="77777777" w:rsidR="0033419C" w:rsidRDefault="0033419C" w:rsidP="0033419C">
      <w:pPr>
        <w:spacing w:after="80"/>
        <w:jc w:val="center"/>
        <w:rPr>
          <w:rFonts w:asciiTheme="majorBidi" w:hAnsiTheme="majorBidi" w:cstheme="majorBidi"/>
          <w:b/>
          <w:sz w:val="24"/>
          <w:szCs w:val="24"/>
        </w:rPr>
      </w:pPr>
    </w:p>
    <w:p w14:paraId="49F185EE" w14:textId="77777777" w:rsidR="0033419C" w:rsidRDefault="0033419C" w:rsidP="0033419C">
      <w:pPr>
        <w:spacing w:after="80"/>
        <w:jc w:val="center"/>
        <w:rPr>
          <w:rFonts w:asciiTheme="majorBidi" w:hAnsiTheme="majorBidi" w:cstheme="majorBidi"/>
          <w:b/>
          <w:sz w:val="24"/>
          <w:szCs w:val="24"/>
        </w:rPr>
      </w:pPr>
    </w:p>
    <w:p w14:paraId="49E60857" w14:textId="77777777" w:rsidR="0033419C" w:rsidRDefault="0033419C" w:rsidP="0033419C">
      <w:pPr>
        <w:spacing w:after="80"/>
        <w:jc w:val="center"/>
        <w:rPr>
          <w:rFonts w:asciiTheme="majorBidi" w:hAnsiTheme="majorBidi" w:cstheme="majorBidi"/>
          <w:b/>
          <w:sz w:val="24"/>
          <w:szCs w:val="24"/>
        </w:rPr>
      </w:pPr>
    </w:p>
    <w:p w14:paraId="1D70BDF1" w14:textId="77777777" w:rsidR="0033419C" w:rsidRDefault="0033419C" w:rsidP="0033419C">
      <w:pPr>
        <w:spacing w:after="80"/>
        <w:jc w:val="center"/>
        <w:rPr>
          <w:rFonts w:asciiTheme="majorBidi" w:hAnsiTheme="majorBidi" w:cstheme="majorBidi"/>
          <w:b/>
          <w:sz w:val="24"/>
          <w:szCs w:val="24"/>
        </w:rPr>
      </w:pPr>
    </w:p>
    <w:p w14:paraId="2111DE47" w14:textId="77777777" w:rsidR="0033419C" w:rsidRDefault="0033419C" w:rsidP="0033419C">
      <w:pPr>
        <w:spacing w:after="80"/>
        <w:rPr>
          <w:rFonts w:asciiTheme="majorBidi" w:hAnsiTheme="majorBidi" w:cstheme="majorBidi"/>
          <w:b/>
          <w:sz w:val="24"/>
          <w:szCs w:val="24"/>
        </w:rPr>
      </w:pPr>
    </w:p>
    <w:p w14:paraId="3371B15A" w14:textId="77777777" w:rsidR="0033419C" w:rsidRDefault="0033419C" w:rsidP="0033419C">
      <w:pPr>
        <w:spacing w:after="80"/>
        <w:rPr>
          <w:rFonts w:asciiTheme="majorBidi" w:hAnsiTheme="majorBidi" w:cstheme="majorBidi"/>
          <w:b/>
          <w:sz w:val="24"/>
          <w:szCs w:val="24"/>
        </w:rPr>
      </w:pPr>
    </w:p>
    <w:p w14:paraId="3D7C068E" w14:textId="77777777" w:rsidR="0033419C" w:rsidRDefault="0033419C" w:rsidP="0033419C">
      <w:pPr>
        <w:spacing w:after="80"/>
        <w:rPr>
          <w:rFonts w:asciiTheme="majorBidi" w:hAnsiTheme="majorBidi" w:cstheme="majorBidi"/>
          <w:b/>
          <w:sz w:val="24"/>
          <w:szCs w:val="24"/>
        </w:rPr>
      </w:pPr>
    </w:p>
    <w:p w14:paraId="622CA077" w14:textId="77777777" w:rsidR="0033419C" w:rsidRDefault="0033419C" w:rsidP="0033419C">
      <w:pPr>
        <w:spacing w:after="80"/>
        <w:rPr>
          <w:rFonts w:asciiTheme="majorBidi" w:hAnsiTheme="majorBidi" w:cstheme="majorBidi"/>
          <w:b/>
          <w:sz w:val="24"/>
          <w:szCs w:val="24"/>
        </w:rPr>
      </w:pPr>
    </w:p>
    <w:p w14:paraId="6F85DB97" w14:textId="77777777" w:rsidR="0033419C" w:rsidRDefault="0033419C" w:rsidP="0033419C">
      <w:pPr>
        <w:spacing w:after="80"/>
        <w:rPr>
          <w:rFonts w:asciiTheme="majorBidi" w:hAnsiTheme="majorBidi" w:cstheme="majorBidi"/>
          <w:b/>
          <w:sz w:val="24"/>
          <w:szCs w:val="24"/>
        </w:rPr>
      </w:pPr>
    </w:p>
    <w:p w14:paraId="46A31031" w14:textId="77777777" w:rsidR="0033419C" w:rsidRDefault="0033419C" w:rsidP="0033419C">
      <w:pPr>
        <w:spacing w:after="80"/>
        <w:jc w:val="center"/>
        <w:rPr>
          <w:rFonts w:asciiTheme="majorBidi" w:hAnsiTheme="majorBidi" w:cstheme="majorBidi"/>
          <w:b/>
          <w:sz w:val="24"/>
          <w:szCs w:val="24"/>
        </w:rPr>
      </w:pPr>
      <w:r>
        <w:rPr>
          <w:noProof/>
        </w:rPr>
        <w:lastRenderedPageBreak/>
        <w:drawing>
          <wp:inline distT="0" distB="0" distL="0" distR="0" wp14:anchorId="5DFA5684" wp14:editId="059DC495">
            <wp:extent cx="6140860" cy="4212000"/>
            <wp:effectExtent l="0" t="0" r="0" b="0"/>
            <wp:docPr id="14888079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07943" name="Picture 1488807943"/>
                    <pic:cNvPicPr/>
                  </pic:nvPicPr>
                  <pic:blipFill>
                    <a:blip r:embed="rId10">
                      <a:extLst>
                        <a:ext uri="{28A0092B-C50C-407E-A947-70E740481C1C}">
                          <a14:useLocalDpi xmlns:a14="http://schemas.microsoft.com/office/drawing/2010/main"/>
                        </a:ext>
                      </a:extLst>
                    </a:blip>
                    <a:stretch>
                      <a:fillRect/>
                    </a:stretch>
                  </pic:blipFill>
                  <pic:spPr>
                    <a:xfrm>
                      <a:off x="0" y="0"/>
                      <a:ext cx="6140860" cy="4212000"/>
                    </a:xfrm>
                    <a:prstGeom prst="rect">
                      <a:avLst/>
                    </a:prstGeom>
                  </pic:spPr>
                </pic:pic>
              </a:graphicData>
            </a:graphic>
          </wp:inline>
        </w:drawing>
      </w:r>
    </w:p>
    <w:p w14:paraId="002AF1A9" w14:textId="0A429ED3" w:rsidR="00CE6B51" w:rsidRPr="00CE6B51" w:rsidRDefault="00CE6B51" w:rsidP="00CE6B51">
      <w:pPr>
        <w:spacing w:line="480" w:lineRule="auto"/>
        <w:rPr>
          <w:rFonts w:asciiTheme="majorBidi" w:hAnsiTheme="majorBidi" w:cstheme="majorBidi"/>
          <w:sz w:val="24"/>
          <w:szCs w:val="24"/>
          <w:lang w:val="en-CA"/>
        </w:rPr>
      </w:pPr>
      <w:r w:rsidRPr="00CE6B51">
        <w:rPr>
          <w:rFonts w:asciiTheme="majorBidi" w:hAnsiTheme="majorBidi" w:cstheme="majorBidi"/>
          <w:b/>
          <w:bCs/>
          <w:sz w:val="24"/>
          <w:szCs w:val="24"/>
          <w:lang w:val="en-CA"/>
        </w:rPr>
        <w:t>Supplementary Figure S5</w:t>
      </w:r>
      <w:r w:rsidRPr="00CE6B51">
        <w:rPr>
          <w:rFonts w:asciiTheme="majorBidi" w:hAnsiTheme="majorBidi" w:cstheme="majorBidi"/>
          <w:b/>
          <w:bCs/>
          <w:sz w:val="24"/>
          <w:szCs w:val="24"/>
          <w:lang w:val="en-CA"/>
        </w:rPr>
        <w:t xml:space="preserve">. </w:t>
      </w:r>
      <w:r w:rsidRPr="00CE6B51">
        <w:rPr>
          <w:rFonts w:asciiTheme="majorBidi" w:hAnsiTheme="majorBidi" w:cstheme="majorBidi"/>
          <w:b/>
          <w:bCs/>
          <w:sz w:val="24"/>
          <w:szCs w:val="24"/>
          <w:lang w:val="en-CA"/>
        </w:rPr>
        <w:t>Participant-specific SOL responses across ISIs in children.</w:t>
      </w:r>
      <w:r w:rsidRPr="00CE6B51">
        <w:rPr>
          <w:rFonts w:asciiTheme="majorBidi" w:hAnsiTheme="majorBidi" w:cstheme="majorBidi"/>
          <w:sz w:val="24"/>
          <w:szCs w:val="24"/>
          <w:lang w:val="en-CA"/>
        </w:rPr>
        <w:t xml:space="preserve"> AUC responses under motor-threshold PNS are shown across the 26 latency-referenced ISIs for each child. Black points indicate the per-ISI responses, surrounding distributions illustrate trial-level variability, and dashed lines indicate the baseline AUC.</w:t>
      </w:r>
    </w:p>
    <w:p w14:paraId="2D05662D" w14:textId="77777777" w:rsidR="00CE6B51" w:rsidRDefault="00CE6B51" w:rsidP="00CE6B51">
      <w:pPr>
        <w:spacing w:after="80"/>
        <w:rPr>
          <w:rFonts w:asciiTheme="majorBidi" w:hAnsiTheme="majorBidi" w:cstheme="majorBidi"/>
          <w:b/>
          <w:sz w:val="24"/>
          <w:szCs w:val="24"/>
        </w:rPr>
      </w:pPr>
    </w:p>
    <w:p w14:paraId="37541C60" w14:textId="77777777" w:rsidR="0033419C" w:rsidRDefault="0033419C" w:rsidP="0033419C">
      <w:pPr>
        <w:spacing w:after="80"/>
        <w:jc w:val="center"/>
        <w:rPr>
          <w:rFonts w:asciiTheme="majorBidi" w:hAnsiTheme="majorBidi" w:cstheme="majorBidi"/>
          <w:b/>
          <w:sz w:val="24"/>
          <w:szCs w:val="24"/>
        </w:rPr>
      </w:pPr>
    </w:p>
    <w:p w14:paraId="6ADF1AD8" w14:textId="77777777" w:rsidR="0033419C" w:rsidRDefault="0033419C" w:rsidP="0033419C">
      <w:pPr>
        <w:spacing w:after="80"/>
        <w:jc w:val="center"/>
        <w:rPr>
          <w:rFonts w:asciiTheme="majorBidi" w:hAnsiTheme="majorBidi" w:cstheme="majorBidi"/>
          <w:b/>
          <w:sz w:val="24"/>
          <w:szCs w:val="24"/>
        </w:rPr>
      </w:pPr>
    </w:p>
    <w:p w14:paraId="37361ECF" w14:textId="77777777" w:rsidR="0033419C" w:rsidRDefault="0033419C" w:rsidP="0033419C">
      <w:pPr>
        <w:spacing w:after="80"/>
        <w:jc w:val="center"/>
        <w:rPr>
          <w:rFonts w:asciiTheme="majorBidi" w:hAnsiTheme="majorBidi" w:cstheme="majorBidi"/>
          <w:b/>
          <w:sz w:val="24"/>
          <w:szCs w:val="24"/>
        </w:rPr>
      </w:pPr>
    </w:p>
    <w:p w14:paraId="718CFEE8" w14:textId="77777777" w:rsidR="0033419C" w:rsidRDefault="0033419C" w:rsidP="0033419C">
      <w:pPr>
        <w:spacing w:after="80"/>
        <w:rPr>
          <w:rFonts w:asciiTheme="majorBidi" w:hAnsiTheme="majorBidi" w:cstheme="majorBidi"/>
          <w:b/>
          <w:sz w:val="24"/>
          <w:szCs w:val="24"/>
        </w:rPr>
      </w:pPr>
    </w:p>
    <w:p w14:paraId="5446A34F" w14:textId="77777777" w:rsidR="0033419C" w:rsidRDefault="0033419C" w:rsidP="0033419C">
      <w:pPr>
        <w:spacing w:after="80"/>
        <w:rPr>
          <w:rFonts w:asciiTheme="majorBidi" w:hAnsiTheme="majorBidi" w:cstheme="majorBidi"/>
          <w:b/>
          <w:sz w:val="24"/>
          <w:szCs w:val="24"/>
        </w:rPr>
      </w:pPr>
    </w:p>
    <w:p w14:paraId="0A7C9C87" w14:textId="77777777" w:rsidR="0033419C" w:rsidRDefault="0033419C" w:rsidP="0033419C">
      <w:pPr>
        <w:spacing w:after="80"/>
        <w:rPr>
          <w:rFonts w:asciiTheme="majorBidi" w:hAnsiTheme="majorBidi" w:cstheme="majorBidi"/>
          <w:b/>
          <w:sz w:val="24"/>
          <w:szCs w:val="24"/>
        </w:rPr>
      </w:pPr>
    </w:p>
    <w:p w14:paraId="76BBA583" w14:textId="77777777" w:rsidR="0033419C" w:rsidRDefault="0033419C" w:rsidP="0033419C">
      <w:pPr>
        <w:spacing w:after="80"/>
        <w:rPr>
          <w:rFonts w:asciiTheme="majorBidi" w:hAnsiTheme="majorBidi" w:cstheme="majorBidi"/>
          <w:b/>
          <w:sz w:val="24"/>
          <w:szCs w:val="24"/>
        </w:rPr>
      </w:pPr>
    </w:p>
    <w:p w14:paraId="5535D5CE" w14:textId="77777777" w:rsidR="0033419C" w:rsidRDefault="0033419C" w:rsidP="0033419C">
      <w:pPr>
        <w:spacing w:after="80"/>
        <w:rPr>
          <w:rFonts w:asciiTheme="majorBidi" w:hAnsiTheme="majorBidi" w:cstheme="majorBidi"/>
          <w:b/>
          <w:sz w:val="24"/>
          <w:szCs w:val="24"/>
        </w:rPr>
      </w:pPr>
    </w:p>
    <w:p w14:paraId="0BAC47AE" w14:textId="77777777" w:rsidR="0033419C" w:rsidRDefault="0033419C" w:rsidP="0033419C">
      <w:pPr>
        <w:spacing w:after="80"/>
        <w:rPr>
          <w:rFonts w:asciiTheme="majorBidi" w:hAnsiTheme="majorBidi" w:cstheme="majorBidi"/>
          <w:b/>
          <w:sz w:val="24"/>
          <w:szCs w:val="24"/>
        </w:rPr>
      </w:pPr>
    </w:p>
    <w:p w14:paraId="109A18B8" w14:textId="77777777" w:rsidR="0033419C" w:rsidRDefault="0033419C" w:rsidP="0033419C">
      <w:pPr>
        <w:spacing w:after="80"/>
        <w:rPr>
          <w:rFonts w:asciiTheme="majorBidi" w:hAnsiTheme="majorBidi" w:cstheme="majorBidi"/>
          <w:b/>
          <w:sz w:val="24"/>
          <w:szCs w:val="24"/>
        </w:rPr>
      </w:pPr>
    </w:p>
    <w:p w14:paraId="7B45A4A2" w14:textId="78B0F280" w:rsidR="0033419C" w:rsidRDefault="0033419C" w:rsidP="0033419C">
      <w:pPr>
        <w:spacing w:after="80"/>
        <w:jc w:val="center"/>
        <w:rPr>
          <w:rFonts w:asciiTheme="majorBidi" w:hAnsiTheme="majorBidi" w:cstheme="majorBidi"/>
          <w:b/>
          <w:sz w:val="24"/>
          <w:szCs w:val="24"/>
        </w:rPr>
      </w:pPr>
      <w:r>
        <w:rPr>
          <w:noProof/>
        </w:rPr>
        <w:lastRenderedPageBreak/>
        <w:drawing>
          <wp:inline distT="0" distB="0" distL="0" distR="0" wp14:anchorId="15B1C0FF" wp14:editId="16A50FBD">
            <wp:extent cx="6140860" cy="4212000"/>
            <wp:effectExtent l="0" t="0" r="0" b="0"/>
            <wp:docPr id="1596763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63196" name="Picture 1596763196"/>
                    <pic:cNvPicPr/>
                  </pic:nvPicPr>
                  <pic:blipFill>
                    <a:blip r:embed="rId11">
                      <a:extLst>
                        <a:ext uri="{28A0092B-C50C-407E-A947-70E740481C1C}">
                          <a14:useLocalDpi xmlns:a14="http://schemas.microsoft.com/office/drawing/2010/main"/>
                        </a:ext>
                      </a:extLst>
                    </a:blip>
                    <a:stretch>
                      <a:fillRect/>
                    </a:stretch>
                  </pic:blipFill>
                  <pic:spPr>
                    <a:xfrm>
                      <a:off x="0" y="0"/>
                      <a:ext cx="6140860" cy="4212000"/>
                    </a:xfrm>
                    <a:prstGeom prst="rect">
                      <a:avLst/>
                    </a:prstGeom>
                  </pic:spPr>
                </pic:pic>
              </a:graphicData>
            </a:graphic>
          </wp:inline>
        </w:drawing>
      </w:r>
    </w:p>
    <w:p w14:paraId="1BA52A18" w14:textId="2D121E40" w:rsidR="00CE6B51" w:rsidRPr="00CE6B51" w:rsidRDefault="00CE6B51" w:rsidP="00CE6B51">
      <w:pPr>
        <w:spacing w:line="480" w:lineRule="auto"/>
        <w:rPr>
          <w:rFonts w:asciiTheme="majorBidi" w:hAnsiTheme="majorBidi" w:cstheme="majorBidi"/>
          <w:sz w:val="24"/>
          <w:szCs w:val="24"/>
          <w:lang w:val="en-CA"/>
        </w:rPr>
      </w:pPr>
      <w:r w:rsidRPr="00CE6B51">
        <w:rPr>
          <w:rFonts w:asciiTheme="majorBidi" w:hAnsiTheme="majorBidi" w:cstheme="majorBidi"/>
          <w:b/>
          <w:bCs/>
          <w:sz w:val="24"/>
          <w:szCs w:val="24"/>
          <w:lang w:val="en-CA"/>
        </w:rPr>
        <w:t>Supplementary Figure S6</w:t>
      </w:r>
      <w:r w:rsidRPr="00CE6B51">
        <w:rPr>
          <w:rFonts w:asciiTheme="majorBidi" w:hAnsiTheme="majorBidi" w:cstheme="majorBidi"/>
          <w:b/>
          <w:bCs/>
          <w:sz w:val="24"/>
          <w:szCs w:val="24"/>
          <w:lang w:val="en-CA"/>
        </w:rPr>
        <w:t xml:space="preserve">. </w:t>
      </w:r>
      <w:r w:rsidRPr="00CE6B51">
        <w:rPr>
          <w:rFonts w:asciiTheme="majorBidi" w:hAnsiTheme="majorBidi" w:cstheme="majorBidi"/>
          <w:b/>
          <w:bCs/>
          <w:sz w:val="24"/>
          <w:szCs w:val="24"/>
          <w:lang w:val="en-CA"/>
        </w:rPr>
        <w:t>Participant-specific GAS responses across ISIs in children.</w:t>
      </w:r>
      <w:r w:rsidRPr="00CE6B51">
        <w:rPr>
          <w:rFonts w:asciiTheme="majorBidi" w:hAnsiTheme="majorBidi" w:cstheme="majorBidi"/>
          <w:sz w:val="24"/>
          <w:szCs w:val="24"/>
          <w:lang w:val="en-CA"/>
        </w:rPr>
        <w:t xml:space="preserve"> AUC responses under motor-threshold PNS are shown across the 26 latency-referenced ISIs for each child. Black points indicate the per-ISI responses, surrounding distributions illustrate trial-level variability, and dashed lines indicate the baseline AUC.</w:t>
      </w:r>
    </w:p>
    <w:p w14:paraId="39C9DD4D" w14:textId="77777777" w:rsidR="0033419C" w:rsidRDefault="0033419C" w:rsidP="0033419C"/>
    <w:p w14:paraId="750254F5" w14:textId="399C2E55" w:rsidR="00A2511D" w:rsidRDefault="00A2511D" w:rsidP="0033419C">
      <w:pPr>
        <w:spacing w:after="80"/>
        <w:rPr>
          <w:rFonts w:asciiTheme="majorBidi" w:hAnsiTheme="majorBidi" w:cstheme="majorBidi"/>
          <w:b/>
          <w:sz w:val="24"/>
          <w:szCs w:val="24"/>
        </w:rPr>
      </w:pPr>
      <w:r>
        <w:rPr>
          <w:rFonts w:asciiTheme="majorBidi" w:hAnsiTheme="majorBidi" w:cstheme="majorBidi"/>
          <w:b/>
          <w:noProof/>
          <w:sz w:val="24"/>
          <w:szCs w:val="24"/>
        </w:rPr>
        <w:lastRenderedPageBreak/>
        <w:drawing>
          <wp:inline distT="0" distB="0" distL="0" distR="0" wp14:anchorId="76313C72" wp14:editId="1450CFD7">
            <wp:extent cx="6391275" cy="4238625"/>
            <wp:effectExtent l="0" t="0" r="9525" b="9525"/>
            <wp:docPr id="1443826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91275" cy="4238625"/>
                    </a:xfrm>
                    <a:prstGeom prst="rect">
                      <a:avLst/>
                    </a:prstGeom>
                    <a:noFill/>
                    <a:ln>
                      <a:noFill/>
                    </a:ln>
                  </pic:spPr>
                </pic:pic>
              </a:graphicData>
            </a:graphic>
          </wp:inline>
        </w:drawing>
      </w:r>
    </w:p>
    <w:p w14:paraId="1316D548" w14:textId="74EB16E5" w:rsidR="00CE6B51" w:rsidRPr="00CE6B51" w:rsidRDefault="00CE6B51" w:rsidP="00CE6B51">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S7</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Participant-specific GP ISI–response profiles for adult TA under motor-threshold PNS.</w:t>
      </w:r>
      <w:r w:rsidRPr="00CE6B51">
        <w:rPr>
          <w:rFonts w:asciiTheme="majorBidi" w:hAnsiTheme="majorBidi" w:cstheme="majorBidi"/>
          <w:sz w:val="24"/>
          <w:szCs w:val="24"/>
          <w:lang w:val="en-CA"/>
        </w:rPr>
        <w:t xml:space="preserve"> Gray points represent trial-level baseline-referenced conditioned MEP responses for each participant. Colored curves show the participant-specific GP posterior mean, with shaded regions representing the approximate 95% credible interval. The horizontal dashed line indicates the unconditioned baseline (log-ratio = 0), and triangles indicate the ISI corresponding to the maximum GP posterior mean.</w:t>
      </w:r>
    </w:p>
    <w:p w14:paraId="67665830" w14:textId="77777777" w:rsidR="00CE6B51" w:rsidRDefault="00CE6B51" w:rsidP="0033419C">
      <w:pPr>
        <w:spacing w:after="80"/>
        <w:rPr>
          <w:rFonts w:asciiTheme="majorBidi" w:hAnsiTheme="majorBidi" w:cstheme="majorBidi"/>
          <w:b/>
          <w:sz w:val="24"/>
          <w:szCs w:val="24"/>
        </w:rPr>
      </w:pPr>
    </w:p>
    <w:p w14:paraId="18852E3A" w14:textId="77777777" w:rsidR="00A2511D" w:rsidRDefault="00A2511D" w:rsidP="0033419C">
      <w:pPr>
        <w:spacing w:after="80"/>
        <w:rPr>
          <w:rFonts w:asciiTheme="majorBidi" w:hAnsiTheme="majorBidi" w:cstheme="majorBidi"/>
          <w:b/>
          <w:sz w:val="24"/>
          <w:szCs w:val="24"/>
        </w:rPr>
      </w:pPr>
    </w:p>
    <w:p w14:paraId="083A1103" w14:textId="77777777" w:rsidR="00A2511D" w:rsidRDefault="00A2511D" w:rsidP="0033419C">
      <w:pPr>
        <w:spacing w:after="80"/>
        <w:rPr>
          <w:rFonts w:asciiTheme="majorBidi" w:hAnsiTheme="majorBidi" w:cstheme="majorBidi"/>
          <w:b/>
          <w:sz w:val="24"/>
          <w:szCs w:val="24"/>
        </w:rPr>
      </w:pPr>
    </w:p>
    <w:p w14:paraId="66B467B5" w14:textId="77777777" w:rsidR="00A2511D" w:rsidRDefault="00A2511D" w:rsidP="0033419C">
      <w:pPr>
        <w:spacing w:after="80"/>
        <w:rPr>
          <w:rFonts w:asciiTheme="majorBidi" w:hAnsiTheme="majorBidi" w:cstheme="majorBidi"/>
          <w:b/>
          <w:sz w:val="24"/>
          <w:szCs w:val="24"/>
        </w:rPr>
      </w:pPr>
    </w:p>
    <w:p w14:paraId="162657AF" w14:textId="77777777" w:rsidR="00A2511D" w:rsidRDefault="00A2511D" w:rsidP="0033419C">
      <w:pPr>
        <w:spacing w:after="80"/>
        <w:rPr>
          <w:rFonts w:asciiTheme="majorBidi" w:hAnsiTheme="majorBidi" w:cstheme="majorBidi"/>
          <w:b/>
          <w:sz w:val="24"/>
          <w:szCs w:val="24"/>
        </w:rPr>
      </w:pPr>
    </w:p>
    <w:p w14:paraId="5CD853D2" w14:textId="77777777" w:rsidR="00A2511D" w:rsidRDefault="00A2511D" w:rsidP="0033419C">
      <w:pPr>
        <w:spacing w:after="80"/>
        <w:rPr>
          <w:rFonts w:asciiTheme="majorBidi" w:hAnsiTheme="majorBidi" w:cstheme="majorBidi"/>
          <w:b/>
          <w:sz w:val="24"/>
          <w:szCs w:val="24"/>
        </w:rPr>
      </w:pPr>
    </w:p>
    <w:p w14:paraId="19CA9262" w14:textId="77777777" w:rsidR="00A2511D" w:rsidRDefault="00A2511D" w:rsidP="0033419C">
      <w:pPr>
        <w:spacing w:after="80"/>
        <w:rPr>
          <w:rFonts w:asciiTheme="majorBidi" w:hAnsiTheme="majorBidi" w:cstheme="majorBidi"/>
          <w:b/>
          <w:sz w:val="24"/>
          <w:szCs w:val="24"/>
        </w:rPr>
      </w:pPr>
    </w:p>
    <w:p w14:paraId="41AADD01" w14:textId="77777777" w:rsidR="00A2511D" w:rsidRDefault="00A2511D" w:rsidP="0033419C">
      <w:pPr>
        <w:spacing w:after="80"/>
        <w:rPr>
          <w:rFonts w:asciiTheme="majorBidi" w:hAnsiTheme="majorBidi" w:cstheme="majorBidi"/>
          <w:b/>
          <w:sz w:val="24"/>
          <w:szCs w:val="24"/>
        </w:rPr>
      </w:pPr>
    </w:p>
    <w:p w14:paraId="75885144" w14:textId="77777777" w:rsidR="00A2511D" w:rsidRDefault="00A2511D" w:rsidP="0033419C">
      <w:pPr>
        <w:spacing w:after="80"/>
        <w:rPr>
          <w:rFonts w:asciiTheme="majorBidi" w:hAnsiTheme="majorBidi" w:cstheme="majorBidi"/>
          <w:b/>
          <w:sz w:val="24"/>
          <w:szCs w:val="24"/>
        </w:rPr>
      </w:pPr>
    </w:p>
    <w:p w14:paraId="6574DD06" w14:textId="5A03D513" w:rsidR="00A2511D" w:rsidRDefault="00A2511D" w:rsidP="00A2511D">
      <w:pPr>
        <w:spacing w:after="80"/>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5D11DA12" wp14:editId="6602CBC9">
            <wp:extent cx="6391275" cy="4238625"/>
            <wp:effectExtent l="0" t="0" r="9525" b="9525"/>
            <wp:docPr id="1426778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1275" cy="4238625"/>
                    </a:xfrm>
                    <a:prstGeom prst="rect">
                      <a:avLst/>
                    </a:prstGeom>
                    <a:noFill/>
                    <a:ln>
                      <a:noFill/>
                    </a:ln>
                  </pic:spPr>
                </pic:pic>
              </a:graphicData>
            </a:graphic>
          </wp:inline>
        </w:drawing>
      </w:r>
    </w:p>
    <w:p w14:paraId="470ADF83" w14:textId="1F9E70D1" w:rsidR="00B74959" w:rsidRPr="00B74959" w:rsidRDefault="00B74959" w:rsidP="00B74959">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S8</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Participant-specific GP ISI–response profiles for adult SOL under motor-threshold PNS</w:t>
      </w:r>
      <w:r w:rsidRPr="00B74959">
        <w:rPr>
          <w:rFonts w:asciiTheme="majorBidi" w:hAnsiTheme="majorBidi" w:cstheme="majorBidi"/>
          <w:sz w:val="24"/>
          <w:szCs w:val="24"/>
          <w:lang w:val="en-CA"/>
        </w:rPr>
        <w:t>. Gray points represent trial-level baseline-referenced conditioned MEP responses. Colored curves show the participant-specific GP posterior mean, with shaded regions representing the approximate 95% credible interval. The horizontal dashed line indicates the unconditioned baseline, and triangles indicate the ISI corresponding to the maximum GP posterior mean.</w:t>
      </w:r>
    </w:p>
    <w:p w14:paraId="492A1634" w14:textId="77777777" w:rsidR="00B74959" w:rsidRDefault="00B74959" w:rsidP="00A2511D">
      <w:pPr>
        <w:spacing w:after="80"/>
        <w:rPr>
          <w:rFonts w:asciiTheme="majorBidi" w:hAnsiTheme="majorBidi" w:cstheme="majorBidi"/>
          <w:sz w:val="24"/>
          <w:szCs w:val="24"/>
        </w:rPr>
      </w:pPr>
    </w:p>
    <w:p w14:paraId="317AC6F6" w14:textId="77777777" w:rsidR="00A2511D" w:rsidRDefault="00A2511D" w:rsidP="00A2511D">
      <w:pPr>
        <w:spacing w:after="80"/>
        <w:rPr>
          <w:rFonts w:asciiTheme="majorBidi" w:hAnsiTheme="majorBidi" w:cstheme="majorBidi"/>
          <w:sz w:val="24"/>
          <w:szCs w:val="24"/>
        </w:rPr>
      </w:pPr>
    </w:p>
    <w:p w14:paraId="154C0F25" w14:textId="77777777" w:rsidR="00A2511D" w:rsidRDefault="00A2511D" w:rsidP="00A2511D">
      <w:pPr>
        <w:spacing w:after="80"/>
        <w:rPr>
          <w:rFonts w:asciiTheme="majorBidi" w:hAnsiTheme="majorBidi" w:cstheme="majorBidi"/>
          <w:sz w:val="24"/>
          <w:szCs w:val="24"/>
        </w:rPr>
      </w:pPr>
    </w:p>
    <w:p w14:paraId="36E37523" w14:textId="77777777" w:rsidR="00A2511D" w:rsidRDefault="00A2511D" w:rsidP="00A2511D">
      <w:pPr>
        <w:spacing w:after="80"/>
        <w:rPr>
          <w:rFonts w:asciiTheme="majorBidi" w:hAnsiTheme="majorBidi" w:cstheme="majorBidi"/>
          <w:sz w:val="24"/>
          <w:szCs w:val="24"/>
        </w:rPr>
      </w:pPr>
    </w:p>
    <w:p w14:paraId="72987E9B" w14:textId="77777777" w:rsidR="00A2511D" w:rsidRDefault="00A2511D" w:rsidP="00A2511D">
      <w:pPr>
        <w:spacing w:after="80"/>
        <w:rPr>
          <w:rFonts w:asciiTheme="majorBidi" w:hAnsiTheme="majorBidi" w:cstheme="majorBidi"/>
          <w:sz w:val="24"/>
          <w:szCs w:val="24"/>
        </w:rPr>
      </w:pPr>
    </w:p>
    <w:p w14:paraId="6898140E" w14:textId="77777777" w:rsidR="00A2511D" w:rsidRDefault="00A2511D" w:rsidP="00A2511D">
      <w:pPr>
        <w:spacing w:after="80"/>
        <w:rPr>
          <w:rFonts w:asciiTheme="majorBidi" w:hAnsiTheme="majorBidi" w:cstheme="majorBidi"/>
          <w:sz w:val="24"/>
          <w:szCs w:val="24"/>
        </w:rPr>
      </w:pPr>
    </w:p>
    <w:p w14:paraId="7ED1D8EC" w14:textId="77777777" w:rsidR="00A2511D" w:rsidRDefault="00A2511D" w:rsidP="00A2511D">
      <w:pPr>
        <w:spacing w:after="80"/>
        <w:rPr>
          <w:rFonts w:asciiTheme="majorBidi" w:hAnsiTheme="majorBidi" w:cstheme="majorBidi"/>
          <w:sz w:val="24"/>
          <w:szCs w:val="24"/>
        </w:rPr>
      </w:pPr>
    </w:p>
    <w:p w14:paraId="516F027D" w14:textId="77777777" w:rsidR="00A2511D" w:rsidRDefault="00A2511D" w:rsidP="00A2511D">
      <w:pPr>
        <w:spacing w:after="80"/>
        <w:rPr>
          <w:rFonts w:asciiTheme="majorBidi" w:hAnsiTheme="majorBidi" w:cstheme="majorBidi"/>
          <w:sz w:val="24"/>
          <w:szCs w:val="24"/>
        </w:rPr>
      </w:pPr>
    </w:p>
    <w:p w14:paraId="0789C4D9" w14:textId="77777777" w:rsidR="00A2511D" w:rsidRDefault="00A2511D" w:rsidP="00A2511D">
      <w:pPr>
        <w:spacing w:after="80"/>
        <w:rPr>
          <w:rFonts w:asciiTheme="majorBidi" w:hAnsiTheme="majorBidi" w:cstheme="majorBidi"/>
          <w:sz w:val="24"/>
          <w:szCs w:val="24"/>
        </w:rPr>
      </w:pPr>
    </w:p>
    <w:p w14:paraId="73DDEA00" w14:textId="1C5ACA9C" w:rsidR="00A2511D" w:rsidRDefault="00A2511D" w:rsidP="00A2511D">
      <w:pPr>
        <w:spacing w:after="80"/>
        <w:rPr>
          <w:rFonts w:asciiTheme="majorBidi" w:hAnsiTheme="majorBidi" w:cstheme="majorBidi"/>
          <w:b/>
          <w:sz w:val="24"/>
          <w:szCs w:val="24"/>
        </w:rPr>
      </w:pPr>
      <w:r>
        <w:rPr>
          <w:rFonts w:asciiTheme="majorBidi" w:hAnsiTheme="majorBidi" w:cstheme="majorBidi"/>
          <w:b/>
          <w:noProof/>
          <w:sz w:val="24"/>
          <w:szCs w:val="24"/>
        </w:rPr>
        <w:lastRenderedPageBreak/>
        <w:drawing>
          <wp:inline distT="0" distB="0" distL="0" distR="0" wp14:anchorId="0227D93A" wp14:editId="750F4624">
            <wp:extent cx="6391275" cy="4238625"/>
            <wp:effectExtent l="0" t="0" r="9525" b="9525"/>
            <wp:docPr id="8532962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91275" cy="4238625"/>
                    </a:xfrm>
                    <a:prstGeom prst="rect">
                      <a:avLst/>
                    </a:prstGeom>
                    <a:noFill/>
                    <a:ln>
                      <a:noFill/>
                    </a:ln>
                  </pic:spPr>
                </pic:pic>
              </a:graphicData>
            </a:graphic>
          </wp:inline>
        </w:drawing>
      </w:r>
    </w:p>
    <w:p w14:paraId="3DA9DC60" w14:textId="0FC76583" w:rsidR="00B74959" w:rsidRPr="00B74959" w:rsidRDefault="00B74959" w:rsidP="00B74959">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S9</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Participant-specific GP ISI–response profiles for adult GAS under motor-threshold PNS</w:t>
      </w:r>
      <w:r w:rsidRPr="00B74959">
        <w:rPr>
          <w:rFonts w:asciiTheme="majorBidi" w:hAnsiTheme="majorBidi" w:cstheme="majorBidi"/>
          <w:sz w:val="24"/>
          <w:szCs w:val="24"/>
          <w:lang w:val="en-CA"/>
        </w:rPr>
        <w:t>. Gray points represent trial-level baseline-referenced conditioned MEP responses. Colored curves show the participant-specific GP posterior mean, with shaded regions representing the approximate 95% credible interval. The horizontal dashed line indicates the unconditioned baseline, and triangles indicate the ISI corresponding to the maximum GP posterior mean.</w:t>
      </w:r>
    </w:p>
    <w:p w14:paraId="53AA14CD" w14:textId="77777777" w:rsidR="00B74959" w:rsidRDefault="00B74959" w:rsidP="00A2511D">
      <w:pPr>
        <w:spacing w:after="80"/>
        <w:rPr>
          <w:rFonts w:asciiTheme="majorBidi" w:hAnsiTheme="majorBidi" w:cstheme="majorBidi"/>
          <w:b/>
          <w:sz w:val="24"/>
          <w:szCs w:val="24"/>
        </w:rPr>
      </w:pPr>
    </w:p>
    <w:p w14:paraId="6F018CF0" w14:textId="77777777" w:rsidR="00A2511D" w:rsidRDefault="00A2511D" w:rsidP="00A2511D">
      <w:pPr>
        <w:spacing w:after="80"/>
        <w:rPr>
          <w:rFonts w:asciiTheme="majorBidi" w:hAnsiTheme="majorBidi" w:cstheme="majorBidi"/>
          <w:sz w:val="24"/>
          <w:szCs w:val="24"/>
        </w:rPr>
      </w:pPr>
    </w:p>
    <w:p w14:paraId="7E007914" w14:textId="77777777" w:rsidR="00A2511D" w:rsidRDefault="00A2511D" w:rsidP="00A2511D">
      <w:pPr>
        <w:spacing w:after="80"/>
        <w:rPr>
          <w:rFonts w:asciiTheme="majorBidi" w:hAnsiTheme="majorBidi" w:cstheme="majorBidi"/>
          <w:sz w:val="24"/>
          <w:szCs w:val="24"/>
        </w:rPr>
      </w:pPr>
    </w:p>
    <w:p w14:paraId="691203AB" w14:textId="77777777" w:rsidR="00A2511D" w:rsidRDefault="00A2511D" w:rsidP="00A2511D">
      <w:pPr>
        <w:spacing w:after="80"/>
        <w:rPr>
          <w:rFonts w:asciiTheme="majorBidi" w:hAnsiTheme="majorBidi" w:cstheme="majorBidi"/>
          <w:sz w:val="24"/>
          <w:szCs w:val="24"/>
        </w:rPr>
      </w:pPr>
    </w:p>
    <w:p w14:paraId="390981AF" w14:textId="77777777" w:rsidR="00A2511D" w:rsidRDefault="00A2511D" w:rsidP="00A2511D">
      <w:pPr>
        <w:spacing w:after="80"/>
        <w:rPr>
          <w:rFonts w:asciiTheme="majorBidi" w:hAnsiTheme="majorBidi" w:cstheme="majorBidi"/>
          <w:sz w:val="24"/>
          <w:szCs w:val="24"/>
        </w:rPr>
      </w:pPr>
    </w:p>
    <w:p w14:paraId="4E8F3E4E" w14:textId="77777777" w:rsidR="00A2511D" w:rsidRDefault="00A2511D" w:rsidP="00A2511D">
      <w:pPr>
        <w:spacing w:after="80"/>
        <w:rPr>
          <w:rFonts w:asciiTheme="majorBidi" w:hAnsiTheme="majorBidi" w:cstheme="majorBidi"/>
          <w:sz w:val="24"/>
          <w:szCs w:val="24"/>
        </w:rPr>
      </w:pPr>
    </w:p>
    <w:p w14:paraId="46EB74B6" w14:textId="77777777" w:rsidR="00A2511D" w:rsidRDefault="00A2511D" w:rsidP="00A2511D">
      <w:pPr>
        <w:spacing w:after="80"/>
        <w:rPr>
          <w:rFonts w:asciiTheme="majorBidi" w:hAnsiTheme="majorBidi" w:cstheme="majorBidi"/>
          <w:sz w:val="24"/>
          <w:szCs w:val="24"/>
        </w:rPr>
      </w:pPr>
    </w:p>
    <w:p w14:paraId="5E401421" w14:textId="77777777" w:rsidR="00A2511D" w:rsidRDefault="00A2511D" w:rsidP="00A2511D">
      <w:pPr>
        <w:spacing w:after="80"/>
        <w:rPr>
          <w:rFonts w:asciiTheme="majorBidi" w:hAnsiTheme="majorBidi" w:cstheme="majorBidi"/>
          <w:sz w:val="24"/>
          <w:szCs w:val="24"/>
        </w:rPr>
      </w:pPr>
    </w:p>
    <w:p w14:paraId="5359E156" w14:textId="77777777" w:rsidR="00A2511D" w:rsidRDefault="00A2511D" w:rsidP="00A2511D">
      <w:pPr>
        <w:spacing w:after="80"/>
        <w:rPr>
          <w:rFonts w:asciiTheme="majorBidi" w:hAnsiTheme="majorBidi" w:cstheme="majorBidi"/>
          <w:sz w:val="24"/>
          <w:szCs w:val="24"/>
        </w:rPr>
      </w:pPr>
    </w:p>
    <w:p w14:paraId="6F5565AB" w14:textId="56527207" w:rsidR="0033419C" w:rsidRDefault="0045239F" w:rsidP="0033419C">
      <w:pPr>
        <w:spacing w:after="80"/>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0E1E9DDB" wp14:editId="6A33A47E">
            <wp:extent cx="6238967" cy="4212000"/>
            <wp:effectExtent l="0" t="0" r="9525" b="0"/>
            <wp:docPr id="326765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38967" cy="4212000"/>
                    </a:xfrm>
                    <a:prstGeom prst="rect">
                      <a:avLst/>
                    </a:prstGeom>
                    <a:noFill/>
                    <a:ln>
                      <a:noFill/>
                    </a:ln>
                  </pic:spPr>
                </pic:pic>
              </a:graphicData>
            </a:graphic>
          </wp:inline>
        </w:drawing>
      </w:r>
    </w:p>
    <w:p w14:paraId="6B2AD6AE" w14:textId="64962A60" w:rsidR="00B74959" w:rsidRPr="00B74959" w:rsidRDefault="00B74959" w:rsidP="00B74959">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S10</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Participant-specific GP ISI–response profiles for adult TA under sensory-threshold PNS</w:t>
      </w:r>
      <w:r w:rsidRPr="00B74959">
        <w:rPr>
          <w:rFonts w:asciiTheme="majorBidi" w:hAnsiTheme="majorBidi" w:cstheme="majorBidi"/>
          <w:sz w:val="24"/>
          <w:szCs w:val="24"/>
          <w:lang w:val="en-CA"/>
        </w:rPr>
        <w:t>. Gray points represent trial-level baseline-referenced conditioned MEP responses. Colored curves show the participant-specific GP posterior mean, with shaded regions representing the approximate 95% credible interval. The horizontal dashed line indicates the unconditioned baseline, and triangles indicate the ISI corresponding to the maximum GP posterior mean.</w:t>
      </w:r>
    </w:p>
    <w:p w14:paraId="390C8F02" w14:textId="77777777" w:rsidR="00B74959" w:rsidRDefault="00B74959" w:rsidP="0033419C">
      <w:pPr>
        <w:spacing w:after="80"/>
        <w:jc w:val="center"/>
        <w:rPr>
          <w:rFonts w:asciiTheme="majorBidi" w:hAnsiTheme="majorBidi" w:cstheme="majorBidi"/>
          <w:sz w:val="24"/>
          <w:szCs w:val="24"/>
        </w:rPr>
      </w:pPr>
    </w:p>
    <w:p w14:paraId="5D4C635B" w14:textId="77777777" w:rsidR="0045239F" w:rsidRDefault="0045239F" w:rsidP="0033419C">
      <w:pPr>
        <w:spacing w:after="80"/>
        <w:jc w:val="center"/>
        <w:rPr>
          <w:rFonts w:asciiTheme="majorBidi" w:hAnsiTheme="majorBidi" w:cstheme="majorBidi"/>
          <w:sz w:val="24"/>
          <w:szCs w:val="24"/>
        </w:rPr>
      </w:pPr>
    </w:p>
    <w:p w14:paraId="6774B723" w14:textId="77777777" w:rsidR="0045239F" w:rsidRDefault="0045239F" w:rsidP="0033419C">
      <w:pPr>
        <w:spacing w:after="80"/>
        <w:jc w:val="center"/>
        <w:rPr>
          <w:rFonts w:asciiTheme="majorBidi" w:hAnsiTheme="majorBidi" w:cstheme="majorBidi"/>
          <w:sz w:val="24"/>
          <w:szCs w:val="24"/>
        </w:rPr>
      </w:pPr>
    </w:p>
    <w:p w14:paraId="761AB45A" w14:textId="77777777" w:rsidR="0045239F" w:rsidRDefault="0045239F" w:rsidP="0033419C">
      <w:pPr>
        <w:spacing w:after="80"/>
        <w:jc w:val="center"/>
        <w:rPr>
          <w:rFonts w:asciiTheme="majorBidi" w:hAnsiTheme="majorBidi" w:cstheme="majorBidi"/>
          <w:b/>
          <w:sz w:val="24"/>
          <w:szCs w:val="24"/>
        </w:rPr>
      </w:pPr>
    </w:p>
    <w:p w14:paraId="1F768737" w14:textId="77777777" w:rsidR="0045239F" w:rsidRDefault="0045239F" w:rsidP="0033419C">
      <w:pPr>
        <w:spacing w:after="80"/>
        <w:jc w:val="center"/>
        <w:rPr>
          <w:rFonts w:asciiTheme="majorBidi" w:hAnsiTheme="majorBidi" w:cstheme="majorBidi"/>
          <w:b/>
          <w:sz w:val="24"/>
          <w:szCs w:val="24"/>
        </w:rPr>
      </w:pPr>
    </w:p>
    <w:p w14:paraId="7F6B4172" w14:textId="77777777" w:rsidR="0045239F" w:rsidRDefault="0045239F" w:rsidP="0033419C">
      <w:pPr>
        <w:spacing w:after="80"/>
        <w:jc w:val="center"/>
        <w:rPr>
          <w:rFonts w:asciiTheme="majorBidi" w:hAnsiTheme="majorBidi" w:cstheme="majorBidi"/>
          <w:b/>
          <w:sz w:val="24"/>
          <w:szCs w:val="24"/>
        </w:rPr>
      </w:pPr>
    </w:p>
    <w:p w14:paraId="22668B8C" w14:textId="77777777" w:rsidR="0045239F" w:rsidRDefault="0045239F" w:rsidP="0033419C">
      <w:pPr>
        <w:spacing w:after="80"/>
        <w:jc w:val="center"/>
        <w:rPr>
          <w:rFonts w:asciiTheme="majorBidi" w:hAnsiTheme="majorBidi" w:cstheme="majorBidi"/>
          <w:b/>
          <w:sz w:val="24"/>
          <w:szCs w:val="24"/>
        </w:rPr>
      </w:pPr>
    </w:p>
    <w:p w14:paraId="66933CA4" w14:textId="77777777" w:rsidR="0045239F" w:rsidRDefault="0045239F" w:rsidP="0033419C">
      <w:pPr>
        <w:spacing w:after="80"/>
        <w:jc w:val="center"/>
        <w:rPr>
          <w:rFonts w:asciiTheme="majorBidi" w:hAnsiTheme="majorBidi" w:cstheme="majorBidi"/>
          <w:b/>
          <w:sz w:val="24"/>
          <w:szCs w:val="24"/>
        </w:rPr>
      </w:pPr>
    </w:p>
    <w:p w14:paraId="0722AB8A" w14:textId="77777777" w:rsidR="0045239F" w:rsidRDefault="0045239F" w:rsidP="0033419C">
      <w:pPr>
        <w:spacing w:after="80"/>
        <w:jc w:val="center"/>
        <w:rPr>
          <w:rFonts w:asciiTheme="majorBidi" w:hAnsiTheme="majorBidi" w:cstheme="majorBidi"/>
          <w:b/>
          <w:sz w:val="24"/>
          <w:szCs w:val="24"/>
        </w:rPr>
      </w:pPr>
    </w:p>
    <w:p w14:paraId="623C2079" w14:textId="21516FE2" w:rsidR="0045239F" w:rsidRDefault="0045239F" w:rsidP="0045239F">
      <w:pPr>
        <w:spacing w:after="80"/>
        <w:rPr>
          <w:rFonts w:asciiTheme="majorBidi" w:hAnsiTheme="majorBidi" w:cstheme="majorBidi"/>
          <w:sz w:val="24"/>
          <w:szCs w:val="24"/>
        </w:rPr>
      </w:pPr>
      <w:r>
        <w:rPr>
          <w:rFonts w:asciiTheme="majorBidi" w:hAnsiTheme="majorBidi" w:cstheme="majorBidi"/>
          <w:b/>
          <w:noProof/>
          <w:sz w:val="24"/>
          <w:szCs w:val="24"/>
        </w:rPr>
        <w:lastRenderedPageBreak/>
        <w:drawing>
          <wp:inline distT="0" distB="0" distL="0" distR="0" wp14:anchorId="53FA15B1" wp14:editId="26140C96">
            <wp:extent cx="6628721" cy="4212000"/>
            <wp:effectExtent l="0" t="0" r="1270" b="0"/>
            <wp:docPr id="10253989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28721" cy="4212000"/>
                    </a:xfrm>
                    <a:prstGeom prst="rect">
                      <a:avLst/>
                    </a:prstGeom>
                    <a:noFill/>
                    <a:ln>
                      <a:noFill/>
                    </a:ln>
                  </pic:spPr>
                </pic:pic>
              </a:graphicData>
            </a:graphic>
          </wp:inline>
        </w:drawing>
      </w:r>
    </w:p>
    <w:p w14:paraId="0E1579DA" w14:textId="75630BE1" w:rsidR="00B74959" w:rsidRPr="00B74959" w:rsidRDefault="00B74959" w:rsidP="00B74959">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S11</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Participant-specific GP ISI–response profiles for adult SOL under sensory-threshold PNS.</w:t>
      </w:r>
      <w:r w:rsidRPr="00B74959">
        <w:rPr>
          <w:rFonts w:asciiTheme="majorBidi" w:hAnsiTheme="majorBidi" w:cstheme="majorBidi"/>
          <w:sz w:val="24"/>
          <w:szCs w:val="24"/>
          <w:lang w:val="en-CA"/>
        </w:rPr>
        <w:t xml:space="preserve"> Gray points represent trial-level baseline-referenced conditioned MEP responses. Colored curves show the participant-specific GP posterior mean, with shaded regions representing the approximate 95% credible interval. The horizontal dashed line indicates the unconditioned baseline, and triangles indicate the ISI corresponding to the maximum GP posterior mean.</w:t>
      </w:r>
    </w:p>
    <w:p w14:paraId="2CBB5A32" w14:textId="77777777" w:rsidR="00B74959" w:rsidRDefault="00B74959" w:rsidP="0045239F">
      <w:pPr>
        <w:spacing w:after="80"/>
        <w:rPr>
          <w:rFonts w:asciiTheme="majorBidi" w:hAnsiTheme="majorBidi" w:cstheme="majorBidi"/>
          <w:sz w:val="24"/>
          <w:szCs w:val="24"/>
        </w:rPr>
      </w:pPr>
    </w:p>
    <w:p w14:paraId="6B9A74BA" w14:textId="77777777" w:rsidR="0045239F" w:rsidRDefault="0045239F" w:rsidP="0045239F">
      <w:pPr>
        <w:spacing w:after="80"/>
        <w:rPr>
          <w:rFonts w:asciiTheme="majorBidi" w:hAnsiTheme="majorBidi" w:cstheme="majorBidi"/>
          <w:sz w:val="24"/>
          <w:szCs w:val="24"/>
        </w:rPr>
      </w:pPr>
    </w:p>
    <w:p w14:paraId="19151F8B" w14:textId="77777777" w:rsidR="0045239F" w:rsidRDefault="0045239F" w:rsidP="0045239F">
      <w:pPr>
        <w:spacing w:after="80"/>
        <w:rPr>
          <w:rFonts w:asciiTheme="majorBidi" w:hAnsiTheme="majorBidi" w:cstheme="majorBidi"/>
          <w:sz w:val="24"/>
          <w:szCs w:val="24"/>
        </w:rPr>
      </w:pPr>
    </w:p>
    <w:p w14:paraId="5BFF1753" w14:textId="77777777" w:rsidR="0045239F" w:rsidRDefault="0045239F" w:rsidP="0045239F">
      <w:pPr>
        <w:spacing w:after="80"/>
        <w:rPr>
          <w:rFonts w:asciiTheme="majorBidi" w:hAnsiTheme="majorBidi" w:cstheme="majorBidi"/>
          <w:sz w:val="24"/>
          <w:szCs w:val="24"/>
        </w:rPr>
      </w:pPr>
    </w:p>
    <w:p w14:paraId="6E84BE89" w14:textId="77777777" w:rsidR="0045239F" w:rsidRDefault="0045239F" w:rsidP="0045239F">
      <w:pPr>
        <w:spacing w:after="80"/>
        <w:rPr>
          <w:rFonts w:asciiTheme="majorBidi" w:hAnsiTheme="majorBidi" w:cstheme="majorBidi"/>
          <w:sz w:val="24"/>
          <w:szCs w:val="24"/>
        </w:rPr>
      </w:pPr>
    </w:p>
    <w:p w14:paraId="764B9969" w14:textId="77777777" w:rsidR="0045239F" w:rsidRDefault="0045239F" w:rsidP="0045239F">
      <w:pPr>
        <w:spacing w:after="80"/>
        <w:rPr>
          <w:rFonts w:asciiTheme="majorBidi" w:hAnsiTheme="majorBidi" w:cstheme="majorBidi"/>
          <w:sz w:val="24"/>
          <w:szCs w:val="24"/>
        </w:rPr>
      </w:pPr>
    </w:p>
    <w:p w14:paraId="0D363DF3" w14:textId="77777777" w:rsidR="0045239F" w:rsidRDefault="0045239F" w:rsidP="0045239F">
      <w:pPr>
        <w:spacing w:after="80"/>
        <w:rPr>
          <w:rFonts w:asciiTheme="majorBidi" w:hAnsiTheme="majorBidi" w:cstheme="majorBidi"/>
          <w:sz w:val="24"/>
          <w:szCs w:val="24"/>
        </w:rPr>
      </w:pPr>
    </w:p>
    <w:p w14:paraId="3497C428" w14:textId="77777777" w:rsidR="0045239F" w:rsidRDefault="0045239F" w:rsidP="0045239F">
      <w:pPr>
        <w:spacing w:after="80"/>
        <w:rPr>
          <w:rFonts w:asciiTheme="majorBidi" w:hAnsiTheme="majorBidi" w:cstheme="majorBidi"/>
          <w:sz w:val="24"/>
          <w:szCs w:val="24"/>
        </w:rPr>
      </w:pPr>
    </w:p>
    <w:p w14:paraId="33BFE194" w14:textId="77777777" w:rsidR="0045239F" w:rsidRDefault="0045239F" w:rsidP="0045239F">
      <w:pPr>
        <w:spacing w:after="80"/>
        <w:rPr>
          <w:rFonts w:asciiTheme="majorBidi" w:hAnsiTheme="majorBidi" w:cstheme="majorBidi"/>
          <w:sz w:val="24"/>
          <w:szCs w:val="24"/>
        </w:rPr>
      </w:pPr>
    </w:p>
    <w:p w14:paraId="37DBCBD2" w14:textId="6D2043A3" w:rsidR="0033419C" w:rsidRDefault="0045239F" w:rsidP="0045239F">
      <w:pPr>
        <w:spacing w:after="80"/>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585E1E65" wp14:editId="108A560E">
            <wp:extent cx="6628721" cy="4212000"/>
            <wp:effectExtent l="0" t="0" r="1270" b="0"/>
            <wp:docPr id="11726146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8721" cy="4212000"/>
                    </a:xfrm>
                    <a:prstGeom prst="rect">
                      <a:avLst/>
                    </a:prstGeom>
                    <a:noFill/>
                    <a:ln>
                      <a:noFill/>
                    </a:ln>
                  </pic:spPr>
                </pic:pic>
              </a:graphicData>
            </a:graphic>
          </wp:inline>
        </w:drawing>
      </w:r>
    </w:p>
    <w:p w14:paraId="188AFCEF" w14:textId="35973D13" w:rsidR="00B74959" w:rsidRPr="00B74959" w:rsidRDefault="00B74959" w:rsidP="00B74959">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S12</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Participant-specific GP ISI–response profiles for adult GAS under sensory-threshold PNS</w:t>
      </w:r>
      <w:r w:rsidRPr="00B74959">
        <w:rPr>
          <w:rFonts w:asciiTheme="majorBidi" w:hAnsiTheme="majorBidi" w:cstheme="majorBidi"/>
          <w:sz w:val="24"/>
          <w:szCs w:val="24"/>
          <w:lang w:val="en-CA"/>
        </w:rPr>
        <w:t>. Gray points represent trial-level baseline-referenced conditioned MEP responses. Colored curves show the participant-specific GP posterior mean, with shaded regions representing the approximate 95% credible interval. The horizontal dashed line indicates the unconditioned baseline, and triangles indicate the ISI corresponding to the maximum GP posterior mean.</w:t>
      </w:r>
    </w:p>
    <w:p w14:paraId="6997C8E6" w14:textId="77777777" w:rsidR="00B74959" w:rsidRPr="0033419C" w:rsidRDefault="00B74959" w:rsidP="0045239F">
      <w:pPr>
        <w:spacing w:after="80"/>
        <w:rPr>
          <w:rFonts w:asciiTheme="majorBidi" w:hAnsiTheme="majorBidi" w:cstheme="majorBidi"/>
          <w:sz w:val="24"/>
          <w:szCs w:val="24"/>
        </w:rPr>
      </w:pPr>
    </w:p>
    <w:p w14:paraId="21EC1DF2" w14:textId="375F1EEC" w:rsidR="0033419C" w:rsidRDefault="0033419C" w:rsidP="0033419C">
      <w:pPr>
        <w:rPr>
          <w:rFonts w:asciiTheme="majorBidi" w:hAnsiTheme="majorBidi" w:cstheme="majorBidi"/>
          <w:sz w:val="24"/>
          <w:szCs w:val="24"/>
        </w:rPr>
      </w:pPr>
      <w:r w:rsidRPr="0033419C">
        <w:rPr>
          <w:rFonts w:asciiTheme="majorBidi" w:hAnsiTheme="majorBidi" w:cstheme="majorBidi"/>
          <w:sz w:val="24"/>
          <w:szCs w:val="24"/>
        </w:rPr>
        <w:br w:type="page"/>
      </w:r>
      <w:r w:rsidR="009D30C1">
        <w:rPr>
          <w:rFonts w:asciiTheme="majorBidi" w:hAnsiTheme="majorBidi" w:cstheme="majorBidi"/>
          <w:noProof/>
          <w:sz w:val="24"/>
          <w:szCs w:val="24"/>
        </w:rPr>
        <w:lastRenderedPageBreak/>
        <w:drawing>
          <wp:inline distT="0" distB="0" distL="0" distR="0" wp14:anchorId="6CE79D7B" wp14:editId="10120E37">
            <wp:extent cx="6391275" cy="3248025"/>
            <wp:effectExtent l="0" t="0" r="9525" b="9525"/>
            <wp:docPr id="16424353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1663"/>
                    <a:stretch>
                      <a:fillRect/>
                    </a:stretch>
                  </pic:blipFill>
                  <pic:spPr bwMode="auto">
                    <a:xfrm>
                      <a:off x="0" y="0"/>
                      <a:ext cx="6391275" cy="3248025"/>
                    </a:xfrm>
                    <a:prstGeom prst="rect">
                      <a:avLst/>
                    </a:prstGeom>
                    <a:noFill/>
                    <a:ln>
                      <a:noFill/>
                    </a:ln>
                    <a:extLst>
                      <a:ext uri="{53640926-AAD7-44D8-BBD7-CCE9431645EC}">
                        <a14:shadowObscured xmlns:a14="http://schemas.microsoft.com/office/drawing/2010/main"/>
                      </a:ext>
                    </a:extLst>
                  </pic:spPr>
                </pic:pic>
              </a:graphicData>
            </a:graphic>
          </wp:inline>
        </w:drawing>
      </w:r>
    </w:p>
    <w:p w14:paraId="4D801559" w14:textId="43D7928F" w:rsidR="00811A84" w:rsidRPr="00CE6B51" w:rsidRDefault="00811A84" w:rsidP="00811A84">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w:t>
      </w:r>
      <w:r>
        <w:rPr>
          <w:rFonts w:asciiTheme="majorBidi" w:hAnsiTheme="majorBidi" w:cstheme="majorBidi"/>
          <w:b/>
          <w:bCs/>
          <w:sz w:val="24"/>
          <w:szCs w:val="24"/>
          <w:lang w:val="en-CA"/>
        </w:rPr>
        <w:t>13</w:t>
      </w:r>
      <w:r w:rsidRPr="00B74959">
        <w:rPr>
          <w:rFonts w:asciiTheme="majorBidi" w:hAnsiTheme="majorBidi" w:cstheme="majorBidi"/>
          <w:b/>
          <w:bCs/>
          <w:sz w:val="24"/>
          <w:szCs w:val="24"/>
          <w:lang w:val="en-CA"/>
        </w:rPr>
        <w:t xml:space="preserve">. Participant-specific GP ISI–response profiles for </w:t>
      </w:r>
      <w:r>
        <w:rPr>
          <w:rFonts w:asciiTheme="majorBidi" w:hAnsiTheme="majorBidi" w:cstheme="majorBidi"/>
          <w:b/>
          <w:bCs/>
          <w:sz w:val="24"/>
          <w:szCs w:val="24"/>
          <w:lang w:val="en-CA"/>
        </w:rPr>
        <w:t>children</w:t>
      </w:r>
      <w:r w:rsidRPr="00B74959">
        <w:rPr>
          <w:rFonts w:asciiTheme="majorBidi" w:hAnsiTheme="majorBidi" w:cstheme="majorBidi"/>
          <w:b/>
          <w:bCs/>
          <w:sz w:val="24"/>
          <w:szCs w:val="24"/>
          <w:lang w:val="en-CA"/>
        </w:rPr>
        <w:t xml:space="preserve"> TA under motor-threshold PNS.</w:t>
      </w:r>
      <w:r w:rsidRPr="00CE6B51">
        <w:rPr>
          <w:rFonts w:asciiTheme="majorBidi" w:hAnsiTheme="majorBidi" w:cstheme="majorBidi"/>
          <w:sz w:val="24"/>
          <w:szCs w:val="24"/>
          <w:lang w:val="en-CA"/>
        </w:rPr>
        <w:t xml:space="preserve"> Gray points represent trial-level baseline-referenced conditioned MEP responses for each participant. Colored curves show the participant-specific GP posterior mean, with shaded regions representing the approximate 95% credible interval. The horizontal dashed line indicates the unconditioned baseline, and triangles indicate the ISI corresponding to the maximum GP posterior mean.</w:t>
      </w:r>
    </w:p>
    <w:p w14:paraId="6AE67EF4" w14:textId="7EE869E8" w:rsidR="009D30C1" w:rsidRDefault="00811A84" w:rsidP="0033419C">
      <w:pP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09D36404" wp14:editId="2090E0C4">
            <wp:extent cx="6400800" cy="3362325"/>
            <wp:effectExtent l="0" t="0" r="0" b="9525"/>
            <wp:docPr id="20366675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32505"/>
                    <a:stretch>
                      <a:fillRect/>
                    </a:stretch>
                  </pic:blipFill>
                  <pic:spPr bwMode="auto">
                    <a:xfrm>
                      <a:off x="0" y="0"/>
                      <a:ext cx="6400800" cy="3362325"/>
                    </a:xfrm>
                    <a:prstGeom prst="rect">
                      <a:avLst/>
                    </a:prstGeom>
                    <a:noFill/>
                    <a:ln>
                      <a:noFill/>
                    </a:ln>
                    <a:extLst>
                      <a:ext uri="{53640926-AAD7-44D8-BBD7-CCE9431645EC}">
                        <a14:shadowObscured xmlns:a14="http://schemas.microsoft.com/office/drawing/2010/main"/>
                      </a:ext>
                    </a:extLst>
                  </pic:spPr>
                </pic:pic>
              </a:graphicData>
            </a:graphic>
          </wp:inline>
        </w:drawing>
      </w:r>
    </w:p>
    <w:p w14:paraId="47EFBF8F" w14:textId="6B1F72CA" w:rsidR="00811A84" w:rsidRPr="00CE6B51" w:rsidRDefault="00811A84" w:rsidP="00811A84">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w:t>
      </w:r>
      <w:r>
        <w:rPr>
          <w:rFonts w:asciiTheme="majorBidi" w:hAnsiTheme="majorBidi" w:cstheme="majorBidi"/>
          <w:b/>
          <w:bCs/>
          <w:sz w:val="24"/>
          <w:szCs w:val="24"/>
          <w:lang w:val="en-CA"/>
        </w:rPr>
        <w:t>1</w:t>
      </w:r>
      <w:r>
        <w:rPr>
          <w:rFonts w:asciiTheme="majorBidi" w:hAnsiTheme="majorBidi" w:cstheme="majorBidi"/>
          <w:b/>
          <w:bCs/>
          <w:sz w:val="24"/>
          <w:szCs w:val="24"/>
          <w:lang w:val="en-CA"/>
        </w:rPr>
        <w:t>4</w:t>
      </w:r>
      <w:r w:rsidRPr="00B74959">
        <w:rPr>
          <w:rFonts w:asciiTheme="majorBidi" w:hAnsiTheme="majorBidi" w:cstheme="majorBidi"/>
          <w:b/>
          <w:bCs/>
          <w:sz w:val="24"/>
          <w:szCs w:val="24"/>
          <w:lang w:val="en-CA"/>
        </w:rPr>
        <w:t xml:space="preserve">. Participant-specific GP ISI–response profiles for </w:t>
      </w:r>
      <w:r>
        <w:rPr>
          <w:rFonts w:asciiTheme="majorBidi" w:hAnsiTheme="majorBidi" w:cstheme="majorBidi"/>
          <w:b/>
          <w:bCs/>
          <w:sz w:val="24"/>
          <w:szCs w:val="24"/>
          <w:lang w:val="en-CA"/>
        </w:rPr>
        <w:t>children</w:t>
      </w:r>
      <w:r w:rsidRPr="00B74959">
        <w:rPr>
          <w:rFonts w:asciiTheme="majorBidi" w:hAnsiTheme="majorBidi" w:cstheme="majorBidi"/>
          <w:b/>
          <w:bCs/>
          <w:sz w:val="24"/>
          <w:szCs w:val="24"/>
          <w:lang w:val="en-CA"/>
        </w:rPr>
        <w:t xml:space="preserve"> </w:t>
      </w:r>
      <w:r>
        <w:rPr>
          <w:rFonts w:asciiTheme="majorBidi" w:hAnsiTheme="majorBidi" w:cstheme="majorBidi"/>
          <w:b/>
          <w:bCs/>
          <w:sz w:val="24"/>
          <w:szCs w:val="24"/>
          <w:lang w:val="en-CA"/>
        </w:rPr>
        <w:t>SOL</w:t>
      </w:r>
      <w:r w:rsidRPr="00B74959">
        <w:rPr>
          <w:rFonts w:asciiTheme="majorBidi" w:hAnsiTheme="majorBidi" w:cstheme="majorBidi"/>
          <w:b/>
          <w:bCs/>
          <w:sz w:val="24"/>
          <w:szCs w:val="24"/>
          <w:lang w:val="en-CA"/>
        </w:rPr>
        <w:t xml:space="preserve"> under motor-threshold PNS.</w:t>
      </w:r>
      <w:r w:rsidRPr="00CE6B51">
        <w:rPr>
          <w:rFonts w:asciiTheme="majorBidi" w:hAnsiTheme="majorBidi" w:cstheme="majorBidi"/>
          <w:sz w:val="24"/>
          <w:szCs w:val="24"/>
          <w:lang w:val="en-CA"/>
        </w:rPr>
        <w:t xml:space="preserve"> Gray points represent trial-level baseline-referenced conditioned MEP responses for each participant. Colored curves show the participant-specific GP posterior mean, with shaded regions representing the approximate 95% credible interval. The horizontal dashed line indicates the unconditioned baseline, and triangles indicate the ISI corresponding to the maximum GP posterior mean.</w:t>
      </w:r>
    </w:p>
    <w:p w14:paraId="709C5019" w14:textId="77777777" w:rsidR="009D30C1" w:rsidRDefault="009D30C1" w:rsidP="0033419C">
      <w:pPr>
        <w:rPr>
          <w:rFonts w:asciiTheme="majorBidi" w:hAnsiTheme="majorBidi" w:cstheme="majorBidi"/>
          <w:sz w:val="24"/>
          <w:szCs w:val="24"/>
        </w:rPr>
      </w:pPr>
    </w:p>
    <w:p w14:paraId="6A610295" w14:textId="74C9B3D0" w:rsidR="009D30C1" w:rsidRDefault="00811A84" w:rsidP="0033419C">
      <w:pP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4BA49E08" wp14:editId="2AA8960B">
            <wp:extent cx="6391275" cy="3581400"/>
            <wp:effectExtent l="0" t="0" r="9525" b="0"/>
            <wp:docPr id="7233329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32495"/>
                    <a:stretch>
                      <a:fillRect/>
                    </a:stretch>
                  </pic:blipFill>
                  <pic:spPr bwMode="auto">
                    <a:xfrm>
                      <a:off x="0" y="0"/>
                      <a:ext cx="6391275" cy="3581400"/>
                    </a:xfrm>
                    <a:prstGeom prst="rect">
                      <a:avLst/>
                    </a:prstGeom>
                    <a:noFill/>
                    <a:ln>
                      <a:noFill/>
                    </a:ln>
                    <a:extLst>
                      <a:ext uri="{53640926-AAD7-44D8-BBD7-CCE9431645EC}">
                        <a14:shadowObscured xmlns:a14="http://schemas.microsoft.com/office/drawing/2010/main"/>
                      </a:ext>
                    </a:extLst>
                  </pic:spPr>
                </pic:pic>
              </a:graphicData>
            </a:graphic>
          </wp:inline>
        </w:drawing>
      </w:r>
    </w:p>
    <w:p w14:paraId="603420BA" w14:textId="54826D51" w:rsidR="00811A84" w:rsidRPr="00CE6B51" w:rsidRDefault="00811A84" w:rsidP="00811A84">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w:t>
      </w:r>
      <w:r>
        <w:rPr>
          <w:rFonts w:asciiTheme="majorBidi" w:hAnsiTheme="majorBidi" w:cstheme="majorBidi"/>
          <w:b/>
          <w:bCs/>
          <w:sz w:val="24"/>
          <w:szCs w:val="24"/>
          <w:lang w:val="en-CA"/>
        </w:rPr>
        <w:t>1</w:t>
      </w:r>
      <w:r>
        <w:rPr>
          <w:rFonts w:asciiTheme="majorBidi" w:hAnsiTheme="majorBidi" w:cstheme="majorBidi"/>
          <w:b/>
          <w:bCs/>
          <w:sz w:val="24"/>
          <w:szCs w:val="24"/>
          <w:lang w:val="en-CA"/>
        </w:rPr>
        <w:t>5</w:t>
      </w:r>
      <w:r w:rsidRPr="00B74959">
        <w:rPr>
          <w:rFonts w:asciiTheme="majorBidi" w:hAnsiTheme="majorBidi" w:cstheme="majorBidi"/>
          <w:b/>
          <w:bCs/>
          <w:sz w:val="24"/>
          <w:szCs w:val="24"/>
          <w:lang w:val="en-CA"/>
        </w:rPr>
        <w:t xml:space="preserve">. Participant-specific GP ISI–response profiles for </w:t>
      </w:r>
      <w:r>
        <w:rPr>
          <w:rFonts w:asciiTheme="majorBidi" w:hAnsiTheme="majorBidi" w:cstheme="majorBidi"/>
          <w:b/>
          <w:bCs/>
          <w:sz w:val="24"/>
          <w:szCs w:val="24"/>
          <w:lang w:val="en-CA"/>
        </w:rPr>
        <w:t>children</w:t>
      </w:r>
      <w:r w:rsidRPr="00B74959">
        <w:rPr>
          <w:rFonts w:asciiTheme="majorBidi" w:hAnsiTheme="majorBidi" w:cstheme="majorBidi"/>
          <w:b/>
          <w:bCs/>
          <w:sz w:val="24"/>
          <w:szCs w:val="24"/>
          <w:lang w:val="en-CA"/>
        </w:rPr>
        <w:t xml:space="preserve"> </w:t>
      </w:r>
      <w:r>
        <w:rPr>
          <w:rFonts w:asciiTheme="majorBidi" w:hAnsiTheme="majorBidi" w:cstheme="majorBidi"/>
          <w:b/>
          <w:bCs/>
          <w:sz w:val="24"/>
          <w:szCs w:val="24"/>
          <w:lang w:val="en-CA"/>
        </w:rPr>
        <w:t>GAS</w:t>
      </w:r>
      <w:r w:rsidRPr="00B74959">
        <w:rPr>
          <w:rFonts w:asciiTheme="majorBidi" w:hAnsiTheme="majorBidi" w:cstheme="majorBidi"/>
          <w:b/>
          <w:bCs/>
          <w:sz w:val="24"/>
          <w:szCs w:val="24"/>
          <w:lang w:val="en-CA"/>
        </w:rPr>
        <w:t xml:space="preserve"> under motor-threshold PNS.</w:t>
      </w:r>
      <w:r w:rsidRPr="00CE6B51">
        <w:rPr>
          <w:rFonts w:asciiTheme="majorBidi" w:hAnsiTheme="majorBidi" w:cstheme="majorBidi"/>
          <w:sz w:val="24"/>
          <w:szCs w:val="24"/>
          <w:lang w:val="en-CA"/>
        </w:rPr>
        <w:t xml:space="preserve"> Gray points represent trial-level baseline-referenced conditioned MEP responses for each participant. Colored curves show the participant-specific GP posterior mean, with shaded regions representing the approximate 95% credible interval. The horizontal dashed line indicates the unconditioned baseline, and triangles indicate the ISI corresponding to the maximum GP posterior mean.</w:t>
      </w:r>
    </w:p>
    <w:p w14:paraId="564858DB" w14:textId="77777777" w:rsidR="009D30C1" w:rsidRDefault="009D30C1" w:rsidP="0033419C">
      <w:pPr>
        <w:rPr>
          <w:rFonts w:asciiTheme="majorBidi" w:hAnsiTheme="majorBidi" w:cstheme="majorBidi"/>
          <w:sz w:val="24"/>
          <w:szCs w:val="24"/>
        </w:rPr>
      </w:pPr>
    </w:p>
    <w:p w14:paraId="1102BB6E" w14:textId="77777777" w:rsidR="009D30C1" w:rsidRDefault="009D30C1" w:rsidP="0033419C">
      <w:pPr>
        <w:rPr>
          <w:rFonts w:asciiTheme="majorBidi" w:hAnsiTheme="majorBidi" w:cstheme="majorBidi"/>
          <w:sz w:val="24"/>
          <w:szCs w:val="24"/>
        </w:rPr>
      </w:pPr>
    </w:p>
    <w:p w14:paraId="2E279D63" w14:textId="77777777" w:rsidR="009D30C1" w:rsidRDefault="009D30C1" w:rsidP="0033419C">
      <w:pPr>
        <w:rPr>
          <w:rFonts w:asciiTheme="majorBidi" w:hAnsiTheme="majorBidi" w:cstheme="majorBidi"/>
          <w:sz w:val="24"/>
          <w:szCs w:val="24"/>
        </w:rPr>
      </w:pPr>
    </w:p>
    <w:p w14:paraId="2C718874" w14:textId="77777777" w:rsidR="009D30C1" w:rsidRDefault="009D30C1" w:rsidP="0033419C">
      <w:pPr>
        <w:rPr>
          <w:rFonts w:asciiTheme="majorBidi" w:hAnsiTheme="majorBidi" w:cstheme="majorBidi"/>
          <w:sz w:val="24"/>
          <w:szCs w:val="24"/>
        </w:rPr>
      </w:pPr>
    </w:p>
    <w:p w14:paraId="1DBB658B" w14:textId="77777777" w:rsidR="009D30C1" w:rsidRDefault="009D30C1" w:rsidP="0033419C">
      <w:pPr>
        <w:rPr>
          <w:rFonts w:asciiTheme="majorBidi" w:hAnsiTheme="majorBidi" w:cstheme="majorBidi"/>
          <w:sz w:val="24"/>
          <w:szCs w:val="24"/>
        </w:rPr>
      </w:pPr>
    </w:p>
    <w:p w14:paraId="7EE0C5D2" w14:textId="77777777" w:rsidR="009D30C1" w:rsidRPr="0033419C" w:rsidRDefault="009D30C1" w:rsidP="0033419C">
      <w:pPr>
        <w:rPr>
          <w:rFonts w:asciiTheme="majorBidi" w:hAnsiTheme="majorBidi" w:cstheme="majorBidi"/>
          <w:sz w:val="24"/>
          <w:szCs w:val="24"/>
        </w:rPr>
      </w:pPr>
    </w:p>
    <w:p w14:paraId="66871479" w14:textId="18B7710E" w:rsidR="000713EA" w:rsidRDefault="000713EA" w:rsidP="000713EA">
      <w:pPr>
        <w:spacing w:after="80"/>
        <w:rPr>
          <w:rFonts w:asciiTheme="majorBidi" w:hAnsiTheme="majorBidi" w:cstheme="majorBidi"/>
          <w:sz w:val="24"/>
          <w:szCs w:val="24"/>
        </w:rPr>
      </w:pPr>
      <w:r>
        <w:rPr>
          <w:rFonts w:asciiTheme="majorBidi" w:hAnsiTheme="majorBidi" w:cstheme="majorBidi"/>
          <w:b/>
          <w:noProof/>
          <w:sz w:val="24"/>
          <w:szCs w:val="24"/>
        </w:rPr>
        <w:lastRenderedPageBreak/>
        <w:drawing>
          <wp:inline distT="0" distB="0" distL="0" distR="0" wp14:anchorId="088FD1D8" wp14:editId="7F3DE123">
            <wp:extent cx="6391275" cy="3686175"/>
            <wp:effectExtent l="0" t="0" r="9525" b="9525"/>
            <wp:docPr id="1328936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91275" cy="3686175"/>
                    </a:xfrm>
                    <a:prstGeom prst="rect">
                      <a:avLst/>
                    </a:prstGeom>
                    <a:noFill/>
                    <a:ln>
                      <a:noFill/>
                    </a:ln>
                  </pic:spPr>
                </pic:pic>
              </a:graphicData>
            </a:graphic>
          </wp:inline>
        </w:drawing>
      </w:r>
    </w:p>
    <w:p w14:paraId="46D67DF0" w14:textId="474054B0" w:rsidR="00B74959" w:rsidRPr="00B74959" w:rsidRDefault="00B74959" w:rsidP="00B74959">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S1</w:t>
      </w:r>
      <w:r>
        <w:rPr>
          <w:rFonts w:asciiTheme="majorBidi" w:hAnsiTheme="majorBidi" w:cstheme="majorBidi"/>
          <w:b/>
          <w:bCs/>
          <w:sz w:val="24"/>
          <w:szCs w:val="24"/>
          <w:lang w:val="en-CA"/>
        </w:rPr>
        <w:t>6</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GP model performance and data efficiency for SOL under motor-threshold PNS in adults and children</w:t>
      </w:r>
      <w:r w:rsidRPr="00B74959">
        <w:rPr>
          <w:rFonts w:asciiTheme="majorBidi" w:hAnsiTheme="majorBidi" w:cstheme="majorBidi"/>
          <w:sz w:val="24"/>
          <w:szCs w:val="24"/>
          <w:lang w:val="en-CA"/>
        </w:rPr>
        <w:t>. The top row shows adults and the bottom row shows children. (A,D) Training R² across GP length scales, evaluated relative to individual trial responses and the complete per-ISI mean profile, together with the empirical variance ceiling. (B,E) Leave-one-ISI-out cross-validation R² across GP length scales. Thin gray lines represent individual participants and dashed blue lines represent the group mean. (C,F) Recovery of the complete-repetition reference profile as a function of the number of repetitions per ISI. Thin gray lines represent individual participants; the dotted line represents empirical per-ISI averaging and the solid blue line represents GP regression.</w:t>
      </w:r>
    </w:p>
    <w:p w14:paraId="007037F6" w14:textId="77777777" w:rsidR="00B74959" w:rsidRDefault="00B74959" w:rsidP="000713EA">
      <w:pPr>
        <w:spacing w:after="80"/>
        <w:rPr>
          <w:rFonts w:asciiTheme="majorBidi" w:hAnsiTheme="majorBidi" w:cstheme="majorBidi"/>
          <w:sz w:val="24"/>
          <w:szCs w:val="24"/>
        </w:rPr>
      </w:pPr>
    </w:p>
    <w:p w14:paraId="482DD040" w14:textId="77777777" w:rsidR="000713EA" w:rsidRDefault="000713EA" w:rsidP="000713EA">
      <w:pPr>
        <w:spacing w:after="80"/>
        <w:rPr>
          <w:rFonts w:asciiTheme="majorBidi" w:hAnsiTheme="majorBidi" w:cstheme="majorBidi"/>
          <w:sz w:val="24"/>
          <w:szCs w:val="24"/>
        </w:rPr>
      </w:pPr>
    </w:p>
    <w:p w14:paraId="75EFFC3D" w14:textId="77777777" w:rsidR="000713EA" w:rsidRDefault="000713EA" w:rsidP="000713EA">
      <w:pPr>
        <w:spacing w:after="80"/>
        <w:rPr>
          <w:rFonts w:asciiTheme="majorBidi" w:hAnsiTheme="majorBidi" w:cstheme="majorBidi"/>
          <w:sz w:val="24"/>
          <w:szCs w:val="24"/>
        </w:rPr>
      </w:pPr>
    </w:p>
    <w:p w14:paraId="060AD0B5" w14:textId="77777777" w:rsidR="000713EA" w:rsidRDefault="000713EA" w:rsidP="000713EA">
      <w:pPr>
        <w:spacing w:after="80"/>
        <w:rPr>
          <w:rFonts w:asciiTheme="majorBidi" w:hAnsiTheme="majorBidi" w:cstheme="majorBidi"/>
          <w:sz w:val="24"/>
          <w:szCs w:val="24"/>
        </w:rPr>
      </w:pPr>
    </w:p>
    <w:p w14:paraId="499F5A9E" w14:textId="77777777" w:rsidR="000713EA" w:rsidRDefault="000713EA" w:rsidP="000713EA">
      <w:pPr>
        <w:spacing w:after="80"/>
        <w:rPr>
          <w:rFonts w:asciiTheme="majorBidi" w:hAnsiTheme="majorBidi" w:cstheme="majorBidi"/>
          <w:sz w:val="24"/>
          <w:szCs w:val="24"/>
        </w:rPr>
      </w:pPr>
    </w:p>
    <w:p w14:paraId="7D030A2F" w14:textId="77777777" w:rsidR="000713EA" w:rsidRDefault="000713EA" w:rsidP="000713EA">
      <w:pPr>
        <w:spacing w:after="80"/>
        <w:rPr>
          <w:rFonts w:asciiTheme="majorBidi" w:hAnsiTheme="majorBidi" w:cstheme="majorBidi"/>
          <w:sz w:val="24"/>
          <w:szCs w:val="24"/>
        </w:rPr>
      </w:pPr>
    </w:p>
    <w:p w14:paraId="439E9E58" w14:textId="77777777" w:rsidR="000713EA" w:rsidRDefault="000713EA" w:rsidP="000713EA">
      <w:pPr>
        <w:spacing w:after="80"/>
        <w:rPr>
          <w:rFonts w:asciiTheme="majorBidi" w:hAnsiTheme="majorBidi" w:cstheme="majorBidi"/>
          <w:sz w:val="24"/>
          <w:szCs w:val="24"/>
        </w:rPr>
      </w:pPr>
    </w:p>
    <w:p w14:paraId="6601A00A" w14:textId="77777777" w:rsidR="000713EA" w:rsidRDefault="000713EA" w:rsidP="000713EA">
      <w:pPr>
        <w:spacing w:after="80"/>
        <w:rPr>
          <w:rFonts w:asciiTheme="majorBidi" w:hAnsiTheme="majorBidi" w:cstheme="majorBidi"/>
          <w:sz w:val="24"/>
          <w:szCs w:val="24"/>
        </w:rPr>
      </w:pPr>
    </w:p>
    <w:p w14:paraId="2023DC34" w14:textId="0CC3C96D" w:rsidR="000713EA" w:rsidRDefault="000713EA" w:rsidP="0033419C">
      <w:pPr>
        <w:pStyle w:val="SupplementaryCaption"/>
        <w:rPr>
          <w:rFonts w:asciiTheme="majorBidi" w:hAnsiTheme="majorBidi" w:cstheme="majorBidi"/>
          <w:b/>
          <w:sz w:val="24"/>
          <w:szCs w:val="24"/>
        </w:rPr>
      </w:pPr>
      <w:r>
        <w:rPr>
          <w:rFonts w:asciiTheme="majorBidi" w:hAnsiTheme="majorBidi" w:cstheme="majorBidi"/>
          <w:b/>
          <w:noProof/>
          <w:sz w:val="24"/>
          <w:szCs w:val="24"/>
        </w:rPr>
        <w:lastRenderedPageBreak/>
        <w:drawing>
          <wp:inline distT="0" distB="0" distL="0" distR="0" wp14:anchorId="309FE92A" wp14:editId="272CDD98">
            <wp:extent cx="6391275" cy="3686175"/>
            <wp:effectExtent l="0" t="0" r="9525" b="9525"/>
            <wp:docPr id="16775971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91275" cy="3686175"/>
                    </a:xfrm>
                    <a:prstGeom prst="rect">
                      <a:avLst/>
                    </a:prstGeom>
                    <a:noFill/>
                    <a:ln>
                      <a:noFill/>
                    </a:ln>
                  </pic:spPr>
                </pic:pic>
              </a:graphicData>
            </a:graphic>
          </wp:inline>
        </w:drawing>
      </w:r>
    </w:p>
    <w:p w14:paraId="24E5814A" w14:textId="33FE48CC" w:rsidR="00B74959" w:rsidRPr="00B74959" w:rsidRDefault="00B74959" w:rsidP="00B74959">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S1</w:t>
      </w:r>
      <w:r>
        <w:rPr>
          <w:rFonts w:asciiTheme="majorBidi" w:hAnsiTheme="majorBidi" w:cstheme="majorBidi"/>
          <w:b/>
          <w:bCs/>
          <w:sz w:val="24"/>
          <w:szCs w:val="24"/>
          <w:lang w:val="en-CA"/>
        </w:rPr>
        <w:t>7</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GP model performance and data efficiency for GAS under motor-threshold PNS in adults and children</w:t>
      </w:r>
      <w:r w:rsidRPr="00B74959">
        <w:rPr>
          <w:rFonts w:asciiTheme="majorBidi" w:hAnsiTheme="majorBidi" w:cstheme="majorBidi"/>
          <w:sz w:val="24"/>
          <w:szCs w:val="24"/>
          <w:lang w:val="en-CA"/>
        </w:rPr>
        <w:t>. The top row shows adults and the bottom row shows children. (A,D) Training R² across GP length scales, evaluated relative to individual trial responses and the complete per-ISI mean profile, together with the empirical variance ceiling. (B,E) Leave-one-ISI-out cross-validation R² across GP length scales. Thin gray lines represent individual participants and dashed blue lines represent the group mean. (C,F) Recovery of the complete-repetition reference profile as a function of the number of repetitions per ISI. Thin gray lines represent individual participants; the dotted line represents empirical per-ISI averaging and the solid blue line represents GP regression.</w:t>
      </w:r>
    </w:p>
    <w:p w14:paraId="6607883C" w14:textId="77777777" w:rsidR="00B74959" w:rsidRDefault="00B74959" w:rsidP="0033419C">
      <w:pPr>
        <w:pStyle w:val="SupplementaryCaption"/>
        <w:rPr>
          <w:rFonts w:asciiTheme="majorBidi" w:hAnsiTheme="majorBidi" w:cstheme="majorBidi"/>
          <w:b/>
          <w:sz w:val="24"/>
          <w:szCs w:val="24"/>
        </w:rPr>
      </w:pPr>
    </w:p>
    <w:p w14:paraId="45B077EB" w14:textId="77777777" w:rsidR="000713EA" w:rsidRDefault="000713EA" w:rsidP="0033419C">
      <w:pPr>
        <w:pStyle w:val="SupplementaryCaption"/>
        <w:rPr>
          <w:rFonts w:asciiTheme="majorBidi" w:hAnsiTheme="majorBidi" w:cstheme="majorBidi"/>
          <w:b/>
          <w:sz w:val="24"/>
          <w:szCs w:val="24"/>
        </w:rPr>
      </w:pPr>
    </w:p>
    <w:p w14:paraId="684290B9" w14:textId="77777777" w:rsidR="000713EA" w:rsidRDefault="000713EA" w:rsidP="0033419C">
      <w:pPr>
        <w:pStyle w:val="SupplementaryCaption"/>
        <w:rPr>
          <w:rFonts w:asciiTheme="majorBidi" w:hAnsiTheme="majorBidi" w:cstheme="majorBidi"/>
          <w:b/>
          <w:sz w:val="24"/>
          <w:szCs w:val="24"/>
        </w:rPr>
      </w:pPr>
    </w:p>
    <w:p w14:paraId="7469B8E4" w14:textId="77777777" w:rsidR="000713EA" w:rsidRDefault="000713EA" w:rsidP="0033419C">
      <w:pPr>
        <w:pStyle w:val="SupplementaryCaption"/>
        <w:rPr>
          <w:rFonts w:asciiTheme="majorBidi" w:hAnsiTheme="majorBidi" w:cstheme="majorBidi"/>
          <w:b/>
          <w:sz w:val="24"/>
          <w:szCs w:val="24"/>
        </w:rPr>
      </w:pPr>
    </w:p>
    <w:p w14:paraId="37A2B946" w14:textId="77777777" w:rsidR="000713EA" w:rsidRDefault="000713EA" w:rsidP="0033419C">
      <w:pPr>
        <w:pStyle w:val="SupplementaryCaption"/>
        <w:rPr>
          <w:rFonts w:asciiTheme="majorBidi" w:hAnsiTheme="majorBidi" w:cstheme="majorBidi"/>
          <w:b/>
          <w:sz w:val="24"/>
          <w:szCs w:val="24"/>
        </w:rPr>
      </w:pPr>
    </w:p>
    <w:p w14:paraId="3DDD5264" w14:textId="77777777" w:rsidR="000713EA" w:rsidRDefault="000713EA" w:rsidP="0033419C">
      <w:pPr>
        <w:pStyle w:val="SupplementaryCaption"/>
        <w:rPr>
          <w:rFonts w:asciiTheme="majorBidi" w:hAnsiTheme="majorBidi" w:cstheme="majorBidi"/>
          <w:b/>
          <w:sz w:val="24"/>
          <w:szCs w:val="24"/>
        </w:rPr>
      </w:pPr>
    </w:p>
    <w:p w14:paraId="3BBF293E" w14:textId="77777777" w:rsidR="000713EA" w:rsidRDefault="000713EA" w:rsidP="0033419C">
      <w:pPr>
        <w:pStyle w:val="SupplementaryCaption"/>
        <w:rPr>
          <w:rFonts w:asciiTheme="majorBidi" w:hAnsiTheme="majorBidi" w:cstheme="majorBidi"/>
          <w:b/>
          <w:sz w:val="24"/>
          <w:szCs w:val="24"/>
        </w:rPr>
      </w:pPr>
    </w:p>
    <w:p w14:paraId="5C728B1C" w14:textId="77777777" w:rsidR="000713EA" w:rsidRDefault="000713EA" w:rsidP="0033419C">
      <w:pPr>
        <w:pStyle w:val="SupplementaryCaption"/>
        <w:rPr>
          <w:rFonts w:asciiTheme="majorBidi" w:hAnsiTheme="majorBidi" w:cstheme="majorBidi"/>
          <w:b/>
          <w:sz w:val="24"/>
          <w:szCs w:val="24"/>
        </w:rPr>
      </w:pPr>
    </w:p>
    <w:p w14:paraId="3DDECB5F" w14:textId="58D09BE7" w:rsidR="000713EA" w:rsidRPr="009D45A8" w:rsidRDefault="000713EA" w:rsidP="00B74959">
      <w:pPr>
        <w:rPr>
          <w:rFonts w:asciiTheme="majorBidi" w:hAnsiTheme="majorBidi" w:cstheme="majorBidi"/>
          <w:b/>
          <w:sz w:val="24"/>
          <w:szCs w:val="24"/>
        </w:rPr>
      </w:pPr>
    </w:p>
    <w:p w14:paraId="7A7BE584" w14:textId="371D0D0C" w:rsidR="0033419C" w:rsidRDefault="009D45A8" w:rsidP="0033419C">
      <w:pPr>
        <w:spacing w:after="80"/>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51B42DC6" wp14:editId="1944F473">
            <wp:extent cx="6391275" cy="3686175"/>
            <wp:effectExtent l="0" t="0" r="9525" b="9525"/>
            <wp:docPr id="1032280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91275" cy="3686175"/>
                    </a:xfrm>
                    <a:prstGeom prst="rect">
                      <a:avLst/>
                    </a:prstGeom>
                    <a:noFill/>
                    <a:ln>
                      <a:noFill/>
                    </a:ln>
                  </pic:spPr>
                </pic:pic>
              </a:graphicData>
            </a:graphic>
          </wp:inline>
        </w:drawing>
      </w:r>
    </w:p>
    <w:p w14:paraId="1D6C7CB6" w14:textId="32039ED0" w:rsidR="00B74959" w:rsidRPr="00B74959" w:rsidRDefault="00B74959" w:rsidP="00B74959">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S1</w:t>
      </w:r>
      <w:r>
        <w:rPr>
          <w:rFonts w:asciiTheme="majorBidi" w:hAnsiTheme="majorBidi" w:cstheme="majorBidi"/>
          <w:b/>
          <w:bCs/>
          <w:sz w:val="24"/>
          <w:szCs w:val="24"/>
          <w:lang w:val="en-CA"/>
        </w:rPr>
        <w:t>8</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Bayesian-optimization performance for SOL under motor-threshold PNS in adults and children.</w:t>
      </w:r>
      <w:r w:rsidRPr="00B74959">
        <w:rPr>
          <w:rFonts w:asciiTheme="majorBidi" w:hAnsiTheme="majorBidi" w:cstheme="majorBidi"/>
          <w:sz w:val="24"/>
          <w:szCs w:val="24"/>
          <w:lang w:val="en-CA"/>
        </w:rPr>
        <w:t xml:space="preserve"> (A,C) Group exploration-score trajectories for GP-based Bayesian optimization (GPBO) and random ISI sampling in adults and children, respectively. (B,D) Exploration-score trajectories for GPBO with and without population-informed initialization in adults and children, respectively. Solid lines represent group means and shaded regions represent the standard error of the mean across participants. The horizontal dashed line indicates the exploration-score threshold of 0.90.</w:t>
      </w:r>
    </w:p>
    <w:p w14:paraId="0DE3B0A4" w14:textId="77777777" w:rsidR="009D45A8" w:rsidRDefault="009D45A8" w:rsidP="0033419C">
      <w:pPr>
        <w:spacing w:after="80"/>
        <w:jc w:val="center"/>
        <w:rPr>
          <w:rFonts w:asciiTheme="majorBidi" w:hAnsiTheme="majorBidi" w:cstheme="majorBidi"/>
          <w:sz w:val="24"/>
          <w:szCs w:val="24"/>
        </w:rPr>
      </w:pPr>
    </w:p>
    <w:p w14:paraId="50BF06EC" w14:textId="77777777" w:rsidR="009D45A8" w:rsidRDefault="009D45A8" w:rsidP="0033419C">
      <w:pPr>
        <w:spacing w:after="80"/>
        <w:jc w:val="center"/>
        <w:rPr>
          <w:rFonts w:asciiTheme="majorBidi" w:hAnsiTheme="majorBidi" w:cstheme="majorBidi"/>
          <w:sz w:val="24"/>
          <w:szCs w:val="24"/>
        </w:rPr>
      </w:pPr>
    </w:p>
    <w:p w14:paraId="0AFB4CEC" w14:textId="77777777" w:rsidR="009D45A8" w:rsidRDefault="009D45A8" w:rsidP="0033419C">
      <w:pPr>
        <w:spacing w:after="80"/>
        <w:jc w:val="center"/>
        <w:rPr>
          <w:rFonts w:asciiTheme="majorBidi" w:hAnsiTheme="majorBidi" w:cstheme="majorBidi"/>
          <w:sz w:val="24"/>
          <w:szCs w:val="24"/>
        </w:rPr>
      </w:pPr>
    </w:p>
    <w:p w14:paraId="7A812B02" w14:textId="77777777" w:rsidR="009D45A8" w:rsidRDefault="009D45A8" w:rsidP="0033419C">
      <w:pPr>
        <w:spacing w:after="80"/>
        <w:jc w:val="center"/>
        <w:rPr>
          <w:rFonts w:asciiTheme="majorBidi" w:hAnsiTheme="majorBidi" w:cstheme="majorBidi"/>
          <w:sz w:val="24"/>
          <w:szCs w:val="24"/>
        </w:rPr>
      </w:pPr>
    </w:p>
    <w:p w14:paraId="0777323B" w14:textId="77777777" w:rsidR="009D45A8" w:rsidRDefault="009D45A8" w:rsidP="0033419C">
      <w:pPr>
        <w:spacing w:after="80"/>
        <w:jc w:val="center"/>
        <w:rPr>
          <w:rFonts w:asciiTheme="majorBidi" w:hAnsiTheme="majorBidi" w:cstheme="majorBidi"/>
          <w:sz w:val="24"/>
          <w:szCs w:val="24"/>
        </w:rPr>
      </w:pPr>
    </w:p>
    <w:p w14:paraId="50AB6D0C" w14:textId="77777777" w:rsidR="009D45A8" w:rsidRDefault="009D45A8" w:rsidP="0033419C">
      <w:pPr>
        <w:spacing w:after="80"/>
        <w:jc w:val="center"/>
        <w:rPr>
          <w:rFonts w:asciiTheme="majorBidi" w:hAnsiTheme="majorBidi" w:cstheme="majorBidi"/>
          <w:sz w:val="24"/>
          <w:szCs w:val="24"/>
        </w:rPr>
      </w:pPr>
    </w:p>
    <w:p w14:paraId="5502915D" w14:textId="77777777" w:rsidR="009D45A8" w:rsidRDefault="009D45A8" w:rsidP="0033419C">
      <w:pPr>
        <w:spacing w:after="80"/>
        <w:jc w:val="center"/>
        <w:rPr>
          <w:rFonts w:asciiTheme="majorBidi" w:hAnsiTheme="majorBidi" w:cstheme="majorBidi"/>
          <w:sz w:val="24"/>
          <w:szCs w:val="24"/>
        </w:rPr>
      </w:pPr>
    </w:p>
    <w:p w14:paraId="44E87A34" w14:textId="77777777" w:rsidR="009D45A8" w:rsidRDefault="009D45A8" w:rsidP="0033419C">
      <w:pPr>
        <w:spacing w:after="80"/>
        <w:jc w:val="center"/>
        <w:rPr>
          <w:rFonts w:asciiTheme="majorBidi" w:hAnsiTheme="majorBidi" w:cstheme="majorBidi"/>
          <w:sz w:val="24"/>
          <w:szCs w:val="24"/>
        </w:rPr>
      </w:pPr>
    </w:p>
    <w:p w14:paraId="473AD758" w14:textId="77777777" w:rsidR="009D45A8" w:rsidRDefault="009D45A8" w:rsidP="0033419C">
      <w:pPr>
        <w:spacing w:after="80"/>
        <w:jc w:val="center"/>
        <w:rPr>
          <w:rFonts w:asciiTheme="majorBidi" w:hAnsiTheme="majorBidi" w:cstheme="majorBidi"/>
          <w:sz w:val="24"/>
          <w:szCs w:val="24"/>
        </w:rPr>
      </w:pPr>
    </w:p>
    <w:p w14:paraId="170A74B4" w14:textId="77777777" w:rsidR="009D45A8" w:rsidRDefault="009D45A8" w:rsidP="0033419C">
      <w:pPr>
        <w:spacing w:after="80"/>
        <w:jc w:val="center"/>
        <w:rPr>
          <w:rFonts w:asciiTheme="majorBidi" w:hAnsiTheme="majorBidi" w:cstheme="majorBidi"/>
          <w:sz w:val="24"/>
          <w:szCs w:val="24"/>
        </w:rPr>
      </w:pPr>
    </w:p>
    <w:p w14:paraId="37D8DC3C" w14:textId="77777777" w:rsidR="009D45A8" w:rsidRDefault="009D45A8" w:rsidP="0033419C">
      <w:pPr>
        <w:spacing w:after="80"/>
        <w:jc w:val="center"/>
        <w:rPr>
          <w:rFonts w:asciiTheme="majorBidi" w:hAnsiTheme="majorBidi" w:cstheme="majorBidi"/>
          <w:sz w:val="24"/>
          <w:szCs w:val="24"/>
        </w:rPr>
      </w:pPr>
    </w:p>
    <w:p w14:paraId="0CC56316" w14:textId="4FF05A2B" w:rsidR="0033419C" w:rsidRDefault="009D45A8" w:rsidP="009D45A8">
      <w:pPr>
        <w:pStyle w:val="SupplementaryCaption"/>
        <w:rPr>
          <w:rFonts w:asciiTheme="majorBidi" w:hAnsiTheme="majorBidi" w:cstheme="majorBidi"/>
          <w:sz w:val="24"/>
          <w:szCs w:val="24"/>
        </w:rPr>
      </w:pPr>
      <w:r>
        <w:rPr>
          <w:rFonts w:asciiTheme="majorBidi" w:hAnsiTheme="majorBidi" w:cstheme="majorBidi"/>
          <w:b/>
          <w:noProof/>
          <w:sz w:val="24"/>
          <w:szCs w:val="24"/>
        </w:rPr>
        <w:lastRenderedPageBreak/>
        <w:drawing>
          <wp:inline distT="0" distB="0" distL="0" distR="0" wp14:anchorId="6E1FC5F0" wp14:editId="0C5AFA67">
            <wp:extent cx="6391275" cy="3686175"/>
            <wp:effectExtent l="0" t="0" r="9525" b="9525"/>
            <wp:docPr id="271654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91275" cy="3686175"/>
                    </a:xfrm>
                    <a:prstGeom prst="rect">
                      <a:avLst/>
                    </a:prstGeom>
                    <a:noFill/>
                    <a:ln>
                      <a:noFill/>
                    </a:ln>
                  </pic:spPr>
                </pic:pic>
              </a:graphicData>
            </a:graphic>
          </wp:inline>
        </w:drawing>
      </w:r>
    </w:p>
    <w:p w14:paraId="62BFA584" w14:textId="02953711" w:rsidR="00B74959" w:rsidRPr="00B74959" w:rsidRDefault="00B74959" w:rsidP="00B74959">
      <w:pPr>
        <w:spacing w:line="480" w:lineRule="auto"/>
        <w:rPr>
          <w:rFonts w:asciiTheme="majorBidi" w:hAnsiTheme="majorBidi" w:cstheme="majorBidi"/>
          <w:sz w:val="24"/>
          <w:szCs w:val="24"/>
          <w:lang w:val="en-CA"/>
        </w:rPr>
      </w:pPr>
      <w:r w:rsidRPr="00B74959">
        <w:rPr>
          <w:rFonts w:asciiTheme="majorBidi" w:hAnsiTheme="majorBidi" w:cstheme="majorBidi"/>
          <w:b/>
          <w:bCs/>
          <w:sz w:val="24"/>
          <w:szCs w:val="24"/>
          <w:lang w:val="en-CA"/>
        </w:rPr>
        <w:t>Supplementary Figure S1</w:t>
      </w:r>
      <w:r w:rsidR="004A5F53">
        <w:rPr>
          <w:rFonts w:asciiTheme="majorBidi" w:hAnsiTheme="majorBidi" w:cstheme="majorBidi"/>
          <w:b/>
          <w:bCs/>
          <w:sz w:val="24"/>
          <w:szCs w:val="24"/>
          <w:lang w:val="en-CA"/>
        </w:rPr>
        <w:t>9</w:t>
      </w:r>
      <w:r w:rsidRPr="00B74959">
        <w:rPr>
          <w:rFonts w:asciiTheme="majorBidi" w:hAnsiTheme="majorBidi" w:cstheme="majorBidi"/>
          <w:b/>
          <w:bCs/>
          <w:sz w:val="24"/>
          <w:szCs w:val="24"/>
          <w:lang w:val="en-CA"/>
        </w:rPr>
        <w:t xml:space="preserve">. </w:t>
      </w:r>
      <w:r w:rsidRPr="00B74959">
        <w:rPr>
          <w:rFonts w:asciiTheme="majorBidi" w:hAnsiTheme="majorBidi" w:cstheme="majorBidi"/>
          <w:b/>
          <w:bCs/>
          <w:sz w:val="24"/>
          <w:szCs w:val="24"/>
          <w:lang w:val="en-CA"/>
        </w:rPr>
        <w:t>Bayesian-optimization performance for GAS under motor-threshold PNS in adults and children</w:t>
      </w:r>
      <w:r w:rsidRPr="00B74959">
        <w:rPr>
          <w:rFonts w:asciiTheme="majorBidi" w:hAnsiTheme="majorBidi" w:cstheme="majorBidi"/>
          <w:sz w:val="24"/>
          <w:szCs w:val="24"/>
          <w:lang w:val="en-CA"/>
        </w:rPr>
        <w:t>. (A,C) Group exploration-score trajectories for GPBO and random ISI sampling in adults and children, respectively. (B,D) Exploration-score trajectories for GPBO with and without population-informed initialization in adults and children, respectively. Solid lines represent group means and shaded regions represent the standard error of the mean across participants. The horizontal dashed line indicates the exploration-score threshold of 0.90.</w:t>
      </w:r>
    </w:p>
    <w:p w14:paraId="2A79C8E5" w14:textId="77777777" w:rsidR="00B74959" w:rsidRPr="0033419C" w:rsidRDefault="00B74959" w:rsidP="009D45A8">
      <w:pPr>
        <w:pStyle w:val="SupplementaryCaption"/>
        <w:rPr>
          <w:rFonts w:asciiTheme="majorBidi" w:hAnsiTheme="majorBidi" w:cstheme="majorBidi"/>
          <w:sz w:val="24"/>
          <w:szCs w:val="24"/>
        </w:rPr>
      </w:pPr>
    </w:p>
    <w:p w14:paraId="4A9C76A7" w14:textId="77777777" w:rsidR="00764FF2" w:rsidRPr="0033419C" w:rsidRDefault="00764FF2">
      <w:pPr>
        <w:rPr>
          <w:rFonts w:asciiTheme="majorBidi" w:hAnsiTheme="majorBidi" w:cstheme="majorBidi"/>
          <w:sz w:val="24"/>
          <w:szCs w:val="24"/>
        </w:rPr>
      </w:pPr>
    </w:p>
    <w:sectPr w:rsidR="00764FF2" w:rsidRPr="0033419C" w:rsidSect="0033419C">
      <w:headerReference w:type="default" r:id="rId25"/>
      <w:footerReference w:type="default" r:id="rId26"/>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D10EC" w14:textId="77777777" w:rsidR="007B2AC3" w:rsidRDefault="007B2AC3" w:rsidP="0033419C">
      <w:pPr>
        <w:spacing w:after="0" w:line="240" w:lineRule="auto"/>
      </w:pPr>
      <w:r>
        <w:separator/>
      </w:r>
    </w:p>
  </w:endnote>
  <w:endnote w:type="continuationSeparator" w:id="0">
    <w:p w14:paraId="46E497CE" w14:textId="77777777" w:rsidR="007B2AC3" w:rsidRDefault="007B2AC3" w:rsidP="00334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04C0" w14:textId="77777777" w:rsidR="0033419C" w:rsidRDefault="0033419C">
    <w:pPr>
      <w:pStyle w:val="Footer"/>
      <w:jc w:val="center"/>
    </w:pPr>
    <w:r>
      <w:rPr>
        <w:sz w:val="16"/>
      </w:rPr>
      <w:t xml:space="preserve">Page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1D38E" w14:textId="77777777" w:rsidR="007B2AC3" w:rsidRDefault="007B2AC3" w:rsidP="0033419C">
      <w:pPr>
        <w:spacing w:after="0" w:line="240" w:lineRule="auto"/>
      </w:pPr>
      <w:r>
        <w:separator/>
      </w:r>
    </w:p>
  </w:footnote>
  <w:footnote w:type="continuationSeparator" w:id="0">
    <w:p w14:paraId="01638BDB" w14:textId="77777777" w:rsidR="007B2AC3" w:rsidRDefault="007B2AC3" w:rsidP="00334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C088" w14:textId="4AB7B4D8" w:rsidR="0033419C" w:rsidRDefault="0033419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44"/>
    <w:rsid w:val="000518BD"/>
    <w:rsid w:val="000713EA"/>
    <w:rsid w:val="0010132D"/>
    <w:rsid w:val="001B6979"/>
    <w:rsid w:val="0033419C"/>
    <w:rsid w:val="0045239F"/>
    <w:rsid w:val="00462B85"/>
    <w:rsid w:val="004A5F53"/>
    <w:rsid w:val="005B6745"/>
    <w:rsid w:val="006E172C"/>
    <w:rsid w:val="00764FF2"/>
    <w:rsid w:val="007B2AC3"/>
    <w:rsid w:val="007F3844"/>
    <w:rsid w:val="00811A84"/>
    <w:rsid w:val="009D30C1"/>
    <w:rsid w:val="009D45A8"/>
    <w:rsid w:val="009F2B1E"/>
    <w:rsid w:val="00A2511D"/>
    <w:rsid w:val="00AF317E"/>
    <w:rsid w:val="00B74959"/>
    <w:rsid w:val="00CE1321"/>
    <w:rsid w:val="00CE6B51"/>
    <w:rsid w:val="00DA7145"/>
    <w:rsid w:val="00DF349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D8296"/>
  <w15:chartTrackingRefBased/>
  <w15:docId w15:val="{B7DBE5D4-9972-46BE-B18A-6DF6118F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19C"/>
    <w:pPr>
      <w:spacing w:after="200" w:line="276" w:lineRule="auto"/>
    </w:pPr>
    <w:rPr>
      <w:rFonts w:ascii="Times New Roman" w:eastAsiaTheme="minorEastAsia" w:hAnsi="Times New Roman"/>
      <w:kern w:val="0"/>
      <w:sz w:val="21"/>
      <w:lang w:val="en-US"/>
      <w14:ligatures w14:val="none"/>
    </w:rPr>
  </w:style>
  <w:style w:type="paragraph" w:styleId="Heading1">
    <w:name w:val="heading 1"/>
    <w:basedOn w:val="Normal"/>
    <w:next w:val="Normal"/>
    <w:link w:val="Heading1Char"/>
    <w:uiPriority w:val="9"/>
    <w:qFormat/>
    <w:rsid w:val="007F38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CA"/>
      <w14:ligatures w14:val="standardContextual"/>
    </w:rPr>
  </w:style>
  <w:style w:type="paragraph" w:styleId="Heading2">
    <w:name w:val="heading 2"/>
    <w:basedOn w:val="Normal"/>
    <w:next w:val="Normal"/>
    <w:link w:val="Heading2Char"/>
    <w:uiPriority w:val="9"/>
    <w:semiHidden/>
    <w:unhideWhenUsed/>
    <w:qFormat/>
    <w:rsid w:val="007F38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CA"/>
      <w14:ligatures w14:val="standardContextual"/>
    </w:rPr>
  </w:style>
  <w:style w:type="paragraph" w:styleId="Heading3">
    <w:name w:val="heading 3"/>
    <w:basedOn w:val="Normal"/>
    <w:next w:val="Normal"/>
    <w:link w:val="Heading3Char"/>
    <w:uiPriority w:val="9"/>
    <w:semiHidden/>
    <w:unhideWhenUsed/>
    <w:qFormat/>
    <w:rsid w:val="007F38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CA"/>
      <w14:ligatures w14:val="standardContextual"/>
    </w:rPr>
  </w:style>
  <w:style w:type="paragraph" w:styleId="Heading4">
    <w:name w:val="heading 4"/>
    <w:basedOn w:val="Normal"/>
    <w:next w:val="Normal"/>
    <w:link w:val="Heading4Char"/>
    <w:uiPriority w:val="9"/>
    <w:semiHidden/>
    <w:unhideWhenUsed/>
    <w:qFormat/>
    <w:rsid w:val="007F38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lang w:val="en-CA"/>
      <w14:ligatures w14:val="standardContextual"/>
    </w:rPr>
  </w:style>
  <w:style w:type="paragraph" w:styleId="Heading5">
    <w:name w:val="heading 5"/>
    <w:basedOn w:val="Normal"/>
    <w:next w:val="Normal"/>
    <w:link w:val="Heading5Char"/>
    <w:uiPriority w:val="9"/>
    <w:semiHidden/>
    <w:unhideWhenUsed/>
    <w:qFormat/>
    <w:rsid w:val="007F38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lang w:val="en-CA"/>
      <w14:ligatures w14:val="standardContextual"/>
    </w:rPr>
  </w:style>
  <w:style w:type="paragraph" w:styleId="Heading6">
    <w:name w:val="heading 6"/>
    <w:basedOn w:val="Normal"/>
    <w:next w:val="Normal"/>
    <w:link w:val="Heading6Char"/>
    <w:uiPriority w:val="9"/>
    <w:semiHidden/>
    <w:unhideWhenUsed/>
    <w:qFormat/>
    <w:rsid w:val="007F3844"/>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en-CA"/>
      <w14:ligatures w14:val="standardContextual"/>
    </w:rPr>
  </w:style>
  <w:style w:type="paragraph" w:styleId="Heading7">
    <w:name w:val="heading 7"/>
    <w:basedOn w:val="Normal"/>
    <w:next w:val="Normal"/>
    <w:link w:val="Heading7Char"/>
    <w:uiPriority w:val="9"/>
    <w:semiHidden/>
    <w:unhideWhenUsed/>
    <w:qFormat/>
    <w:rsid w:val="007F3844"/>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en-CA"/>
      <w14:ligatures w14:val="standardContextual"/>
    </w:rPr>
  </w:style>
  <w:style w:type="paragraph" w:styleId="Heading8">
    <w:name w:val="heading 8"/>
    <w:basedOn w:val="Normal"/>
    <w:next w:val="Normal"/>
    <w:link w:val="Heading8Char"/>
    <w:uiPriority w:val="9"/>
    <w:semiHidden/>
    <w:unhideWhenUsed/>
    <w:qFormat/>
    <w:rsid w:val="007F3844"/>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en-CA"/>
      <w14:ligatures w14:val="standardContextual"/>
    </w:rPr>
  </w:style>
  <w:style w:type="paragraph" w:styleId="Heading9">
    <w:name w:val="heading 9"/>
    <w:basedOn w:val="Normal"/>
    <w:next w:val="Normal"/>
    <w:link w:val="Heading9Char"/>
    <w:uiPriority w:val="9"/>
    <w:semiHidden/>
    <w:unhideWhenUsed/>
    <w:qFormat/>
    <w:rsid w:val="007F3844"/>
    <w:pPr>
      <w:keepNext/>
      <w:keepLines/>
      <w:spacing w:after="0" w:line="259" w:lineRule="auto"/>
      <w:outlineLvl w:val="8"/>
    </w:pPr>
    <w:rPr>
      <w:rFonts w:asciiTheme="minorHAnsi" w:eastAsiaTheme="majorEastAsia" w:hAnsiTheme="minorHAnsi" w:cstheme="majorBidi"/>
      <w:color w:val="272727" w:themeColor="text1" w:themeTint="D8"/>
      <w:kern w:val="2"/>
      <w:sz w:val="22"/>
      <w:lang w:val="en-C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8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38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38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38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38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38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8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8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844"/>
    <w:rPr>
      <w:rFonts w:eastAsiaTheme="majorEastAsia" w:cstheme="majorBidi"/>
      <w:color w:val="272727" w:themeColor="text1" w:themeTint="D8"/>
    </w:rPr>
  </w:style>
  <w:style w:type="paragraph" w:styleId="Title">
    <w:name w:val="Title"/>
    <w:basedOn w:val="Normal"/>
    <w:next w:val="Normal"/>
    <w:link w:val="TitleChar"/>
    <w:uiPriority w:val="10"/>
    <w:qFormat/>
    <w:rsid w:val="007F3844"/>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7F3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8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7F38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844"/>
    <w:pPr>
      <w:spacing w:before="160" w:after="160" w:line="259" w:lineRule="auto"/>
      <w:jc w:val="center"/>
    </w:pPr>
    <w:rPr>
      <w:rFonts w:asciiTheme="minorHAnsi" w:eastAsiaTheme="minorHAnsi" w:hAnsiTheme="minorHAnsi"/>
      <w:i/>
      <w:iCs/>
      <w:color w:val="404040" w:themeColor="text1" w:themeTint="BF"/>
      <w:kern w:val="2"/>
      <w:sz w:val="22"/>
      <w:lang w:val="en-CA"/>
      <w14:ligatures w14:val="standardContextual"/>
    </w:rPr>
  </w:style>
  <w:style w:type="character" w:customStyle="1" w:styleId="QuoteChar">
    <w:name w:val="Quote Char"/>
    <w:basedOn w:val="DefaultParagraphFont"/>
    <w:link w:val="Quote"/>
    <w:uiPriority w:val="29"/>
    <w:rsid w:val="007F3844"/>
    <w:rPr>
      <w:i/>
      <w:iCs/>
      <w:color w:val="404040" w:themeColor="text1" w:themeTint="BF"/>
    </w:rPr>
  </w:style>
  <w:style w:type="paragraph" w:styleId="ListParagraph">
    <w:name w:val="List Paragraph"/>
    <w:basedOn w:val="Normal"/>
    <w:uiPriority w:val="34"/>
    <w:qFormat/>
    <w:rsid w:val="007F3844"/>
    <w:pPr>
      <w:spacing w:after="160" w:line="259" w:lineRule="auto"/>
      <w:ind w:left="720"/>
      <w:contextualSpacing/>
    </w:pPr>
    <w:rPr>
      <w:rFonts w:asciiTheme="minorHAnsi" w:eastAsiaTheme="minorHAnsi" w:hAnsiTheme="minorHAnsi"/>
      <w:kern w:val="2"/>
      <w:sz w:val="22"/>
      <w:lang w:val="en-CA"/>
      <w14:ligatures w14:val="standardContextual"/>
    </w:rPr>
  </w:style>
  <w:style w:type="character" w:styleId="IntenseEmphasis">
    <w:name w:val="Intense Emphasis"/>
    <w:basedOn w:val="DefaultParagraphFont"/>
    <w:uiPriority w:val="21"/>
    <w:qFormat/>
    <w:rsid w:val="007F3844"/>
    <w:rPr>
      <w:i/>
      <w:iCs/>
      <w:color w:val="2F5496" w:themeColor="accent1" w:themeShade="BF"/>
    </w:rPr>
  </w:style>
  <w:style w:type="paragraph" w:styleId="IntenseQuote">
    <w:name w:val="Intense Quote"/>
    <w:basedOn w:val="Normal"/>
    <w:next w:val="Normal"/>
    <w:link w:val="IntenseQuoteChar"/>
    <w:uiPriority w:val="30"/>
    <w:qFormat/>
    <w:rsid w:val="007F38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i/>
      <w:iCs/>
      <w:color w:val="2F5496" w:themeColor="accent1" w:themeShade="BF"/>
      <w:kern w:val="2"/>
      <w:sz w:val="22"/>
      <w:lang w:val="en-CA"/>
      <w14:ligatures w14:val="standardContextual"/>
    </w:rPr>
  </w:style>
  <w:style w:type="character" w:customStyle="1" w:styleId="IntenseQuoteChar">
    <w:name w:val="Intense Quote Char"/>
    <w:basedOn w:val="DefaultParagraphFont"/>
    <w:link w:val="IntenseQuote"/>
    <w:uiPriority w:val="30"/>
    <w:rsid w:val="007F3844"/>
    <w:rPr>
      <w:i/>
      <w:iCs/>
      <w:color w:val="2F5496" w:themeColor="accent1" w:themeShade="BF"/>
    </w:rPr>
  </w:style>
  <w:style w:type="character" w:styleId="IntenseReference">
    <w:name w:val="Intense Reference"/>
    <w:basedOn w:val="DefaultParagraphFont"/>
    <w:uiPriority w:val="32"/>
    <w:qFormat/>
    <w:rsid w:val="007F3844"/>
    <w:rPr>
      <w:b/>
      <w:bCs/>
      <w:smallCaps/>
      <w:color w:val="2F5496" w:themeColor="accent1" w:themeShade="BF"/>
      <w:spacing w:val="5"/>
    </w:rPr>
  </w:style>
  <w:style w:type="paragraph" w:styleId="Header">
    <w:name w:val="header"/>
    <w:basedOn w:val="Normal"/>
    <w:link w:val="HeaderChar"/>
    <w:uiPriority w:val="99"/>
    <w:unhideWhenUsed/>
    <w:rsid w:val="00334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19C"/>
    <w:rPr>
      <w:rFonts w:ascii="Times New Roman" w:eastAsiaTheme="minorEastAsia" w:hAnsi="Times New Roman"/>
      <w:kern w:val="0"/>
      <w:sz w:val="21"/>
      <w:lang w:val="en-US"/>
      <w14:ligatures w14:val="none"/>
    </w:rPr>
  </w:style>
  <w:style w:type="paragraph" w:styleId="Footer">
    <w:name w:val="footer"/>
    <w:basedOn w:val="Normal"/>
    <w:link w:val="FooterChar"/>
    <w:uiPriority w:val="99"/>
    <w:unhideWhenUsed/>
    <w:rsid w:val="00334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19C"/>
    <w:rPr>
      <w:rFonts w:ascii="Times New Roman" w:eastAsiaTheme="minorEastAsia" w:hAnsi="Times New Roman"/>
      <w:kern w:val="0"/>
      <w:sz w:val="21"/>
      <w:lang w:val="en-US"/>
      <w14:ligatures w14:val="none"/>
    </w:rPr>
  </w:style>
  <w:style w:type="paragraph" w:customStyle="1" w:styleId="SupplementaryCaption">
    <w:name w:val="Supplementary Caption"/>
    <w:rsid w:val="0033419C"/>
    <w:pPr>
      <w:spacing w:before="100" w:after="40" w:line="240" w:lineRule="auto"/>
    </w:pPr>
    <w:rPr>
      <w:rFonts w:ascii="Times New Roman" w:eastAsiaTheme="minorEastAsia" w:hAnsi="Times New Roman"/>
      <w:kern w:val="0"/>
      <w:sz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691</TotalTime>
  <Pages>19</Pages>
  <Words>1475</Words>
  <Characters>8411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Mohammadreza Effatparvar</dc:creator>
  <cp:keywords/>
  <dc:description/>
  <cp:lastModifiedBy>Mohammadreza Effatparvar</cp:lastModifiedBy>
  <cp:revision>7</cp:revision>
  <dcterms:created xsi:type="dcterms:W3CDTF">2026-08-14T13:36:00Z</dcterms:created>
  <dcterms:modified xsi:type="dcterms:W3CDTF">2026-08-17T16:13:00Z</dcterms:modified>
</cp:coreProperties>
</file>