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53D08" w:rsidP="62F1CE53" w:rsidRDefault="6F7CB010" w14:paraId="029D24D1" w14:textId="429E1354">
      <w:pPr>
        <w:keepNext/>
        <w:rPr>
          <w:rFonts w:ascii="Aptos" w:hAnsi="Aptos" w:eastAsia="Aptos" w:cs="Aptos"/>
          <w:b/>
          <w:bCs/>
          <w:i/>
          <w:iCs/>
        </w:rPr>
      </w:pPr>
      <w:r w:rsidRPr="62F1CE53">
        <w:rPr>
          <w:rFonts w:ascii="Aptos" w:hAnsi="Aptos" w:eastAsia="Aptos" w:cs="Aptos"/>
          <w:b/>
          <w:bCs/>
          <w:i/>
          <w:iCs/>
        </w:rPr>
        <w:t>Supplementary Information for:</w:t>
      </w:r>
    </w:p>
    <w:p w:rsidR="6F7CB010" w:rsidP="62F1CE53" w:rsidRDefault="6F7CB010" w14:paraId="2872FADC" w14:textId="216D17D5">
      <w:pPr>
        <w:spacing w:after="60"/>
        <w:rPr>
          <w:rFonts w:ascii="Arial" w:hAnsi="Arial" w:eastAsia="Arial" w:cs="Arial"/>
          <w:color w:val="000000" w:themeColor="text1"/>
          <w:sz w:val="36"/>
          <w:szCs w:val="36"/>
        </w:rPr>
      </w:pPr>
      <w:r w:rsidRPr="62F1CE53">
        <w:rPr>
          <w:rFonts w:ascii="Arial" w:hAnsi="Arial" w:eastAsia="Arial" w:cs="Arial"/>
          <w:b/>
          <w:bCs/>
          <w:color w:val="000000" w:themeColor="text1"/>
          <w:sz w:val="36"/>
          <w:szCs w:val="36"/>
        </w:rPr>
        <w:t xml:space="preserve">Floating and fixed offshore wind intersect contrasting frontal and fishing seascapes in the Celtic Sea </w:t>
      </w:r>
    </w:p>
    <w:p w:rsidR="6F7CB010" w:rsidP="62F1CE53" w:rsidRDefault="6F7CB010" w14:paraId="7C1F9F62" w14:textId="4F6B3060">
      <w:pPr>
        <w:spacing w:after="60"/>
        <w:rPr>
          <w:rFonts w:ascii="Arial" w:hAnsi="Arial" w:eastAsia="Arial" w:cs="Arial"/>
          <w:color w:val="000000" w:themeColor="text1"/>
          <w:sz w:val="16"/>
          <w:szCs w:val="16"/>
        </w:rPr>
      </w:pPr>
      <w:r w:rsidRPr="7076A144" w:rsidR="35FA563B">
        <w:rPr>
          <w:rFonts w:ascii="Arial" w:hAnsi="Arial" w:eastAsia="Arial" w:cs="Arial"/>
          <w:color w:val="000000" w:themeColor="text1" w:themeTint="FF" w:themeShade="FF"/>
          <w:sz w:val="20"/>
          <w:szCs w:val="20"/>
        </w:rPr>
        <w:t>Yang Yang</w:t>
      </w:r>
      <w:r w:rsidRPr="7076A144" w:rsidR="35FA563B">
        <w:rPr>
          <w:rFonts w:ascii="Arial" w:hAnsi="Arial" w:eastAsia="Arial" w:cs="Arial"/>
          <w:color w:val="000000" w:themeColor="text1" w:themeTint="FF" w:themeShade="FF"/>
          <w:sz w:val="20"/>
          <w:szCs w:val="20"/>
          <w:vertAlign w:val="superscript"/>
        </w:rPr>
        <w:t>1,2</w:t>
      </w:r>
      <w:r w:rsidRPr="7076A144" w:rsidR="35FA563B">
        <w:rPr>
          <w:rFonts w:ascii="Arial" w:hAnsi="Arial" w:eastAsia="Arial" w:cs="Arial"/>
          <w:color w:val="000000" w:themeColor="text1" w:themeTint="FF" w:themeShade="FF"/>
          <w:sz w:val="20"/>
          <w:szCs w:val="20"/>
        </w:rPr>
        <w:t xml:space="preserve">, Peter </w:t>
      </w:r>
      <w:r w:rsidRPr="7076A144" w:rsidR="75ED3D9D">
        <w:rPr>
          <w:rFonts w:ascii="Arial" w:hAnsi="Arial" w:eastAsia="Arial" w:cs="Arial"/>
          <w:color w:val="000000" w:themeColor="text1" w:themeTint="FF" w:themeShade="FF"/>
          <w:sz w:val="20"/>
          <w:szCs w:val="20"/>
        </w:rPr>
        <w:t xml:space="preserve">I. </w:t>
      </w:r>
      <w:r w:rsidRPr="7076A144" w:rsidR="35FA563B">
        <w:rPr>
          <w:rFonts w:ascii="Arial" w:hAnsi="Arial" w:eastAsia="Arial" w:cs="Arial"/>
          <w:color w:val="000000" w:themeColor="text1" w:themeTint="FF" w:themeShade="FF"/>
          <w:sz w:val="20"/>
          <w:szCs w:val="20"/>
        </w:rPr>
        <w:t>Miller</w:t>
      </w:r>
      <w:r w:rsidRPr="7076A144" w:rsidR="35FA563B">
        <w:rPr>
          <w:rFonts w:ascii="Arial" w:hAnsi="Arial" w:eastAsia="Arial" w:cs="Arial"/>
          <w:color w:val="000000" w:themeColor="text1" w:themeTint="FF" w:themeShade="FF"/>
          <w:sz w:val="20"/>
          <w:szCs w:val="20"/>
          <w:vertAlign w:val="superscript"/>
        </w:rPr>
        <w:t>2</w:t>
      </w:r>
      <w:r w:rsidRPr="7076A144" w:rsidR="35FA563B">
        <w:rPr>
          <w:rFonts w:ascii="Arial" w:hAnsi="Arial" w:eastAsia="Arial" w:cs="Arial"/>
          <w:color w:val="000000" w:themeColor="text1" w:themeTint="FF" w:themeShade="FF"/>
          <w:sz w:val="20"/>
          <w:szCs w:val="20"/>
        </w:rPr>
        <w:t>, Liam Langley</w:t>
      </w:r>
      <w:r w:rsidRPr="7076A144" w:rsidR="35FA563B">
        <w:rPr>
          <w:rFonts w:ascii="Arial" w:hAnsi="Arial" w:eastAsia="Arial" w:cs="Arial"/>
          <w:color w:val="000000" w:themeColor="text1" w:themeTint="FF" w:themeShade="FF"/>
          <w:sz w:val="20"/>
          <w:szCs w:val="20"/>
          <w:vertAlign w:val="superscript"/>
        </w:rPr>
        <w:t>3</w:t>
      </w:r>
      <w:r w:rsidRPr="7076A144" w:rsidR="35FA563B">
        <w:rPr>
          <w:rFonts w:ascii="Arial" w:hAnsi="Arial" w:eastAsia="Arial" w:cs="Arial"/>
          <w:color w:val="000000" w:themeColor="text1" w:themeTint="FF" w:themeShade="FF"/>
          <w:sz w:val="20"/>
          <w:szCs w:val="20"/>
        </w:rPr>
        <w:t>, Stephen Votier</w:t>
      </w:r>
      <w:r w:rsidRPr="7076A144" w:rsidR="35FA563B">
        <w:rPr>
          <w:rFonts w:ascii="Arial" w:hAnsi="Arial" w:eastAsia="Arial" w:cs="Arial"/>
          <w:color w:val="000000" w:themeColor="text1" w:themeTint="FF" w:themeShade="FF"/>
          <w:sz w:val="20"/>
          <w:szCs w:val="20"/>
          <w:vertAlign w:val="superscript"/>
        </w:rPr>
        <w:t>3</w:t>
      </w:r>
      <w:r w:rsidRPr="7076A144" w:rsidR="35FA563B">
        <w:rPr>
          <w:rFonts w:ascii="Arial" w:hAnsi="Arial" w:eastAsia="Arial" w:cs="Arial"/>
          <w:color w:val="000000" w:themeColor="text1" w:themeTint="FF" w:themeShade="FF"/>
          <w:sz w:val="20"/>
          <w:szCs w:val="20"/>
        </w:rPr>
        <w:t>, Michel Kaiser</w:t>
      </w:r>
      <w:r w:rsidRPr="7076A144" w:rsidR="35FA563B">
        <w:rPr>
          <w:rFonts w:ascii="Arial" w:hAnsi="Arial" w:eastAsia="Arial" w:cs="Arial"/>
          <w:color w:val="000000" w:themeColor="text1" w:themeTint="FF" w:themeShade="FF"/>
          <w:sz w:val="20"/>
          <w:szCs w:val="20"/>
          <w:vertAlign w:val="superscript"/>
        </w:rPr>
        <w:t>3</w:t>
      </w:r>
      <w:r w:rsidRPr="7076A144" w:rsidR="35FA563B">
        <w:rPr>
          <w:rFonts w:ascii="Arial" w:hAnsi="Arial" w:eastAsia="Arial" w:cs="Arial"/>
          <w:color w:val="000000" w:themeColor="text1" w:themeTint="FF" w:themeShade="FF"/>
          <w:sz w:val="20"/>
          <w:szCs w:val="20"/>
        </w:rPr>
        <w:t xml:space="preserve"> and Lilian Lieber</w:t>
      </w:r>
      <w:r w:rsidRPr="7076A144" w:rsidR="35FA563B">
        <w:rPr>
          <w:rFonts w:ascii="Arial" w:hAnsi="Arial" w:eastAsia="Arial" w:cs="Arial"/>
          <w:color w:val="000000" w:themeColor="text1" w:themeTint="FF" w:themeShade="FF"/>
          <w:sz w:val="20"/>
          <w:szCs w:val="20"/>
          <w:vertAlign w:val="superscript"/>
        </w:rPr>
        <w:t>1</w:t>
      </w:r>
    </w:p>
    <w:p w:rsidR="6F7CB010" w:rsidP="62F1CE53" w:rsidRDefault="6F7CB010" w14:paraId="03321AE8" w14:textId="7634C491">
      <w:pPr>
        <w:spacing w:after="60"/>
        <w:rPr>
          <w:rFonts w:ascii="Arial" w:hAnsi="Arial" w:eastAsia="Arial" w:cs="Arial"/>
          <w:color w:val="000000" w:themeColor="text1"/>
          <w:sz w:val="18"/>
          <w:szCs w:val="18"/>
        </w:rPr>
      </w:pPr>
      <w:r w:rsidRPr="62F1CE53">
        <w:rPr>
          <w:rFonts w:ascii="Arial" w:hAnsi="Arial" w:eastAsia="Arial" w:cs="Arial"/>
          <w:color w:val="000000" w:themeColor="text1"/>
          <w:sz w:val="16"/>
          <w:szCs w:val="16"/>
          <w:vertAlign w:val="superscript"/>
        </w:rPr>
        <w:t>1</w:t>
      </w:r>
      <w:r w:rsidRPr="62F1CE53">
        <w:rPr>
          <w:rFonts w:ascii="Arial" w:hAnsi="Arial" w:eastAsia="Arial" w:cs="Arial"/>
          <w:color w:val="000000" w:themeColor="text1"/>
          <w:sz w:val="18"/>
          <w:szCs w:val="18"/>
        </w:rPr>
        <w:t xml:space="preserve"> School of Biological and Marine Sciences, University of Plymouth, Plymouth, UK</w:t>
      </w:r>
    </w:p>
    <w:p w:rsidR="6F7CB010" w:rsidP="62F1CE53" w:rsidRDefault="6F7CB010" w14:paraId="7AA8ED58" w14:textId="0DD3DFEA">
      <w:pPr>
        <w:spacing w:after="60"/>
        <w:rPr>
          <w:rFonts w:ascii="Arial" w:hAnsi="Arial" w:eastAsia="Arial" w:cs="Arial"/>
          <w:color w:val="000000" w:themeColor="text1"/>
          <w:sz w:val="18"/>
          <w:szCs w:val="18"/>
        </w:rPr>
      </w:pPr>
      <w:r w:rsidRPr="62F1CE53">
        <w:rPr>
          <w:rFonts w:ascii="Arial" w:hAnsi="Arial" w:eastAsia="Arial" w:cs="Arial"/>
          <w:color w:val="000000" w:themeColor="text1"/>
          <w:sz w:val="16"/>
          <w:szCs w:val="16"/>
          <w:vertAlign w:val="superscript"/>
        </w:rPr>
        <w:t>2</w:t>
      </w:r>
      <w:r w:rsidRPr="62F1CE53">
        <w:rPr>
          <w:rFonts w:ascii="Arial" w:hAnsi="Arial" w:eastAsia="Arial" w:cs="Arial"/>
          <w:color w:val="000000" w:themeColor="text1"/>
          <w:sz w:val="18"/>
          <w:szCs w:val="18"/>
        </w:rPr>
        <w:t xml:space="preserve"> Plymouth Marine Laboratory, Plymouth, UK</w:t>
      </w:r>
    </w:p>
    <w:p w:rsidR="6F7CB010" w:rsidP="62F1CE53" w:rsidRDefault="6F7CB010" w14:paraId="66813405" w14:textId="14EDDE6C">
      <w:pPr>
        <w:keepNext/>
        <w:rPr>
          <w:rFonts w:ascii="Arial" w:hAnsi="Arial" w:eastAsia="Arial" w:cs="Arial"/>
          <w:color w:val="000000" w:themeColor="text1"/>
          <w:sz w:val="18"/>
          <w:szCs w:val="18"/>
        </w:rPr>
      </w:pPr>
      <w:r w:rsidRPr="62F1CE53">
        <w:rPr>
          <w:rFonts w:ascii="Arial" w:hAnsi="Arial" w:eastAsia="Arial" w:cs="Arial"/>
          <w:color w:val="000000" w:themeColor="text1"/>
          <w:sz w:val="16"/>
          <w:szCs w:val="16"/>
          <w:vertAlign w:val="superscript"/>
        </w:rPr>
        <w:t>3</w:t>
      </w:r>
      <w:r w:rsidRPr="62F1CE53">
        <w:rPr>
          <w:rFonts w:ascii="Arial" w:hAnsi="Arial" w:eastAsia="Arial" w:cs="Arial"/>
          <w:color w:val="000000" w:themeColor="text1"/>
          <w:sz w:val="18"/>
          <w:szCs w:val="18"/>
        </w:rPr>
        <w:t xml:space="preserve"> The Lyell Centre, Heriot-Watt University, Edinburgh, UK</w:t>
      </w:r>
    </w:p>
    <w:p w:rsidR="004B6FEF" w:rsidP="004B6FEF" w:rsidRDefault="00DB7EDB" w14:paraId="494E1D99" w14:textId="04F1A3B8">
      <w:pPr>
        <w:keepNext/>
      </w:pPr>
      <w:r w:rsidRPr="00DB7EDB">
        <w:rPr>
          <w:noProof/>
        </w:rPr>
        <w:drawing>
          <wp:inline distT="0" distB="0" distL="0" distR="0" wp14:anchorId="452285F0" wp14:editId="2D7E5129">
            <wp:extent cx="5731510" cy="4241800"/>
            <wp:effectExtent l="0" t="0" r="2540" b="6350"/>
            <wp:docPr id="1493634192"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34192" name="Picture 1" descr="A screenshot of a map&#10;&#10;AI-generated content may be incorrect."/>
                    <pic:cNvPicPr/>
                  </pic:nvPicPr>
                  <pic:blipFill>
                    <a:blip r:embed="rId8"/>
                    <a:stretch>
                      <a:fillRect/>
                    </a:stretch>
                  </pic:blipFill>
                  <pic:spPr>
                    <a:xfrm>
                      <a:off x="0" y="0"/>
                      <a:ext cx="5731510" cy="4241800"/>
                    </a:xfrm>
                    <a:prstGeom prst="rect">
                      <a:avLst/>
                    </a:prstGeom>
                  </pic:spPr>
                </pic:pic>
              </a:graphicData>
            </a:graphic>
          </wp:inline>
        </w:drawing>
      </w:r>
    </w:p>
    <w:p w:rsidR="00E63F3B" w:rsidP="62F1CE53" w:rsidRDefault="08B862F6" w14:paraId="71841230" w14:textId="6BD137EB">
      <w:pPr>
        <w:pStyle w:val="Caption"/>
        <w:rPr>
          <w:sz w:val="22"/>
          <w:szCs w:val="22"/>
        </w:rPr>
      </w:pPr>
      <w:r w:rsidRPr="62F1CE53">
        <w:rPr>
          <w:b/>
          <w:bCs/>
          <w:sz w:val="22"/>
          <w:szCs w:val="22"/>
        </w:rPr>
        <w:t xml:space="preserve">Supplementary Fig.  </w:t>
      </w:r>
      <w:r>
        <w:fldChar w:fldCharType="begin"/>
      </w:r>
      <w:r>
        <w:instrText> SEQ Supplementary_Fig._ \* ARABIC </w:instrText>
      </w:r>
      <w:r>
        <w:fldChar w:fldCharType="separate"/>
      </w:r>
      <w:r w:rsidRPr="62F1CE53" w:rsidR="4C116480">
        <w:rPr>
          <w:noProof/>
        </w:rPr>
        <w:t>1</w:t>
      </w:r>
      <w:r>
        <w:fldChar w:fldCharType="end"/>
      </w:r>
      <w:r w:rsidRPr="62F1CE53">
        <w:rPr>
          <w:b/>
          <w:bCs/>
          <w:sz w:val="22"/>
          <w:szCs w:val="22"/>
        </w:rPr>
        <w:t xml:space="preserve"> </w:t>
      </w:r>
      <w:r w:rsidRPr="0009270B" w:rsidR="2DC7C8B3">
        <w:rPr>
          <w:sz w:val="22"/>
          <w:szCs w:val="22"/>
        </w:rPr>
        <w:t>Monthly front and fishing hotspot distributions across 2012-2025. Panels</w:t>
      </w:r>
      <w:r w:rsidRPr="62F1CE53" w:rsidR="2DC7C8B3">
        <w:rPr>
          <w:sz w:val="22"/>
          <w:szCs w:val="22"/>
        </w:rPr>
        <w:t xml:space="preserve"> show monthly composite hotspots for all gear types. Blue solid contours indicate thermal front hotspots, and red dashed contours indicate apparent fishing activity hotspots. Hotspots are defined as the top 20% of ranked monthly grid cells within the Celtic Sea analysis domain.</w:t>
      </w:r>
    </w:p>
    <w:p w:rsidR="004B6FEF" w:rsidP="004B6FEF" w:rsidRDefault="009B3883" w14:paraId="37C8C0E8" w14:textId="31F46D2E">
      <w:pPr>
        <w:keepNext/>
      </w:pPr>
      <w:r w:rsidRPr="009B3883">
        <w:rPr>
          <w:noProof/>
        </w:rPr>
        <w:drawing>
          <wp:inline distT="0" distB="0" distL="0" distR="0" wp14:anchorId="090D41E6" wp14:editId="1E6606BB">
            <wp:extent cx="5731510" cy="4241800"/>
            <wp:effectExtent l="0" t="0" r="2540" b="6350"/>
            <wp:docPr id="1714175739"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75739" name="Picture 1" descr="A screenshot of a map&#10;&#10;AI-generated content may be incorrect."/>
                    <pic:cNvPicPr/>
                  </pic:nvPicPr>
                  <pic:blipFill>
                    <a:blip r:embed="rId9"/>
                    <a:stretch>
                      <a:fillRect/>
                    </a:stretch>
                  </pic:blipFill>
                  <pic:spPr>
                    <a:xfrm>
                      <a:off x="0" y="0"/>
                      <a:ext cx="5731510" cy="4241800"/>
                    </a:xfrm>
                    <a:prstGeom prst="rect">
                      <a:avLst/>
                    </a:prstGeom>
                  </pic:spPr>
                </pic:pic>
              </a:graphicData>
            </a:graphic>
          </wp:inline>
        </w:drawing>
      </w:r>
    </w:p>
    <w:p w:rsidR="00AE17B8" w:rsidP="62F1CE53" w:rsidRDefault="08B862F6" w14:paraId="090E6CDB" w14:textId="267180DA">
      <w:pPr>
        <w:pStyle w:val="Caption"/>
        <w:rPr>
          <w:sz w:val="22"/>
          <w:szCs w:val="22"/>
        </w:rPr>
      </w:pPr>
      <w:r w:rsidRPr="62F1CE53">
        <w:rPr>
          <w:b/>
          <w:bCs/>
          <w:sz w:val="22"/>
          <w:szCs w:val="22"/>
        </w:rPr>
        <w:t xml:space="preserve">Supplementary Fig.  </w:t>
      </w:r>
      <w:r>
        <w:fldChar w:fldCharType="begin"/>
      </w:r>
      <w:r>
        <w:instrText> SEQ Supplementary_Fig._ \* ARABIC </w:instrText>
      </w:r>
      <w:r>
        <w:fldChar w:fldCharType="separate"/>
      </w:r>
      <w:r w:rsidRPr="62F1CE53" w:rsidR="4C116480">
        <w:rPr>
          <w:noProof/>
        </w:rPr>
        <w:t>2</w:t>
      </w:r>
      <w:r>
        <w:fldChar w:fldCharType="end"/>
      </w:r>
      <w:r w:rsidRPr="62F1CE53">
        <w:rPr>
          <w:b/>
          <w:bCs/>
          <w:sz w:val="22"/>
          <w:szCs w:val="22"/>
        </w:rPr>
        <w:t xml:space="preserve"> </w:t>
      </w:r>
      <w:r w:rsidRPr="0009270B" w:rsidR="713411D4">
        <w:rPr>
          <w:sz w:val="22"/>
          <w:szCs w:val="22"/>
        </w:rPr>
        <w:t>Monthly front and fishing hotspot distributions across 2012-2025. Panels</w:t>
      </w:r>
      <w:r w:rsidRPr="62F1CE53" w:rsidR="713411D4">
        <w:rPr>
          <w:sz w:val="22"/>
          <w:szCs w:val="22"/>
        </w:rPr>
        <w:t xml:space="preserve"> show monthly composite fishing hotspots for trawlers. Blue solid contours indicate thermal front hotspots, and red dashed contours indicate apparent fishing activity hotspots.</w:t>
      </w:r>
    </w:p>
    <w:p w:rsidR="00765F49" w:rsidP="003E0F75" w:rsidRDefault="00765F49" w14:paraId="781402ED" w14:textId="0972B5F3">
      <w:pPr>
        <w:pStyle w:val="Caption"/>
      </w:pPr>
    </w:p>
    <w:p w:rsidR="004B6FEF" w:rsidP="004B6FEF" w:rsidRDefault="009B3883" w14:paraId="61E1ADE0" w14:textId="77777777">
      <w:pPr>
        <w:keepNext/>
      </w:pPr>
      <w:r w:rsidRPr="009B3883">
        <w:rPr>
          <w:noProof/>
        </w:rPr>
        <w:drawing>
          <wp:inline distT="0" distB="0" distL="0" distR="0" wp14:anchorId="225BC8F7" wp14:editId="1C3FFEFD">
            <wp:extent cx="5731510" cy="4241800"/>
            <wp:effectExtent l="0" t="0" r="2540" b="6350"/>
            <wp:docPr id="1975854721"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54721" name="Picture 1" descr="A screenshot of a map&#10;&#10;AI-generated content may be incorrect."/>
                    <pic:cNvPicPr/>
                  </pic:nvPicPr>
                  <pic:blipFill>
                    <a:blip r:embed="rId10"/>
                    <a:stretch>
                      <a:fillRect/>
                    </a:stretch>
                  </pic:blipFill>
                  <pic:spPr>
                    <a:xfrm>
                      <a:off x="0" y="0"/>
                      <a:ext cx="5731510" cy="4241800"/>
                    </a:xfrm>
                    <a:prstGeom prst="rect">
                      <a:avLst/>
                    </a:prstGeom>
                  </pic:spPr>
                </pic:pic>
              </a:graphicData>
            </a:graphic>
          </wp:inline>
        </w:drawing>
      </w:r>
    </w:p>
    <w:p w:rsidR="006E0B1F" w:rsidP="006E0B1F" w:rsidRDefault="08B862F6" w14:paraId="50120901" w14:textId="1B93EE08">
      <w:pPr>
        <w:pStyle w:val="Caption"/>
      </w:pPr>
      <w:r w:rsidRPr="62F1CE53">
        <w:rPr>
          <w:b/>
          <w:bCs/>
          <w:sz w:val="22"/>
          <w:szCs w:val="22"/>
        </w:rPr>
        <w:t xml:space="preserve">Supplementary Fig.  </w:t>
      </w:r>
      <w:r>
        <w:fldChar w:fldCharType="begin"/>
      </w:r>
      <w:r>
        <w:instrText> SEQ Supplementary_Fig._ \* ARABIC </w:instrText>
      </w:r>
      <w:r>
        <w:fldChar w:fldCharType="separate"/>
      </w:r>
      <w:r w:rsidRPr="62F1CE53" w:rsidR="4C116480">
        <w:rPr>
          <w:noProof/>
        </w:rPr>
        <w:t>3</w:t>
      </w:r>
      <w:r>
        <w:fldChar w:fldCharType="end"/>
      </w:r>
      <w:r w:rsidRPr="62F1CE53">
        <w:rPr>
          <w:b/>
          <w:bCs/>
          <w:sz w:val="22"/>
          <w:szCs w:val="22"/>
        </w:rPr>
        <w:t xml:space="preserve"> </w:t>
      </w:r>
      <w:r w:rsidRPr="0009270B" w:rsidR="5669BBF1">
        <w:rPr>
          <w:sz w:val="22"/>
          <w:szCs w:val="22"/>
        </w:rPr>
        <w:t>Monthly front and fishing hotspot distributions across 2012-2025.</w:t>
      </w:r>
      <w:r w:rsidRPr="0009270B" w:rsidR="5669BBF1">
        <w:t xml:space="preserve"> Panels</w:t>
      </w:r>
      <w:r w:rsidR="5669BBF1">
        <w:t xml:space="preserve"> show monthly composite fishing hotspots for static gears, including </w:t>
      </w:r>
      <w:r w:rsidR="5C10F078">
        <w:t>set</w:t>
      </w:r>
      <w:r w:rsidR="568FB549">
        <w:t xml:space="preserve"> </w:t>
      </w:r>
      <w:r w:rsidR="5C10F078">
        <w:t>longlines, set</w:t>
      </w:r>
      <w:r w:rsidR="568FB549">
        <w:t xml:space="preserve"> </w:t>
      </w:r>
      <w:r w:rsidR="5C10F078">
        <w:t>gillnets</w:t>
      </w:r>
      <w:r w:rsidR="568FB549">
        <w:t xml:space="preserve">, pots and traps. </w:t>
      </w:r>
      <w:r w:rsidR="5669BBF1">
        <w:t>Blue solid contours indicate thermal front hotspots, and red dashed contours indicate apparent fishing activity hotspots.</w:t>
      </w:r>
    </w:p>
    <w:p w:rsidRPr="009917C0" w:rsidR="009917C0" w:rsidP="006E0B1F" w:rsidRDefault="009917C0" w14:paraId="5258E54A" w14:textId="5EF03C6F">
      <w:pPr>
        <w:pStyle w:val="Caption"/>
      </w:pPr>
    </w:p>
    <w:p w:rsidR="004B6FEF" w:rsidP="004B6FEF" w:rsidRDefault="00D03CC4" w14:paraId="02101995" w14:textId="77777777">
      <w:pPr>
        <w:keepNext/>
      </w:pPr>
      <w:r w:rsidRPr="00D03CC4">
        <w:rPr>
          <w:noProof/>
        </w:rPr>
        <w:drawing>
          <wp:inline distT="0" distB="0" distL="0" distR="0" wp14:anchorId="658EBDE3" wp14:editId="053828DD">
            <wp:extent cx="5731510" cy="4241800"/>
            <wp:effectExtent l="0" t="0" r="2540" b="6350"/>
            <wp:docPr id="1997761399"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61399" name="Picture 1" descr="A screenshot of a map&#10;&#10;AI-generated content may be incorrect."/>
                    <pic:cNvPicPr/>
                  </pic:nvPicPr>
                  <pic:blipFill>
                    <a:blip r:embed="rId11"/>
                    <a:stretch>
                      <a:fillRect/>
                    </a:stretch>
                  </pic:blipFill>
                  <pic:spPr>
                    <a:xfrm>
                      <a:off x="0" y="0"/>
                      <a:ext cx="5731510" cy="4241800"/>
                    </a:xfrm>
                    <a:prstGeom prst="rect">
                      <a:avLst/>
                    </a:prstGeom>
                  </pic:spPr>
                </pic:pic>
              </a:graphicData>
            </a:graphic>
          </wp:inline>
        </w:drawing>
      </w:r>
    </w:p>
    <w:p w:rsidR="00EC1A88" w:rsidP="00EC1A88" w:rsidRDefault="004B6FEF" w14:paraId="38733F2F" w14:textId="09C2A1BE">
      <w:pPr>
        <w:pStyle w:val="Caption"/>
      </w:pPr>
      <w:r>
        <w:t xml:space="preserve">Supplementary Fig.  </w:t>
      </w:r>
      <w:r>
        <w:fldChar w:fldCharType="begin"/>
      </w:r>
      <w:r>
        <w:instrText>SEQ Supplementary_Fig._ \* ARABIC</w:instrText>
      </w:r>
      <w:r>
        <w:fldChar w:fldCharType="separate"/>
      </w:r>
      <w:r w:rsidR="006A3D79">
        <w:rPr>
          <w:noProof/>
        </w:rPr>
        <w:t>4</w:t>
      </w:r>
      <w:r>
        <w:fldChar w:fldCharType="end"/>
      </w:r>
      <w:r>
        <w:t xml:space="preserve"> </w:t>
      </w:r>
      <w:r w:rsidRPr="002D16E6" w:rsidR="00EC1A88">
        <w:t xml:space="preserve">Monthly front and fishing hotspot distributions across 2012-2025. Panels show monthly composite </w:t>
      </w:r>
      <w:r w:rsidR="00EC1A88">
        <w:t xml:space="preserve">fishing </w:t>
      </w:r>
      <w:r w:rsidRPr="002D16E6" w:rsidR="00EC1A88">
        <w:t xml:space="preserve">hotspots for </w:t>
      </w:r>
      <w:r w:rsidR="00EC1A88">
        <w:t>seiners</w:t>
      </w:r>
      <w:r w:rsidR="0053693C">
        <w:t xml:space="preserve">. </w:t>
      </w:r>
      <w:r w:rsidRPr="002D16E6" w:rsidR="00EC1A88">
        <w:t>Blue solid contours indicate thermal front hotspots, and red dashed contours indicate apparent fishing activity hotspots.</w:t>
      </w:r>
    </w:p>
    <w:p w:rsidR="003E0F75" w:rsidP="00EC1A88" w:rsidRDefault="003E0F75" w14:paraId="27380007" w14:textId="384BB39C">
      <w:pPr>
        <w:pStyle w:val="Caption"/>
      </w:pPr>
    </w:p>
    <w:p w:rsidR="004B6FEF" w:rsidP="004B6FEF" w:rsidRDefault="00D03CC4" w14:paraId="0304C2A2" w14:textId="77777777">
      <w:pPr>
        <w:keepNext/>
      </w:pPr>
      <w:r w:rsidRPr="00D03CC4">
        <w:rPr>
          <w:noProof/>
        </w:rPr>
        <w:drawing>
          <wp:inline distT="0" distB="0" distL="0" distR="0" wp14:anchorId="3ACF09C9" wp14:editId="5ED222C5">
            <wp:extent cx="5731510" cy="4241800"/>
            <wp:effectExtent l="0" t="0" r="2540" b="6350"/>
            <wp:docPr id="698805304"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05304" name="Picture 1" descr="A screenshot of a map&#10;&#10;AI-generated content may be incorrect."/>
                    <pic:cNvPicPr/>
                  </pic:nvPicPr>
                  <pic:blipFill>
                    <a:blip r:embed="rId12"/>
                    <a:stretch>
                      <a:fillRect/>
                    </a:stretch>
                  </pic:blipFill>
                  <pic:spPr>
                    <a:xfrm>
                      <a:off x="0" y="0"/>
                      <a:ext cx="5731510" cy="4241800"/>
                    </a:xfrm>
                    <a:prstGeom prst="rect">
                      <a:avLst/>
                    </a:prstGeom>
                  </pic:spPr>
                </pic:pic>
              </a:graphicData>
            </a:graphic>
          </wp:inline>
        </w:drawing>
      </w:r>
    </w:p>
    <w:p w:rsidR="0053693C" w:rsidP="0053693C" w:rsidRDefault="004B6FEF" w14:paraId="76FBD3C9" w14:textId="3AC59597">
      <w:pPr>
        <w:pStyle w:val="Caption"/>
      </w:pPr>
      <w:r>
        <w:t xml:space="preserve">Supplementary Fig.  </w:t>
      </w:r>
      <w:r>
        <w:fldChar w:fldCharType="begin"/>
      </w:r>
      <w:r>
        <w:instrText>SEQ Supplementary_Fig._ \* ARABIC</w:instrText>
      </w:r>
      <w:r>
        <w:fldChar w:fldCharType="separate"/>
      </w:r>
      <w:r w:rsidR="006A3D79">
        <w:rPr>
          <w:noProof/>
        </w:rPr>
        <w:t>5</w:t>
      </w:r>
      <w:r>
        <w:fldChar w:fldCharType="end"/>
      </w:r>
      <w:r>
        <w:t xml:space="preserve"> </w:t>
      </w:r>
      <w:r w:rsidRPr="002D16E6" w:rsidR="0053693C">
        <w:t xml:space="preserve">Monthly front and fishing hotspot distributions across 2012-2025. Panels show monthly composite </w:t>
      </w:r>
      <w:r w:rsidR="0053693C">
        <w:t xml:space="preserve">fishing </w:t>
      </w:r>
      <w:r w:rsidRPr="002D16E6" w:rsidR="0053693C">
        <w:t xml:space="preserve">hotspots for </w:t>
      </w:r>
      <w:r w:rsidR="0053693C">
        <w:t xml:space="preserve">dredge fishing. </w:t>
      </w:r>
      <w:r w:rsidRPr="002D16E6" w:rsidR="0053693C">
        <w:t>Blue solid contours indicate thermal front hotspots, and red dashed contours indicate apparent fishing activity hotspots.</w:t>
      </w:r>
    </w:p>
    <w:p w:rsidR="0053693C" w:rsidP="0053693C" w:rsidRDefault="0053693C" w14:paraId="68AB6E55" w14:textId="35F8B01E">
      <w:pPr>
        <w:pStyle w:val="Caption"/>
      </w:pPr>
    </w:p>
    <w:p w:rsidR="004B6FEF" w:rsidP="004B6FEF" w:rsidRDefault="00AE17B8" w14:paraId="0622BB94" w14:textId="77777777">
      <w:pPr>
        <w:keepNext/>
      </w:pPr>
      <w:r w:rsidRPr="00AE17B8">
        <w:rPr>
          <w:noProof/>
        </w:rPr>
        <w:t xml:space="preserve"> </w:t>
      </w:r>
      <w:r w:rsidRPr="00AE17B8">
        <w:rPr>
          <w:noProof/>
        </w:rPr>
        <w:drawing>
          <wp:inline distT="0" distB="0" distL="0" distR="0" wp14:anchorId="2C7AC25F" wp14:editId="1F31D9D5">
            <wp:extent cx="5731510" cy="4241800"/>
            <wp:effectExtent l="0" t="0" r="2540" b="6350"/>
            <wp:docPr id="1985629846"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29846" name="Picture 1" descr="A screenshot of a map&#10;&#10;AI-generated content may be incorrect."/>
                    <pic:cNvPicPr/>
                  </pic:nvPicPr>
                  <pic:blipFill>
                    <a:blip r:embed="rId13"/>
                    <a:stretch>
                      <a:fillRect/>
                    </a:stretch>
                  </pic:blipFill>
                  <pic:spPr>
                    <a:xfrm>
                      <a:off x="0" y="0"/>
                      <a:ext cx="5731510" cy="4241800"/>
                    </a:xfrm>
                    <a:prstGeom prst="rect">
                      <a:avLst/>
                    </a:prstGeom>
                  </pic:spPr>
                </pic:pic>
              </a:graphicData>
            </a:graphic>
          </wp:inline>
        </w:drawing>
      </w:r>
    </w:p>
    <w:p w:rsidRPr="003E0F75" w:rsidR="003E0F75" w:rsidP="0053693C" w:rsidRDefault="771FE728" w14:paraId="20C8A059" w14:textId="5D689A90">
      <w:pPr>
        <w:pStyle w:val="Caption"/>
      </w:pPr>
      <w:r>
        <w:t xml:space="preserve">Supplementary Fig.  </w:t>
      </w:r>
      <w:r>
        <w:fldChar w:fldCharType="begin"/>
      </w:r>
      <w:r>
        <w:instrText>SEQ Supplementary_Fig._ \* ARABIC</w:instrText>
      </w:r>
      <w:r>
        <w:fldChar w:fldCharType="separate"/>
      </w:r>
      <w:r w:rsidR="006A3D79">
        <w:rPr>
          <w:noProof/>
        </w:rPr>
        <w:t>6</w:t>
      </w:r>
      <w:r>
        <w:fldChar w:fldCharType="end"/>
      </w:r>
      <w:r>
        <w:t xml:space="preserve"> </w:t>
      </w:r>
      <w:r w:rsidR="73AC0948">
        <w:t>Monthly front and fishing hotspot distributions across 2012-2025. Panels show monthly composite fishing hotspots for drifting longlines. Blue solid contours indicate thermal front hotspots, and red dashed contours indicate apparent fishing activity hotspots.</w:t>
      </w:r>
    </w:p>
    <w:p w:rsidR="006A3D79" w:rsidP="006A3D79" w:rsidRDefault="5D030585" w14:paraId="3E4E7926" w14:textId="77777777">
      <w:pPr>
        <w:keepNext/>
      </w:pPr>
      <w:r>
        <w:rPr>
          <w:noProof/>
        </w:rPr>
        <w:drawing>
          <wp:inline distT="0" distB="0" distL="0" distR="0" wp14:anchorId="6630A742" wp14:editId="1B01F7D1">
            <wp:extent cx="5724525" cy="3181350"/>
            <wp:effectExtent l="0" t="0" r="0" b="0"/>
            <wp:docPr id="410959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59571" name="Picture 410959571"/>
                    <pic:cNvPicPr/>
                  </pic:nvPicPr>
                  <pic:blipFill>
                    <a:blip r:embed="rId14">
                      <a:extLst>
                        <a:ext uri="{28A0092B-C50C-407E-A947-70E740481C1C}">
                          <a14:useLocalDpi xmlns:a14="http://schemas.microsoft.com/office/drawing/2010/main"/>
                        </a:ext>
                      </a:extLst>
                    </a:blip>
                    <a:stretch>
                      <a:fillRect/>
                    </a:stretch>
                  </pic:blipFill>
                  <pic:spPr>
                    <a:xfrm>
                      <a:off x="0" y="0"/>
                      <a:ext cx="5724525" cy="3181350"/>
                    </a:xfrm>
                    <a:prstGeom prst="rect">
                      <a:avLst/>
                    </a:prstGeom>
                  </pic:spPr>
                </pic:pic>
              </a:graphicData>
            </a:graphic>
          </wp:inline>
        </w:drawing>
      </w:r>
    </w:p>
    <w:p w:rsidR="5D030585" w:rsidP="00F57D65" w:rsidRDefault="006A3D79" w14:paraId="6767A4F6" w14:textId="76FFED36">
      <w:pPr>
        <w:pStyle w:val="Caption"/>
      </w:pPr>
      <w:r>
        <w:t xml:space="preserve">Supplementary Fig.  </w:t>
      </w:r>
      <w:r>
        <w:fldChar w:fldCharType="begin"/>
      </w:r>
      <w:r>
        <w:instrText>SEQ Supplementary_Fig._ \* ARABIC</w:instrText>
      </w:r>
      <w:r>
        <w:fldChar w:fldCharType="separate"/>
      </w:r>
      <w:r>
        <w:rPr>
          <w:noProof/>
        </w:rPr>
        <w:t>7</w:t>
      </w:r>
      <w:r>
        <w:fldChar w:fldCharType="end"/>
      </w:r>
      <w:r>
        <w:t xml:space="preserve"> </w:t>
      </w:r>
      <w:r w:rsidRPr="00BA7D88" w:rsidR="00BA7D88">
        <w:t>Monthly overlap between planned floating offshore wind (FLOW) footprints and Celtic Sea hotspot areas using the upper 10% hotspot threshold. Lines show the percentage of each monthly hotspot layer overlapped by FLOW, using the total monthly hotspot area in the Celtic Sea as the denominator. Shaded bars show the corresponding absolute overlap area in km². Front hotspots were defined from ranked monthly front strength, and fishing hotspots were defined from ranked monthly apparent fishing activity.</w:t>
      </w:r>
    </w:p>
    <w:p w:rsidR="006A3D79" w:rsidP="006A3D79" w:rsidRDefault="0F2F5EB7" w14:paraId="3F5DDF8F" w14:textId="77777777">
      <w:pPr>
        <w:keepNext/>
      </w:pPr>
      <w:r>
        <w:rPr>
          <w:noProof/>
        </w:rPr>
        <w:drawing>
          <wp:inline distT="0" distB="0" distL="0" distR="0" wp14:anchorId="7E87E371" wp14:editId="5DA3C72F">
            <wp:extent cx="5724525" cy="3181350"/>
            <wp:effectExtent l="0" t="0" r="0" b="0"/>
            <wp:docPr id="5426202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20207" name="Picture 542620207"/>
                    <pic:cNvPicPr/>
                  </pic:nvPicPr>
                  <pic:blipFill>
                    <a:blip r:embed="rId15">
                      <a:extLst>
                        <a:ext uri="{28A0092B-C50C-407E-A947-70E740481C1C}">
                          <a14:useLocalDpi xmlns:a14="http://schemas.microsoft.com/office/drawing/2010/main"/>
                        </a:ext>
                      </a:extLst>
                    </a:blip>
                    <a:stretch>
                      <a:fillRect/>
                    </a:stretch>
                  </pic:blipFill>
                  <pic:spPr>
                    <a:xfrm>
                      <a:off x="0" y="0"/>
                      <a:ext cx="5724525" cy="3181350"/>
                    </a:xfrm>
                    <a:prstGeom prst="rect">
                      <a:avLst/>
                    </a:prstGeom>
                  </pic:spPr>
                </pic:pic>
              </a:graphicData>
            </a:graphic>
          </wp:inline>
        </w:drawing>
      </w:r>
    </w:p>
    <w:p w:rsidR="0F2F5EB7" w:rsidP="006A3D79" w:rsidRDefault="006A3D79" w14:paraId="1E62C6A1" w14:textId="2135F84E">
      <w:pPr>
        <w:pStyle w:val="Caption"/>
      </w:pPr>
      <w:r>
        <w:t xml:space="preserve">Supplementary Fig.  </w:t>
      </w:r>
      <w:r>
        <w:fldChar w:fldCharType="begin"/>
      </w:r>
      <w:r>
        <w:instrText>SEQ Supplementary_Fig._ \* ARABIC</w:instrText>
      </w:r>
      <w:r>
        <w:fldChar w:fldCharType="separate"/>
      </w:r>
      <w:r>
        <w:rPr>
          <w:noProof/>
        </w:rPr>
        <w:t>8</w:t>
      </w:r>
      <w:r>
        <w:fldChar w:fldCharType="end"/>
      </w:r>
      <w:r w:rsidRPr="00BA7D88" w:rsidR="00BA7D88">
        <w:rPr>
          <w:iCs w:val="0"/>
          <w:color w:val="auto"/>
          <w:szCs w:val="24"/>
        </w:rPr>
        <w:t xml:space="preserve"> </w:t>
      </w:r>
      <w:r w:rsidRPr="00BA7D88" w:rsidR="00BA7D88">
        <w:t xml:space="preserve">Monthly overlap between planned </w:t>
      </w:r>
      <w:r w:rsidR="00BA7D88">
        <w:t>fixed-bottom</w:t>
      </w:r>
      <w:r w:rsidRPr="00BA7D88" w:rsidR="00BA7D88">
        <w:t xml:space="preserve"> offshore wind (F</w:t>
      </w:r>
      <w:r w:rsidR="00D612AF">
        <w:t>B</w:t>
      </w:r>
      <w:r w:rsidRPr="00BA7D88" w:rsidR="00BA7D88">
        <w:t xml:space="preserve">OW) footprints and Celtic Sea hotspot areas using the upper 10% hotspot threshold. Lines show the percentage of each monthly hotspot layer overlapped by FLOW, using the total monthly hotspot area in the Celtic Sea as the denominator. Shaded bars show the corresponding absolute overlap area in km². Front hotspots were defined from ranked </w:t>
      </w:r>
      <w:r w:rsidRPr="00BA7D88" w:rsidR="00BA7D88">
        <w:t>monthly front strength, and fishing hotspots were defined from ranked monthly apparent fishing activity.</w:t>
      </w:r>
    </w:p>
    <w:p w:rsidR="006A3D79" w:rsidP="006A3D79" w:rsidRDefault="0F2F5EB7" w14:paraId="17F93396" w14:textId="77777777">
      <w:pPr>
        <w:keepNext/>
      </w:pPr>
      <w:r>
        <w:rPr>
          <w:noProof/>
        </w:rPr>
        <w:drawing>
          <wp:inline distT="0" distB="0" distL="0" distR="0" wp14:anchorId="67B8CDF6" wp14:editId="388B440B">
            <wp:extent cx="5724525" cy="3181350"/>
            <wp:effectExtent l="0" t="0" r="0" b="0"/>
            <wp:docPr id="11991325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32504" name="Picture 1199132504"/>
                    <pic:cNvPicPr/>
                  </pic:nvPicPr>
                  <pic:blipFill>
                    <a:blip r:embed="rId16">
                      <a:extLst>
                        <a:ext uri="{28A0092B-C50C-407E-A947-70E740481C1C}">
                          <a14:useLocalDpi xmlns:a14="http://schemas.microsoft.com/office/drawing/2010/main"/>
                        </a:ext>
                      </a:extLst>
                    </a:blip>
                    <a:stretch>
                      <a:fillRect/>
                    </a:stretch>
                  </pic:blipFill>
                  <pic:spPr>
                    <a:xfrm>
                      <a:off x="0" y="0"/>
                      <a:ext cx="5724525" cy="3181350"/>
                    </a:xfrm>
                    <a:prstGeom prst="rect">
                      <a:avLst/>
                    </a:prstGeom>
                  </pic:spPr>
                </pic:pic>
              </a:graphicData>
            </a:graphic>
          </wp:inline>
        </w:drawing>
      </w:r>
    </w:p>
    <w:p w:rsidR="0F2F5EB7" w:rsidP="006A3D79" w:rsidRDefault="006A3D79" w14:paraId="19C2188C" w14:textId="6F6343BC">
      <w:pPr>
        <w:pStyle w:val="Caption"/>
      </w:pPr>
      <w:r>
        <w:t xml:space="preserve">Supplementary Fig.  </w:t>
      </w:r>
      <w:r>
        <w:fldChar w:fldCharType="begin"/>
      </w:r>
      <w:r>
        <w:instrText>SEQ Supplementary_Fig._ \* ARABIC</w:instrText>
      </w:r>
      <w:r>
        <w:fldChar w:fldCharType="separate"/>
      </w:r>
      <w:r>
        <w:rPr>
          <w:noProof/>
        </w:rPr>
        <w:t>9</w:t>
      </w:r>
      <w:r>
        <w:fldChar w:fldCharType="end"/>
      </w:r>
      <w:r w:rsidR="00D612AF">
        <w:t xml:space="preserve"> </w:t>
      </w:r>
      <w:r w:rsidRPr="00BA7D88" w:rsidR="00D612AF">
        <w:t xml:space="preserve">Monthly overlap between planned floating offshore wind (FLOW) footprints and Celtic Sea hotspot areas using the upper </w:t>
      </w:r>
      <w:r w:rsidR="00D612AF">
        <w:t>3</w:t>
      </w:r>
      <w:r w:rsidRPr="00BA7D88" w:rsidR="00D612AF">
        <w:t>0% hotspot threshold. Lines show the percentage of each monthly hotspot layer overlapped by FLOW, using the total monthly hotspot area in the Celtic Sea as the denominator. Shaded bars show the corresponding absolute overlap area in km². Front hotspots were defined from ranked monthly front strength, and fishing hotspots were defined from ranked monthly apparent fishing activity.</w:t>
      </w:r>
    </w:p>
    <w:p w:rsidR="006A3D79" w:rsidP="006A3D79" w:rsidRDefault="0F2F5EB7" w14:paraId="438300D9" w14:textId="77777777">
      <w:pPr>
        <w:keepNext/>
      </w:pPr>
      <w:r>
        <w:rPr>
          <w:noProof/>
        </w:rPr>
        <w:drawing>
          <wp:inline distT="0" distB="0" distL="0" distR="0" wp14:anchorId="5CC6406C" wp14:editId="3ED3AB84">
            <wp:extent cx="5724525" cy="3181350"/>
            <wp:effectExtent l="0" t="0" r="0" b="0"/>
            <wp:docPr id="11192912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91294" name="Picture 1119291294"/>
                    <pic:cNvPicPr/>
                  </pic:nvPicPr>
                  <pic:blipFill>
                    <a:blip r:embed="rId17">
                      <a:extLst>
                        <a:ext uri="{28A0092B-C50C-407E-A947-70E740481C1C}">
                          <a14:useLocalDpi xmlns:a14="http://schemas.microsoft.com/office/drawing/2010/main"/>
                        </a:ext>
                      </a:extLst>
                    </a:blip>
                    <a:stretch>
                      <a:fillRect/>
                    </a:stretch>
                  </pic:blipFill>
                  <pic:spPr>
                    <a:xfrm>
                      <a:off x="0" y="0"/>
                      <a:ext cx="5724525" cy="3181350"/>
                    </a:xfrm>
                    <a:prstGeom prst="rect">
                      <a:avLst/>
                    </a:prstGeom>
                  </pic:spPr>
                </pic:pic>
              </a:graphicData>
            </a:graphic>
          </wp:inline>
        </w:drawing>
      </w:r>
    </w:p>
    <w:p w:rsidR="0F2F5EB7" w:rsidP="006A3D79" w:rsidRDefault="006A3D79" w14:paraId="70C8D030" w14:textId="05DE247B">
      <w:pPr>
        <w:pStyle w:val="Caption"/>
      </w:pPr>
      <w:r>
        <w:t xml:space="preserve">Supplementary Fig.  </w:t>
      </w:r>
      <w:r>
        <w:fldChar w:fldCharType="begin"/>
      </w:r>
      <w:r>
        <w:instrText>SEQ Supplementary_Fig._ \* ARABIC</w:instrText>
      </w:r>
      <w:r>
        <w:fldChar w:fldCharType="separate"/>
      </w:r>
      <w:r>
        <w:rPr>
          <w:noProof/>
        </w:rPr>
        <w:t>10</w:t>
      </w:r>
      <w:r>
        <w:fldChar w:fldCharType="end"/>
      </w:r>
      <w:r w:rsidR="00D612AF">
        <w:t xml:space="preserve"> </w:t>
      </w:r>
      <w:r w:rsidRPr="00BA7D88" w:rsidR="00D612AF">
        <w:t xml:space="preserve">Monthly overlap between planned </w:t>
      </w:r>
      <w:r w:rsidR="00D612AF">
        <w:t>fixed-bottom</w:t>
      </w:r>
      <w:r w:rsidRPr="00BA7D88" w:rsidR="00D612AF">
        <w:t xml:space="preserve"> offshore wind (F</w:t>
      </w:r>
      <w:r w:rsidR="00D612AF">
        <w:t>B</w:t>
      </w:r>
      <w:r w:rsidRPr="00BA7D88" w:rsidR="00D612AF">
        <w:t xml:space="preserve">OW) footprints and Celtic Sea hotspot areas using the upper </w:t>
      </w:r>
      <w:r w:rsidR="00D612AF">
        <w:t>3</w:t>
      </w:r>
      <w:r w:rsidRPr="00BA7D88" w:rsidR="00D612AF">
        <w:t xml:space="preserve">0% hotspot threshold. </w:t>
      </w:r>
      <w:r w:rsidRPr="00BA7D88" w:rsidR="00D612AF">
        <w:t>Lines show the percentage of each monthly hotspot layer overlapped by FLOW, using the total monthly hotspot area in the Celtic Sea as the denominator. Shaded bars show the corresponding absolute overlap area in km². Front hotspots were defined from ranked monthly front strength, and fishing hotspots were defined from ranked monthly apparent fishing activity.</w:t>
      </w:r>
    </w:p>
    <w:sectPr w:rsidR="0F2F5EB7">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DE5"/>
    <w:rsid w:val="00033840"/>
    <w:rsid w:val="00062D28"/>
    <w:rsid w:val="0009270B"/>
    <w:rsid w:val="00170848"/>
    <w:rsid w:val="001936C2"/>
    <w:rsid w:val="002523C8"/>
    <w:rsid w:val="002D16E6"/>
    <w:rsid w:val="00341885"/>
    <w:rsid w:val="00353D08"/>
    <w:rsid w:val="003C3CFE"/>
    <w:rsid w:val="003E0F75"/>
    <w:rsid w:val="004B6FEF"/>
    <w:rsid w:val="004D15C0"/>
    <w:rsid w:val="005052B5"/>
    <w:rsid w:val="0053693C"/>
    <w:rsid w:val="006A3D79"/>
    <w:rsid w:val="006B53F4"/>
    <w:rsid w:val="006E0B1F"/>
    <w:rsid w:val="00765F49"/>
    <w:rsid w:val="007D280E"/>
    <w:rsid w:val="00933FC2"/>
    <w:rsid w:val="009917C0"/>
    <w:rsid w:val="009A5259"/>
    <w:rsid w:val="009B3883"/>
    <w:rsid w:val="009D7177"/>
    <w:rsid w:val="00A53F18"/>
    <w:rsid w:val="00A67FC9"/>
    <w:rsid w:val="00AA08B4"/>
    <w:rsid w:val="00AE17B8"/>
    <w:rsid w:val="00B43910"/>
    <w:rsid w:val="00B74B40"/>
    <w:rsid w:val="00B97DE5"/>
    <w:rsid w:val="00BA7D88"/>
    <w:rsid w:val="00BC729B"/>
    <w:rsid w:val="00C468BA"/>
    <w:rsid w:val="00C943C8"/>
    <w:rsid w:val="00CF1941"/>
    <w:rsid w:val="00D03CC4"/>
    <w:rsid w:val="00D37DF4"/>
    <w:rsid w:val="00D612AF"/>
    <w:rsid w:val="00DB7EDB"/>
    <w:rsid w:val="00E63F3B"/>
    <w:rsid w:val="00EC1A88"/>
    <w:rsid w:val="00F26740"/>
    <w:rsid w:val="00F57D65"/>
    <w:rsid w:val="00FF6A15"/>
    <w:rsid w:val="08B862F6"/>
    <w:rsid w:val="0F2F5EB7"/>
    <w:rsid w:val="163DE181"/>
    <w:rsid w:val="1BEA5C51"/>
    <w:rsid w:val="2AEF66ED"/>
    <w:rsid w:val="2DC7C8B3"/>
    <w:rsid w:val="35E054C6"/>
    <w:rsid w:val="35FA563B"/>
    <w:rsid w:val="4C116480"/>
    <w:rsid w:val="5669BBF1"/>
    <w:rsid w:val="568FB549"/>
    <w:rsid w:val="5C10F078"/>
    <w:rsid w:val="5D030585"/>
    <w:rsid w:val="62F1CE53"/>
    <w:rsid w:val="68C0CD84"/>
    <w:rsid w:val="6F7CB010"/>
    <w:rsid w:val="7076A144"/>
    <w:rsid w:val="713411D4"/>
    <w:rsid w:val="73AC0948"/>
    <w:rsid w:val="75ED3D9D"/>
    <w:rsid w:val="771FE72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38D79"/>
  <w15:chartTrackingRefBased/>
  <w15:docId w15:val="{9F772507-69CB-41B7-9BF8-4A0FF90611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97DE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7DE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D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D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D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D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D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D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DE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97DE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97DE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97DE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97DE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97DE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97DE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97DE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97DE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97DE5"/>
    <w:rPr>
      <w:rFonts w:eastAsiaTheme="majorEastAsia" w:cstheme="majorBidi"/>
      <w:color w:val="272727" w:themeColor="text1" w:themeTint="D8"/>
    </w:rPr>
  </w:style>
  <w:style w:type="paragraph" w:styleId="Title">
    <w:name w:val="Title"/>
    <w:basedOn w:val="Normal"/>
    <w:next w:val="Normal"/>
    <w:link w:val="TitleChar"/>
    <w:uiPriority w:val="10"/>
    <w:qFormat/>
    <w:rsid w:val="00B97DE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97DE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97DE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97D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DE5"/>
    <w:pPr>
      <w:spacing w:before="160"/>
      <w:jc w:val="center"/>
    </w:pPr>
    <w:rPr>
      <w:i/>
      <w:iCs/>
      <w:color w:val="404040" w:themeColor="text1" w:themeTint="BF"/>
    </w:rPr>
  </w:style>
  <w:style w:type="character" w:styleId="QuoteChar" w:customStyle="1">
    <w:name w:val="Quote Char"/>
    <w:basedOn w:val="DefaultParagraphFont"/>
    <w:link w:val="Quote"/>
    <w:uiPriority w:val="29"/>
    <w:rsid w:val="00B97DE5"/>
    <w:rPr>
      <w:i/>
      <w:iCs/>
      <w:color w:val="404040" w:themeColor="text1" w:themeTint="BF"/>
    </w:rPr>
  </w:style>
  <w:style w:type="paragraph" w:styleId="ListParagraph">
    <w:name w:val="List Paragraph"/>
    <w:basedOn w:val="Normal"/>
    <w:uiPriority w:val="34"/>
    <w:qFormat/>
    <w:rsid w:val="00B97DE5"/>
    <w:pPr>
      <w:ind w:left="720"/>
      <w:contextualSpacing/>
    </w:pPr>
  </w:style>
  <w:style w:type="character" w:styleId="IntenseEmphasis">
    <w:name w:val="Intense Emphasis"/>
    <w:basedOn w:val="DefaultParagraphFont"/>
    <w:uiPriority w:val="21"/>
    <w:qFormat/>
    <w:rsid w:val="00B97DE5"/>
    <w:rPr>
      <w:i/>
      <w:iCs/>
      <w:color w:val="0F4761" w:themeColor="accent1" w:themeShade="BF"/>
    </w:rPr>
  </w:style>
  <w:style w:type="paragraph" w:styleId="IntenseQuote">
    <w:name w:val="Intense Quote"/>
    <w:basedOn w:val="Normal"/>
    <w:next w:val="Normal"/>
    <w:link w:val="IntenseQuoteChar"/>
    <w:uiPriority w:val="30"/>
    <w:qFormat/>
    <w:rsid w:val="00B97DE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97DE5"/>
    <w:rPr>
      <w:i/>
      <w:iCs/>
      <w:color w:val="0F4761" w:themeColor="accent1" w:themeShade="BF"/>
    </w:rPr>
  </w:style>
  <w:style w:type="character" w:styleId="IntenseReference">
    <w:name w:val="Intense Reference"/>
    <w:basedOn w:val="DefaultParagraphFont"/>
    <w:uiPriority w:val="32"/>
    <w:qFormat/>
    <w:rsid w:val="00B97DE5"/>
    <w:rPr>
      <w:b/>
      <w:bCs/>
      <w:smallCaps/>
      <w:color w:val="0F4761" w:themeColor="accent1" w:themeShade="BF"/>
      <w:spacing w:val="5"/>
    </w:rPr>
  </w:style>
  <w:style w:type="paragraph" w:styleId="Caption">
    <w:name w:val="caption"/>
    <w:basedOn w:val="Normal"/>
    <w:next w:val="Normal"/>
    <w:autoRedefine/>
    <w:uiPriority w:val="35"/>
    <w:unhideWhenUsed/>
    <w:qFormat/>
    <w:rsid w:val="00D37DF4"/>
    <w:pPr>
      <w:spacing w:after="200" w:line="240" w:lineRule="auto"/>
    </w:pPr>
    <w:rPr>
      <w:iCs/>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0132">
      <w:bodyDiv w:val="1"/>
      <w:marLeft w:val="0"/>
      <w:marRight w:val="0"/>
      <w:marTop w:val="0"/>
      <w:marBottom w:val="0"/>
      <w:divBdr>
        <w:top w:val="none" w:sz="0" w:space="0" w:color="auto"/>
        <w:left w:val="none" w:sz="0" w:space="0" w:color="auto"/>
        <w:bottom w:val="none" w:sz="0" w:space="0" w:color="auto"/>
        <w:right w:val="none" w:sz="0" w:space="0" w:color="auto"/>
      </w:divBdr>
      <w:divsChild>
        <w:div w:id="284892639">
          <w:marLeft w:val="0"/>
          <w:marRight w:val="0"/>
          <w:marTop w:val="0"/>
          <w:marBottom w:val="0"/>
          <w:divBdr>
            <w:top w:val="none" w:sz="0" w:space="0" w:color="auto"/>
            <w:left w:val="none" w:sz="0" w:space="0" w:color="auto"/>
            <w:bottom w:val="none" w:sz="0" w:space="0" w:color="auto"/>
            <w:right w:val="none" w:sz="0" w:space="0" w:color="auto"/>
          </w:divBdr>
          <w:divsChild>
            <w:div w:id="33823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03289">
      <w:bodyDiv w:val="1"/>
      <w:marLeft w:val="0"/>
      <w:marRight w:val="0"/>
      <w:marTop w:val="0"/>
      <w:marBottom w:val="0"/>
      <w:divBdr>
        <w:top w:val="none" w:sz="0" w:space="0" w:color="auto"/>
        <w:left w:val="none" w:sz="0" w:space="0" w:color="auto"/>
        <w:bottom w:val="none" w:sz="0" w:space="0" w:color="auto"/>
        <w:right w:val="none" w:sz="0" w:space="0" w:color="auto"/>
      </w:divBdr>
      <w:divsChild>
        <w:div w:id="1737972456">
          <w:marLeft w:val="0"/>
          <w:marRight w:val="0"/>
          <w:marTop w:val="0"/>
          <w:marBottom w:val="0"/>
          <w:divBdr>
            <w:top w:val="none" w:sz="0" w:space="0" w:color="auto"/>
            <w:left w:val="none" w:sz="0" w:space="0" w:color="auto"/>
            <w:bottom w:val="none" w:sz="0" w:space="0" w:color="auto"/>
            <w:right w:val="none" w:sz="0" w:space="0" w:color="auto"/>
          </w:divBdr>
          <w:divsChild>
            <w:div w:id="183534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931468">
      <w:bodyDiv w:val="1"/>
      <w:marLeft w:val="0"/>
      <w:marRight w:val="0"/>
      <w:marTop w:val="0"/>
      <w:marBottom w:val="0"/>
      <w:divBdr>
        <w:top w:val="none" w:sz="0" w:space="0" w:color="auto"/>
        <w:left w:val="none" w:sz="0" w:space="0" w:color="auto"/>
        <w:bottom w:val="none" w:sz="0" w:space="0" w:color="auto"/>
        <w:right w:val="none" w:sz="0" w:space="0" w:color="auto"/>
      </w:divBdr>
      <w:divsChild>
        <w:div w:id="102118452">
          <w:marLeft w:val="0"/>
          <w:marRight w:val="0"/>
          <w:marTop w:val="0"/>
          <w:marBottom w:val="0"/>
          <w:divBdr>
            <w:top w:val="none" w:sz="0" w:space="0" w:color="auto"/>
            <w:left w:val="none" w:sz="0" w:space="0" w:color="auto"/>
            <w:bottom w:val="none" w:sz="0" w:space="0" w:color="auto"/>
            <w:right w:val="none" w:sz="0" w:space="0" w:color="auto"/>
          </w:divBdr>
          <w:divsChild>
            <w:div w:id="181478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5511">
      <w:bodyDiv w:val="1"/>
      <w:marLeft w:val="0"/>
      <w:marRight w:val="0"/>
      <w:marTop w:val="0"/>
      <w:marBottom w:val="0"/>
      <w:divBdr>
        <w:top w:val="none" w:sz="0" w:space="0" w:color="auto"/>
        <w:left w:val="none" w:sz="0" w:space="0" w:color="auto"/>
        <w:bottom w:val="none" w:sz="0" w:space="0" w:color="auto"/>
        <w:right w:val="none" w:sz="0" w:space="0" w:color="auto"/>
      </w:divBdr>
      <w:divsChild>
        <w:div w:id="228615450">
          <w:marLeft w:val="0"/>
          <w:marRight w:val="0"/>
          <w:marTop w:val="0"/>
          <w:marBottom w:val="0"/>
          <w:divBdr>
            <w:top w:val="none" w:sz="0" w:space="0" w:color="auto"/>
            <w:left w:val="none" w:sz="0" w:space="0" w:color="auto"/>
            <w:bottom w:val="none" w:sz="0" w:space="0" w:color="auto"/>
            <w:right w:val="none" w:sz="0" w:space="0" w:color="auto"/>
          </w:divBdr>
          <w:divsChild>
            <w:div w:id="20456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10581">
      <w:bodyDiv w:val="1"/>
      <w:marLeft w:val="0"/>
      <w:marRight w:val="0"/>
      <w:marTop w:val="0"/>
      <w:marBottom w:val="0"/>
      <w:divBdr>
        <w:top w:val="none" w:sz="0" w:space="0" w:color="auto"/>
        <w:left w:val="none" w:sz="0" w:space="0" w:color="auto"/>
        <w:bottom w:val="none" w:sz="0" w:space="0" w:color="auto"/>
        <w:right w:val="none" w:sz="0" w:space="0" w:color="auto"/>
      </w:divBdr>
      <w:divsChild>
        <w:div w:id="122508803">
          <w:marLeft w:val="0"/>
          <w:marRight w:val="0"/>
          <w:marTop w:val="0"/>
          <w:marBottom w:val="0"/>
          <w:divBdr>
            <w:top w:val="none" w:sz="0" w:space="0" w:color="auto"/>
            <w:left w:val="none" w:sz="0" w:space="0" w:color="auto"/>
            <w:bottom w:val="none" w:sz="0" w:space="0" w:color="auto"/>
            <w:right w:val="none" w:sz="0" w:space="0" w:color="auto"/>
          </w:divBdr>
          <w:divsChild>
            <w:div w:id="75609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customXml" Target="../customXml/item2.xml" Id="rId2" /><Relationship Type="http://schemas.openxmlformats.org/officeDocument/2006/relationships/image" Target="media/image9.png"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styles" Target="styles.xml" Id="rId5" /><Relationship Type="http://schemas.openxmlformats.org/officeDocument/2006/relationships/image" Target="media/image8.png" Id="rId15" /><Relationship Type="http://schemas.openxmlformats.org/officeDocument/2006/relationships/image" Target="media/image3.png"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image" Target="media/image2.png" Id="rId9" /><Relationship Type="http://schemas.openxmlformats.org/officeDocument/2006/relationships/image" Target="media/image7.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BB95BE47CC014690B0D4C3F1C34159" ma:contentTypeVersion="12" ma:contentTypeDescription="Create a new document." ma:contentTypeScope="" ma:versionID="a3247ae3a80fb71afe935619f8254708">
  <xsd:schema xmlns:xsd="http://www.w3.org/2001/XMLSchema" xmlns:xs="http://www.w3.org/2001/XMLSchema" xmlns:p="http://schemas.microsoft.com/office/2006/metadata/properties" xmlns:ns2="e1eaab5e-6f4d-4bbe-b9b2-665bc0edf31a" xmlns:ns3="e83b4f66-28ec-4ca2-afea-3655ee5d67c7" targetNamespace="http://schemas.microsoft.com/office/2006/metadata/properties" ma:root="true" ma:fieldsID="ea2ed0b803061d2459a70c966b8fcc45" ns2:_="" ns3:_="">
    <xsd:import namespace="e1eaab5e-6f4d-4bbe-b9b2-665bc0edf31a"/>
    <xsd:import namespace="e83b4f66-28ec-4ca2-afea-3655ee5d67c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aab5e-6f4d-4bbe-b9b2-665bc0edf31a" elementFormDefault="qualified">
    <xsd:import namespace="http://schemas.microsoft.com/office/2006/documentManagement/types"/>
    <xsd:import namespace="http://schemas.microsoft.com/office/infopath/2007/PartnerControls"/>
    <xsd:element name="Owner" ma:index="8"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436211-1ade-492a-a617-36d0ab6ef03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3b4f66-28ec-4ca2-afea-3655ee5d67c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0fd4d4a-537c-4afa-a4c8-614b2580505e}" ma:internalName="TaxCatchAll" ma:showField="CatchAllData" ma:web="e83b4f66-28ec-4ca2-afea-3655ee5d67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e1eaab5e-6f4d-4bbe-b9b2-665bc0edf31a">
      <UserInfo>
        <DisplayName/>
        <AccountId xsi:nil="true"/>
        <AccountType/>
      </UserInfo>
    </Owner>
    <TaxCatchAll xmlns="e83b4f66-28ec-4ca2-afea-3655ee5d67c7" xsi:nil="true"/>
    <lcf76f155ced4ddcb4097134ff3c332f xmlns="e1eaab5e-6f4d-4bbe-b9b2-665bc0edf3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3028F-10CC-4246-86FA-27DF4CC5F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aab5e-6f4d-4bbe-b9b2-665bc0edf31a"/>
    <ds:schemaRef ds:uri="e83b4f66-28ec-4ca2-afea-3655ee5d6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6A16CF-AF87-4D83-B63A-DE0EDC04FB4E}">
  <ds:schemaRefs>
    <ds:schemaRef ds:uri="http://schemas.microsoft.com/office/2006/metadata/properties"/>
    <ds:schemaRef ds:uri="http://schemas.microsoft.com/office/infopath/2007/PartnerControls"/>
    <ds:schemaRef ds:uri="e1eaab5e-6f4d-4bbe-b9b2-665bc0edf31a"/>
    <ds:schemaRef ds:uri="e83b4f66-28ec-4ca2-afea-3655ee5d67c7"/>
  </ds:schemaRefs>
</ds:datastoreItem>
</file>

<file path=customXml/itemProps3.xml><?xml version="1.0" encoding="utf-8"?>
<ds:datastoreItem xmlns:ds="http://schemas.openxmlformats.org/officeDocument/2006/customXml" ds:itemID="{85C22CDD-A5F0-4704-8A27-2AEFB0CB16ED}">
  <ds:schemaRefs>
    <ds:schemaRef ds:uri="http://schemas.microsoft.com/sharepoint/v3/contenttype/forms"/>
  </ds:schemaRefs>
</ds:datastoreItem>
</file>

<file path=customXml/itemProps4.xml><?xml version="1.0" encoding="utf-8"?>
<ds:datastoreItem xmlns:ds="http://schemas.openxmlformats.org/officeDocument/2006/customXml" ds:itemID="{9F0894F7-2E66-4E2C-A64D-7993820045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Plymouth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Yang Yang</dc:creator>
  <keywords/>
  <dc:description/>
  <lastModifiedBy>Peter Miller</lastModifiedBy>
  <revision>37</revision>
  <dcterms:created xsi:type="dcterms:W3CDTF">2026-07-02T22:38:00.0000000Z</dcterms:created>
  <dcterms:modified xsi:type="dcterms:W3CDTF">2026-08-27T12:46:24.9569217Z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18th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http://www.zotero.org/styles/ices-journal-of-marine-science</vt:lpwstr>
  </property>
  <property fmtid="{D5CDD505-2E9C-101B-9397-08002B2CF9AE}" pid="13" name="Mendeley Recent Style Name 5_1">
    <vt:lpwstr>ICES Journal of Marine Science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ContentTypeId">
    <vt:lpwstr>0x0101006CBB95BE47CC014690B0D4C3F1C34159</vt:lpwstr>
  </property>
  <property fmtid="{D5CDD505-2E9C-101B-9397-08002B2CF9AE}" pid="23" name="MediaServiceImageTags">
    <vt:lpwstr/>
  </property>
</Properties>
</file>