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32C85" w14:textId="72ED5305" w:rsidR="005A51A3" w:rsidRPr="005A51A3" w:rsidRDefault="005A51A3" w:rsidP="007F07B5">
      <w:pPr>
        <w:pStyle w:val="Ttulo2"/>
        <w:shd w:val="clear" w:color="auto" w:fill="FFFFFF"/>
        <w:spacing w:before="480" w:after="240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bookmarkStart w:id="0" w:name="_GoBack"/>
      <w:r w:rsidRPr="005A51A3">
        <w:rPr>
          <w:rFonts w:ascii="Times New Roman" w:eastAsia="Times New Roman" w:hAnsi="Times New Roman" w:cs="Times New Roman"/>
          <w:bCs/>
          <w:i/>
          <w:iCs/>
          <w:color w:val="0F1115"/>
          <w:sz w:val="24"/>
          <w:szCs w:val="24"/>
          <w:lang w:val="en-US"/>
        </w:rPr>
        <w:t>Earth-abundant CZTS/MIL-125-NH</w:t>
      </w:r>
      <w:r w:rsidRPr="005A51A3">
        <w:rPr>
          <w:rFonts w:ascii="Times New Roman" w:eastAsia="Times New Roman" w:hAnsi="Times New Roman" w:cs="Times New Roman"/>
          <w:bCs/>
          <w:i/>
          <w:iCs/>
          <w:color w:val="0F1115"/>
          <w:sz w:val="24"/>
          <w:szCs w:val="24"/>
          <w:vertAlign w:val="subscript"/>
          <w:lang w:val="en-US"/>
        </w:rPr>
        <w:t>2</w:t>
      </w:r>
      <w:r w:rsidRPr="005A51A3">
        <w:rPr>
          <w:rFonts w:ascii="Times New Roman" w:eastAsia="Times New Roman" w:hAnsi="Times New Roman" w:cs="Times New Roman"/>
          <w:bCs/>
          <w:i/>
          <w:iCs/>
          <w:color w:val="0F1115"/>
          <w:sz w:val="24"/>
          <w:szCs w:val="24"/>
          <w:lang w:val="en-US"/>
        </w:rPr>
        <w:t xml:space="preserve"> heterojunctions for enhanced visible-light Cr(VI) reduction: Interfacial charge dynamics and mechanistic insights</w:t>
      </w:r>
    </w:p>
    <w:bookmarkEnd w:id="0"/>
    <w:p w14:paraId="6A9E09BE" w14:textId="14E4B367" w:rsidR="007F07B5" w:rsidRDefault="007F07B5" w:rsidP="007F07B5">
      <w:pPr>
        <w:pStyle w:val="Ttulo2"/>
        <w:shd w:val="clear" w:color="auto" w:fill="FFFFFF"/>
        <w:spacing w:before="480" w:after="240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Supplementary Information</w:t>
      </w:r>
    </w:p>
    <w:p w14:paraId="1229AA02" w14:textId="77777777" w:rsidR="002D47B9" w:rsidRPr="002D47B9" w:rsidRDefault="002D47B9" w:rsidP="002D47B9">
      <w:pPr>
        <w:pStyle w:val="Ttulo2"/>
        <w:shd w:val="clear" w:color="auto" w:fill="FFFFFF"/>
        <w:spacing w:before="480" w:after="240" w:line="480" w:lineRule="atLeast"/>
        <w:rPr>
          <w:rFonts w:ascii="Times New Roman" w:eastAsia="Times New Roman" w:hAnsi="Times New Roman" w:cs="Times New Roman"/>
          <w:color w:val="0F1115"/>
          <w:sz w:val="22"/>
          <w:szCs w:val="33"/>
          <w:lang w:val="es-AR"/>
        </w:rPr>
      </w:pPr>
      <w:r w:rsidRPr="002D47B9">
        <w:rPr>
          <w:rStyle w:val="Textoennegrita"/>
          <w:rFonts w:ascii="Times New Roman" w:hAnsi="Times New Roman" w:cs="Times New Roman"/>
          <w:bCs w:val="0"/>
          <w:color w:val="0F1115"/>
          <w:sz w:val="22"/>
          <w:szCs w:val="33"/>
        </w:rPr>
        <w:t>1. Structural Characterization</w:t>
      </w:r>
    </w:p>
    <w:p w14:paraId="36F9B53B" w14:textId="237AF781" w:rsidR="007F07B5" w:rsidRDefault="005D7509" w:rsidP="007F07B5">
      <w:pPr>
        <w:spacing w:before="280" w:after="280"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Fig</w:t>
      </w:r>
      <w:r w:rsidR="007F07B5">
        <w:rPr>
          <w:rFonts w:ascii="Times New Roman" w:eastAsia="Times New Roman" w:hAnsi="Times New Roman" w:cs="Times New Roman"/>
          <w:b/>
          <w:bCs/>
        </w:rPr>
        <w:t xml:space="preserve"> S1</w:t>
      </w:r>
      <w:r w:rsidR="007F07B5">
        <w:rPr>
          <w:rFonts w:ascii="Times New Roman" w:eastAsia="Times New Roman" w:hAnsi="Times New Roman" w:cs="Times New Roman"/>
        </w:rPr>
        <w:t xml:space="preserve"> 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>Raman spectra of MIL-125-NH</w:t>
      </w:r>
      <w:r w:rsidR="007F07B5">
        <w:rPr>
          <w:rFonts w:ascii="Times New Roman" w:eastAsia="Times New Roman" w:hAnsi="Times New Roman" w:cs="Times New Roman"/>
          <w:vertAlign w:val="subscript"/>
        </w:rPr>
        <w:t>2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 xml:space="preserve"> and CZTS nanoparticles. a) The CZTS spectrum shows the characteristic A</w:t>
      </w:r>
      <w:r w:rsidR="007F07B5">
        <w:rPr>
          <w:rFonts w:ascii="Times New Roman" w:eastAsia="Times New Roman" w:hAnsi="Times New Roman" w:cs="Times New Roman"/>
          <w:color w:val="0F1115"/>
          <w:highlight w:val="white"/>
          <w:vertAlign w:val="subscript"/>
        </w:rPr>
        <w:t>1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 xml:space="preserve"> vibrational mode at ~336 cm</w:t>
      </w:r>
      <w:r w:rsidR="007F07B5">
        <w:rPr>
          <w:rFonts w:ascii="Times New Roman" w:eastAsia="Times New Roman" w:hAnsi="Times New Roman" w:cs="Times New Roman"/>
          <w:color w:val="0F1115"/>
          <w:highlight w:val="white"/>
          <w:vertAlign w:val="superscript"/>
        </w:rPr>
        <w:t>-1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>, confirming the kesterite phase and the absence of secondary phases [36]. b) The MIL-125-NH</w:t>
      </w:r>
      <w:r w:rsidR="007F07B5">
        <w:rPr>
          <w:rFonts w:ascii="Times New Roman" w:eastAsia="Times New Roman" w:hAnsi="Times New Roman" w:cs="Times New Roman"/>
          <w:vertAlign w:val="subscript"/>
        </w:rPr>
        <w:t>2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 xml:space="preserve"> spectrum displays the characteristic Ti–O framework vibrations (800, 825, 1250, 1414 cm</w:t>
      </w:r>
      <w:r w:rsidR="007F07B5">
        <w:rPr>
          <w:rFonts w:ascii="Times New Roman" w:eastAsia="Times New Roman" w:hAnsi="Times New Roman" w:cs="Times New Roman"/>
          <w:color w:val="0F1115"/>
          <w:highlight w:val="white"/>
          <w:vertAlign w:val="superscript"/>
        </w:rPr>
        <w:t>-1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>) and organic linker bands (1570, 1620 cm</w:t>
      </w:r>
      <w:r w:rsidR="007F07B5">
        <w:rPr>
          <w:rFonts w:ascii="Times New Roman" w:eastAsia="Times New Roman" w:hAnsi="Times New Roman" w:cs="Times New Roman"/>
          <w:color w:val="0F1115"/>
          <w:highlight w:val="white"/>
          <w:vertAlign w:val="superscript"/>
        </w:rPr>
        <w:t>-1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>) [37].</w:t>
      </w:r>
      <w:r w:rsidR="007F07B5">
        <w:rPr>
          <w:rFonts w:ascii="Times New Roman" w:eastAsia="Times New Roman" w:hAnsi="Times New Roman" w:cs="Times New Roman"/>
        </w:rPr>
        <w:t xml:space="preserve"> </w:t>
      </w:r>
    </w:p>
    <w:p w14:paraId="24AA7007" w14:textId="154A4BF5" w:rsidR="007F07B5" w:rsidRDefault="008710A1" w:rsidP="007F07B5">
      <w:r>
        <w:rPr>
          <w:noProof/>
          <w:lang w:val="es-AR"/>
        </w:rPr>
        <w:drawing>
          <wp:inline distT="0" distB="0" distL="0" distR="0" wp14:anchorId="5E50AF19" wp14:editId="3D1F105D">
            <wp:extent cx="5400040" cy="221297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f 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3F34E" w14:textId="77777777" w:rsidR="0036193D" w:rsidRDefault="0036193D" w:rsidP="007F07B5">
      <w:pP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4523A94" w14:textId="77777777" w:rsidR="0036193D" w:rsidRDefault="0036193D" w:rsidP="007F07B5">
      <w:pP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D6DD141" w14:textId="77777777" w:rsidR="0036193D" w:rsidRDefault="0036193D" w:rsidP="007F07B5">
      <w:pP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2056E99" w14:textId="77777777" w:rsidR="0036193D" w:rsidRDefault="0036193D" w:rsidP="007F07B5">
      <w:pP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1D7A1A1" w14:textId="77777777" w:rsidR="0036193D" w:rsidRDefault="0036193D" w:rsidP="007F07B5">
      <w:pP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4DAE834" w14:textId="77777777" w:rsidR="0036193D" w:rsidRDefault="0036193D" w:rsidP="007F07B5">
      <w:pP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9987CFB" w14:textId="7175BFDD" w:rsidR="007F07B5" w:rsidRDefault="007F07B5" w:rsidP="007F07B5">
      <w:pPr>
        <w:spacing w:before="280" w:after="280" w:line="480" w:lineRule="auto"/>
        <w:jc w:val="both"/>
        <w:rPr>
          <w:rFonts w:ascii="Quattrocento Sans" w:eastAsia="Quattrocento Sans" w:hAnsi="Quattrocento Sans" w:cs="Quattrocento Sans"/>
          <w:color w:val="0F1115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Fig S2</w:t>
      </w:r>
      <w:r>
        <w:rPr>
          <w:rFonts w:ascii="Times New Roman" w:eastAsia="Times New Roman" w:hAnsi="Times New Roman" w:cs="Times New Roman"/>
          <w:color w:val="0F1115"/>
          <w:highlight w:val="white"/>
        </w:rPr>
        <w:t xml:space="preserve"> X-ray fluorescence (XRF) elemental analysis of MIL-125-NH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  <w:color w:val="0F1115"/>
          <w:highlight w:val="white"/>
        </w:rPr>
        <w:t>/CZTS nanocomposites, showing the progressive increase in Cu, Zn, and Sn signals with increasing CZTS loading, confirming the successful incorporation of the kesterite nanoparticles.</w:t>
      </w:r>
    </w:p>
    <w:p w14:paraId="29FF8B1E" w14:textId="77777777" w:rsidR="007F07B5" w:rsidRDefault="007F07B5" w:rsidP="007F07B5">
      <w:r>
        <w:rPr>
          <w:noProof/>
          <w:lang w:val="es-AR"/>
        </w:rPr>
        <w:drawing>
          <wp:inline distT="0" distB="0" distL="0" distR="0" wp14:anchorId="72969E61" wp14:editId="1746F6F0">
            <wp:extent cx="5400040" cy="4131945"/>
            <wp:effectExtent l="0" t="0" r="0" b="190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S2 FRX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F8C91" w14:textId="77777777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656B49F" w14:textId="77777777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347052A" w14:textId="77777777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9A878C4" w14:textId="77777777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302F0BD" w14:textId="77777777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9EB3C69" w14:textId="77777777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B88C0E2" w14:textId="7C003661" w:rsidR="007F07B5" w:rsidRDefault="005D7509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F1115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Fig</w:t>
      </w:r>
      <w:r w:rsidR="007F07B5">
        <w:rPr>
          <w:rFonts w:ascii="Times New Roman" w:eastAsia="Times New Roman" w:hAnsi="Times New Roman" w:cs="Times New Roman"/>
          <w:b/>
          <w:bCs/>
          <w:color w:val="000000"/>
        </w:rPr>
        <w:t xml:space="preserve"> S3</w:t>
      </w:r>
      <w:r w:rsidR="007F07B5">
        <w:rPr>
          <w:rFonts w:ascii="Quattrocento Sans" w:eastAsia="Quattrocento Sans" w:hAnsi="Quattrocento Sans" w:cs="Quattrocento Sans"/>
          <w:color w:val="0F1115"/>
          <w:sz w:val="24"/>
          <w:szCs w:val="24"/>
          <w:highlight w:val="white"/>
        </w:rPr>
        <w:t xml:space="preserve"> 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>SEM images of (a) MIL-125-NH</w:t>
      </w:r>
      <w:r w:rsidR="007F07B5"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 xml:space="preserve"> (hexagonal disk-like morphology), (b) CZTS nanoparticles, and (c–e) MIL-125-NH</w:t>
      </w:r>
      <w:r w:rsidR="007F07B5"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>/CZTS nanocomposit</w:t>
      </w:r>
      <w:r>
        <w:rPr>
          <w:rFonts w:ascii="Times New Roman" w:eastAsia="Times New Roman" w:hAnsi="Times New Roman" w:cs="Times New Roman"/>
          <w:color w:val="0F1115"/>
          <w:highlight w:val="white"/>
        </w:rPr>
        <w:t xml:space="preserve">es with increasing CZTS content: c) 10%, d) 25% y e) 50%. 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 xml:space="preserve"> The progressive change from disk-like to irregular/tetrahedral morphology suggests that CZTS nanoparticles decorate the external surface of the MOF crystals during growth.</w:t>
      </w:r>
    </w:p>
    <w:p w14:paraId="190C71E7" w14:textId="5F902A34" w:rsidR="00E216F8" w:rsidRDefault="005D7509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lang w:val="es-AR"/>
        </w:rPr>
        <w:drawing>
          <wp:inline distT="0" distB="0" distL="0" distR="0" wp14:anchorId="38AFE981" wp14:editId="48076CC1">
            <wp:extent cx="5400040" cy="255778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 S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A9FAA" w14:textId="5E1C1147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5CFA66F" w14:textId="3A30E1C4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51F659" w14:textId="63645526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B238214" w14:textId="3C41F103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8C7DF53" w14:textId="36CF47D2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90326DE" w14:textId="18F6FBDA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6288E92" w14:textId="6CF24F9A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6E4BB9C" w14:textId="77777777" w:rsidR="0036193D" w:rsidRDefault="0036193D" w:rsidP="007F07B5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45BCDDB" w14:textId="118F8446" w:rsidR="002D47B9" w:rsidRPr="002D47B9" w:rsidRDefault="0036193D" w:rsidP="002D47B9">
      <w:pPr>
        <w:pStyle w:val="Ttulo2"/>
        <w:shd w:val="clear" w:color="auto" w:fill="FFFFFF"/>
        <w:spacing w:before="480" w:after="240" w:line="480" w:lineRule="atLeast"/>
        <w:rPr>
          <w:rFonts w:ascii="Times New Roman" w:eastAsia="Times New Roman" w:hAnsi="Times New Roman" w:cs="Times New Roman"/>
          <w:color w:val="0F1115"/>
          <w:sz w:val="22"/>
          <w:szCs w:val="22"/>
          <w:lang w:val="es-AR"/>
        </w:rPr>
      </w:pPr>
      <w:r>
        <w:rPr>
          <w:rStyle w:val="Textoennegrita"/>
          <w:rFonts w:ascii="Times New Roman" w:hAnsi="Times New Roman" w:cs="Times New Roman"/>
          <w:bCs w:val="0"/>
          <w:color w:val="0F1115"/>
          <w:sz w:val="22"/>
          <w:szCs w:val="22"/>
        </w:rPr>
        <w:lastRenderedPageBreak/>
        <w:t xml:space="preserve">2. </w:t>
      </w:r>
      <w:r w:rsidR="002D47B9" w:rsidRPr="002D47B9">
        <w:rPr>
          <w:rStyle w:val="Textoennegrita"/>
          <w:rFonts w:ascii="Times New Roman" w:hAnsi="Times New Roman" w:cs="Times New Roman"/>
          <w:bCs w:val="0"/>
          <w:color w:val="0F1115"/>
          <w:sz w:val="22"/>
          <w:szCs w:val="22"/>
        </w:rPr>
        <w:t>Optical Properties – Band Gap Determination</w:t>
      </w:r>
    </w:p>
    <w:p w14:paraId="271DA476" w14:textId="42289E55" w:rsidR="007F07B5" w:rsidRDefault="005D7509" w:rsidP="007F07B5">
      <w:pPr>
        <w:spacing w:before="280" w:after="280" w:line="480" w:lineRule="auto"/>
        <w:jc w:val="both"/>
        <w:rPr>
          <w:rFonts w:ascii="Times New Roman" w:eastAsia="Times New Roman" w:hAnsi="Times New Roman" w:cs="Times New Roman"/>
          <w:color w:val="0F1115"/>
        </w:rPr>
      </w:pPr>
      <w:r>
        <w:rPr>
          <w:rFonts w:ascii="Times New Roman" w:eastAsia="Times New Roman" w:hAnsi="Times New Roman" w:cs="Times New Roman"/>
          <w:b/>
          <w:bCs/>
          <w:color w:val="0F1115"/>
        </w:rPr>
        <w:t>Fig</w:t>
      </w:r>
      <w:r w:rsidR="007F07B5" w:rsidRPr="005D7509">
        <w:rPr>
          <w:rFonts w:ascii="Times New Roman" w:eastAsia="Times New Roman" w:hAnsi="Times New Roman" w:cs="Times New Roman"/>
          <w:b/>
          <w:bCs/>
          <w:color w:val="0F1115"/>
        </w:rPr>
        <w:t xml:space="preserve"> S</w:t>
      </w:r>
      <w:r w:rsidR="00991147" w:rsidRPr="005D7509">
        <w:rPr>
          <w:rFonts w:ascii="Times New Roman" w:eastAsia="Times New Roman" w:hAnsi="Times New Roman" w:cs="Times New Roman"/>
          <w:b/>
          <w:bCs/>
          <w:color w:val="0F1115"/>
        </w:rPr>
        <w:t>4</w:t>
      </w:r>
      <w:r w:rsidR="007F07B5" w:rsidRPr="005D7509">
        <w:rPr>
          <w:rFonts w:ascii="Times New Roman" w:eastAsia="Times New Roman" w:hAnsi="Times New Roman" w:cs="Times New Roman"/>
          <w:color w:val="0F1115"/>
        </w:rPr>
        <w:t> Plot</w:t>
      </w:r>
      <w:r w:rsidR="007F07B5">
        <w:rPr>
          <w:rFonts w:ascii="Times New Roman" w:eastAsia="Times New Roman" w:hAnsi="Times New Roman" w:cs="Times New Roman"/>
          <w:color w:val="0F1115"/>
        </w:rPr>
        <w:t> </w:t>
      </w:r>
      <w:r>
        <w:rPr>
          <w:rFonts w:ascii="Times New Roman" w:eastAsia="Times New Roman" w:hAnsi="Times New Roman" w:cs="Times New Roman"/>
          <w:color w:val="0F1115"/>
        </w:rPr>
        <w:t xml:space="preserve">of </w:t>
      </w:r>
      <m:oMath>
        <m:r>
          <w:rPr>
            <w:rFonts w:ascii="Cambria Math" w:eastAsia="Times New Roman" w:hAnsi="Cambria Math" w:cs="Times New Roman"/>
            <w:color w:val="0F1115"/>
          </w:rPr>
          <m:t>1/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F1115"/>
              </w:rPr>
            </m:ctrlPr>
          </m:radPr>
          <m:deg/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F1115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F1115"/>
                  </w:rPr>
                  <m:t>α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F1115"/>
                  </w:rPr>
                  <m:t>exp</m:t>
                </m:r>
              </m:sub>
            </m:sSub>
          </m:e>
        </m:rad>
      </m:oMath>
      <w:r w:rsidR="007F07B5">
        <w:rPr>
          <w:rFonts w:ascii="Times New Roman" w:eastAsia="Times New Roman" w:hAnsi="Times New Roman" w:cs="Times New Roman"/>
          <w:color w:val="0F1115"/>
        </w:rPr>
        <w:t>vs photon energy for the determination of the free carrier absorption contribution (α</w:t>
      </w:r>
      <w:r w:rsidR="007F07B5">
        <w:rPr>
          <w:rFonts w:ascii="Times New Roman" w:eastAsia="Times New Roman" w:hAnsi="Times New Roman" w:cs="Times New Roman"/>
          <w:color w:val="0F1115"/>
          <w:vertAlign w:val="subscript"/>
        </w:rPr>
        <w:t>free</w:t>
      </w:r>
      <w:r w:rsidR="007F07B5">
        <w:rPr>
          <w:rFonts w:ascii="Times New Roman" w:eastAsia="Times New Roman" w:hAnsi="Times New Roman" w:cs="Times New Roman"/>
          <w:color w:val="0F1115"/>
        </w:rPr>
        <w:t xml:space="preserve"> ) using a Drude-type model.</w:t>
      </w:r>
    </w:p>
    <w:p w14:paraId="373B045C" w14:textId="1D70967E" w:rsidR="007F07B5" w:rsidRDefault="00E60DE7" w:rsidP="007F07B5">
      <w:r>
        <w:rPr>
          <w:noProof/>
          <w:lang w:val="es-AR"/>
        </w:rPr>
        <w:drawing>
          <wp:inline distT="0" distB="0" distL="0" distR="0" wp14:anchorId="034A27C9" wp14:editId="4125C15A">
            <wp:extent cx="5400040" cy="3769360"/>
            <wp:effectExtent l="0" t="0" r="0" b="254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 S4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6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D246B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7B85F018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56A20627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539DED45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77AB2451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5A85A08F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2AE81761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34437576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6E22FE75" w14:textId="19F84EA4" w:rsidR="007F07B5" w:rsidRDefault="00E60DE7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color w:val="0F1115"/>
        </w:rPr>
      </w:pPr>
      <w:r>
        <w:rPr>
          <w:rFonts w:ascii="Times New Roman" w:eastAsia="Times New Roman" w:hAnsi="Times New Roman" w:cs="Times New Roman"/>
          <w:b/>
          <w:bCs/>
          <w:color w:val="0F1115"/>
        </w:rPr>
        <w:lastRenderedPageBreak/>
        <w:t>Fig</w:t>
      </w:r>
      <w:r w:rsidR="007F07B5" w:rsidRPr="00E60DE7">
        <w:rPr>
          <w:rFonts w:ascii="Times New Roman" w:eastAsia="Times New Roman" w:hAnsi="Times New Roman" w:cs="Times New Roman"/>
          <w:b/>
          <w:bCs/>
          <w:color w:val="0F1115"/>
        </w:rPr>
        <w:t xml:space="preserve"> S</w:t>
      </w:r>
      <w:r w:rsidR="00991147" w:rsidRPr="00E60DE7">
        <w:rPr>
          <w:rFonts w:ascii="Times New Roman" w:eastAsia="Times New Roman" w:hAnsi="Times New Roman" w:cs="Times New Roman"/>
          <w:b/>
          <w:bCs/>
          <w:color w:val="0F1115"/>
        </w:rPr>
        <w:t>5</w:t>
      </w:r>
      <w:r w:rsidR="007F07B5">
        <w:rPr>
          <w:rFonts w:ascii="Times New Roman" w:eastAsia="Times New Roman" w:hAnsi="Times New Roman" w:cs="Times New Roman"/>
          <w:color w:val="0F1115"/>
        </w:rPr>
        <w:t> Deconvolution of the experimental absorbance into the contributions of free carrier absorption (α</w:t>
      </w:r>
      <w:r w:rsidR="007F07B5">
        <w:rPr>
          <w:rFonts w:ascii="Times New Roman" w:eastAsia="Times New Roman" w:hAnsi="Times New Roman" w:cs="Times New Roman"/>
          <w:color w:val="0F1115"/>
          <w:vertAlign w:val="subscript"/>
        </w:rPr>
        <w:t>free</w:t>
      </w:r>
      <w:r w:rsidR="007F07B5">
        <w:rPr>
          <w:rFonts w:ascii="Times New Roman" w:eastAsia="Times New Roman" w:hAnsi="Times New Roman" w:cs="Times New Roman"/>
          <w:color w:val="0F1115"/>
        </w:rPr>
        <w:t>), CZTS absorption (α</w:t>
      </w:r>
      <w:r w:rsidR="007F07B5">
        <w:rPr>
          <w:rFonts w:ascii="Times New Roman" w:eastAsia="Times New Roman" w:hAnsi="Times New Roman" w:cs="Times New Roman"/>
          <w:color w:val="0F1115"/>
          <w:vertAlign w:val="subscript"/>
        </w:rPr>
        <w:t>CZTS</w:t>
      </w:r>
      <w:r w:rsidR="007F07B5">
        <w:rPr>
          <w:rFonts w:ascii="Times New Roman" w:eastAsia="Times New Roman" w:hAnsi="Times New Roman" w:cs="Times New Roman"/>
          <w:color w:val="0F1115"/>
        </w:rPr>
        <w:t>), and MIL-125-NH</w:t>
      </w:r>
      <w:r w:rsidR="007F07B5">
        <w:rPr>
          <w:rFonts w:ascii="Times New Roman" w:eastAsia="Times New Roman" w:hAnsi="Times New Roman" w:cs="Times New Roman"/>
          <w:vertAlign w:val="subscript"/>
        </w:rPr>
        <w:t>2</w:t>
      </w:r>
      <w:r w:rsidR="007F07B5">
        <w:rPr>
          <w:rFonts w:ascii="Times New Roman" w:eastAsia="Times New Roman" w:hAnsi="Times New Roman" w:cs="Times New Roman"/>
          <w:color w:val="0F1115"/>
        </w:rPr>
        <w:t xml:space="preserve"> absorption (α</w:t>
      </w:r>
      <w:r w:rsidR="007F07B5">
        <w:rPr>
          <w:rFonts w:ascii="Times New Roman" w:eastAsia="Times New Roman" w:hAnsi="Times New Roman" w:cs="Times New Roman"/>
          <w:color w:val="0F1115"/>
          <w:vertAlign w:val="subscript"/>
        </w:rPr>
        <w:t>MOF</w:t>
      </w:r>
      <w:r w:rsidR="007F07B5">
        <w:rPr>
          <w:rFonts w:ascii="Times New Roman" w:eastAsia="Times New Roman" w:hAnsi="Times New Roman" w:cs="Times New Roman"/>
          <w:color w:val="0F1115"/>
        </w:rPr>
        <w:t>), demonstrating the validity of the correction procedure.</w:t>
      </w:r>
      <w:r w:rsidR="00F16A67">
        <w:rPr>
          <w:rFonts w:ascii="Times New Roman" w:eastAsia="Times New Roman" w:hAnsi="Times New Roman" w:cs="Times New Roman"/>
          <w:color w:val="0F1115"/>
        </w:rPr>
        <w:t xml:space="preserve"> a) for NC5 and b) NC25 sample.</w:t>
      </w:r>
    </w:p>
    <w:p w14:paraId="560ED9A0" w14:textId="3D817C36" w:rsidR="00F16A67" w:rsidRDefault="00554CD5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color w:val="0F1115"/>
        </w:rPr>
      </w:pPr>
      <w:r>
        <w:rPr>
          <w:rFonts w:ascii="Times New Roman" w:eastAsia="Times New Roman" w:hAnsi="Times New Roman" w:cs="Times New Roman"/>
          <w:noProof/>
          <w:color w:val="0F1115"/>
          <w:lang w:val="es-AR"/>
        </w:rPr>
        <w:drawing>
          <wp:inline distT="0" distB="0" distL="0" distR="0" wp14:anchorId="2B86E6E8" wp14:editId="0F861427">
            <wp:extent cx="5400040" cy="2033270"/>
            <wp:effectExtent l="0" t="0" r="0" b="508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 S5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BA224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7625EF99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60AD8744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20D9EE23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5FE3489B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20008CA2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7405FCCD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7CDE4C33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5B6D1CB8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37EC8CEE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2EA8842E" w14:textId="77777777" w:rsidR="0036193D" w:rsidRDefault="0036193D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highlight w:val="yellow"/>
        </w:rPr>
      </w:pPr>
    </w:p>
    <w:p w14:paraId="4F88C1D1" w14:textId="36ECDACB" w:rsidR="007F07B5" w:rsidRDefault="00554CD5" w:rsidP="007F07B5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color w:val="0F1115"/>
        </w:rPr>
      </w:pPr>
      <w:r>
        <w:rPr>
          <w:rFonts w:ascii="Times New Roman" w:eastAsia="Times New Roman" w:hAnsi="Times New Roman" w:cs="Times New Roman"/>
          <w:b/>
          <w:bCs/>
          <w:color w:val="0F1115"/>
        </w:rPr>
        <w:lastRenderedPageBreak/>
        <w:t>Fig</w:t>
      </w:r>
      <w:r w:rsidR="00991147" w:rsidRPr="00554CD5">
        <w:rPr>
          <w:rFonts w:ascii="Times New Roman" w:eastAsia="Times New Roman" w:hAnsi="Times New Roman" w:cs="Times New Roman"/>
          <w:b/>
          <w:bCs/>
          <w:color w:val="0F1115"/>
        </w:rPr>
        <w:t xml:space="preserve"> S6</w:t>
      </w:r>
      <w:r w:rsidR="007F07B5" w:rsidRPr="00554CD5">
        <w:rPr>
          <w:rFonts w:ascii="Times New Roman" w:eastAsia="Times New Roman" w:hAnsi="Times New Roman" w:cs="Times New Roman"/>
          <w:color w:val="0F1115"/>
        </w:rPr>
        <w:t> Band</w:t>
      </w:r>
      <w:r w:rsidR="007F07B5">
        <w:rPr>
          <w:rFonts w:ascii="Times New Roman" w:eastAsia="Times New Roman" w:hAnsi="Times New Roman" w:cs="Times New Roman"/>
          <w:color w:val="0F1115"/>
        </w:rPr>
        <w:t xml:space="preserve"> gap energy estimation using the first derivative of the diffuse reflectance spectra (dR/dλ), showing consistent values with those obtained from Tauc analysis.</w:t>
      </w:r>
    </w:p>
    <w:p w14:paraId="70CDD8C8" w14:textId="5912037B" w:rsidR="00F16A67" w:rsidRDefault="00554CD5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  <w:r>
        <w:rPr>
          <w:rFonts w:ascii="Times New Roman" w:hAnsi="Times New Roman" w:cs="Times New Roman"/>
          <w:b/>
          <w:noProof/>
          <w:color w:val="0F1115"/>
          <w:lang w:val="es-AR"/>
        </w:rPr>
        <w:drawing>
          <wp:inline distT="0" distB="0" distL="0" distR="0" wp14:anchorId="231C7554" wp14:editId="0182057A">
            <wp:extent cx="5400040" cy="3769360"/>
            <wp:effectExtent l="0" t="0" r="0" b="254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 S6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6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897B8" w14:textId="77777777" w:rsidR="0036193D" w:rsidRDefault="0036193D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</w:p>
    <w:p w14:paraId="5D416877" w14:textId="77777777" w:rsidR="0036193D" w:rsidRDefault="0036193D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</w:p>
    <w:p w14:paraId="1D1841CD" w14:textId="77777777" w:rsidR="0036193D" w:rsidRDefault="0036193D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</w:p>
    <w:p w14:paraId="2BAA5AE6" w14:textId="77777777" w:rsidR="0036193D" w:rsidRDefault="0036193D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</w:p>
    <w:p w14:paraId="31772E8B" w14:textId="77777777" w:rsidR="0036193D" w:rsidRDefault="0036193D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</w:p>
    <w:p w14:paraId="1723FD6C" w14:textId="77777777" w:rsidR="0036193D" w:rsidRDefault="0036193D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</w:p>
    <w:p w14:paraId="41B22EF5" w14:textId="77777777" w:rsidR="0036193D" w:rsidRDefault="0036193D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</w:p>
    <w:p w14:paraId="49DAE49B" w14:textId="77777777" w:rsidR="0036193D" w:rsidRDefault="0036193D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</w:p>
    <w:p w14:paraId="4A37C230" w14:textId="77777777" w:rsidR="0036193D" w:rsidRDefault="0036193D" w:rsidP="00F16A67">
      <w:pPr>
        <w:shd w:val="clear" w:color="auto" w:fill="FFFFFF"/>
        <w:spacing w:before="240" w:after="240" w:line="480" w:lineRule="auto"/>
        <w:jc w:val="both"/>
        <w:rPr>
          <w:rStyle w:val="Textoennegrita"/>
          <w:rFonts w:ascii="Times New Roman" w:hAnsi="Times New Roman" w:cs="Times New Roman"/>
          <w:bCs w:val="0"/>
          <w:color w:val="0F1115"/>
        </w:rPr>
      </w:pPr>
    </w:p>
    <w:p w14:paraId="2FB51BDC" w14:textId="01F25F1E" w:rsidR="002D47B9" w:rsidRPr="002D47B9" w:rsidRDefault="002D47B9" w:rsidP="00F16A67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color w:val="0F1115"/>
          <w:lang w:val="es-AR"/>
        </w:rPr>
      </w:pPr>
      <w:r w:rsidRPr="002D47B9">
        <w:rPr>
          <w:rStyle w:val="Textoennegrita"/>
          <w:rFonts w:ascii="Times New Roman" w:hAnsi="Times New Roman" w:cs="Times New Roman"/>
          <w:bCs w:val="0"/>
          <w:color w:val="0F1115"/>
        </w:rPr>
        <w:lastRenderedPageBreak/>
        <w:t>3. Electronic Properties – Mott–Schottky Analysis</w:t>
      </w:r>
    </w:p>
    <w:p w14:paraId="2010EFF2" w14:textId="6601F1E0" w:rsidR="00991147" w:rsidRDefault="00991147" w:rsidP="0099114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F1115"/>
          <w:highlight w:val="white"/>
        </w:rPr>
      </w:pPr>
      <w:r w:rsidRPr="00554CD5">
        <w:rPr>
          <w:rFonts w:ascii="Times New Roman" w:eastAsia="Times New Roman" w:hAnsi="Times New Roman" w:cs="Times New Roman"/>
          <w:b/>
          <w:bCs/>
          <w:color w:val="0F1115"/>
        </w:rPr>
        <w:t>Fig S7</w:t>
      </w:r>
      <w:r>
        <w:rPr>
          <w:rFonts w:ascii="Times New Roman" w:eastAsia="Times New Roman" w:hAnsi="Times New Roman" w:cs="Times New Roman"/>
          <w:color w:val="0F1115"/>
        </w:rPr>
        <w:t> </w:t>
      </w:r>
      <w:r>
        <w:rPr>
          <w:rFonts w:ascii="Times New Roman" w:eastAsia="Times New Roman" w:hAnsi="Times New Roman" w:cs="Times New Roman"/>
          <w:color w:val="0F1115"/>
          <w:highlight w:val="white"/>
        </w:rPr>
        <w:t>Mott–Schottky plot (1/C</w:t>
      </w:r>
      <w:r>
        <w:rPr>
          <w:rFonts w:ascii="Times New Roman" w:eastAsia="Times New Roman" w:hAnsi="Times New Roman" w:cs="Times New Roman"/>
          <w:color w:val="0F1115"/>
          <w:highlight w:val="white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F1115"/>
          <w:highlight w:val="white"/>
        </w:rPr>
        <w:t xml:space="preserve"> vs applied potential) for a pristine CZTS film deposited on FTO/TiO</w:t>
      </w:r>
      <w:r>
        <w:rPr>
          <w:vertAlign w:val="subscript"/>
        </w:rPr>
        <w:t>2</w:t>
      </w:r>
      <w:r>
        <w:rPr>
          <w:rFonts w:ascii="Times New Roman" w:eastAsia="Times New Roman" w:hAnsi="Times New Roman" w:cs="Times New Roman"/>
          <w:color w:val="0F1115"/>
          <w:highlight w:val="white"/>
        </w:rPr>
        <w:t>, recorded at 1200 Hz in 0.2 M Na</w:t>
      </w:r>
      <w:r>
        <w:rPr>
          <w:vertAlign w:val="subscript"/>
        </w:rPr>
        <w:t>2</w:t>
      </w:r>
      <w:r>
        <w:rPr>
          <w:rFonts w:ascii="Times New Roman" w:eastAsia="Times New Roman" w:hAnsi="Times New Roman" w:cs="Times New Roman"/>
          <w:color w:val="0F1115"/>
          <w:highlight w:val="white"/>
        </w:rPr>
        <w:t>SO</w:t>
      </w:r>
      <w:r>
        <w:rPr>
          <w:vertAlign w:val="subscript"/>
        </w:rPr>
        <w:t>4</w:t>
      </w:r>
      <w:r>
        <w:rPr>
          <w:rFonts w:ascii="Times New Roman" w:eastAsia="Times New Roman" w:hAnsi="Times New Roman" w:cs="Times New Roman"/>
          <w:color w:val="0F1115"/>
          <w:highlight w:val="white"/>
        </w:rPr>
        <w:t>. The negative slope confirms the intrinsic p-type character of the kesterite semiconductor synthesized by the hot-injection method. Th</w:t>
      </w:r>
      <w:r w:rsidR="00554CD5">
        <w:rPr>
          <w:rFonts w:ascii="Times New Roman" w:eastAsia="Times New Roman" w:hAnsi="Times New Roman" w:cs="Times New Roman"/>
          <w:color w:val="0F1115"/>
          <w:highlight w:val="white"/>
        </w:rPr>
        <w:t>e flat-band potential</w:t>
      </w:r>
      <w:r>
        <w:rPr>
          <w:rFonts w:ascii="Times New Roman" w:eastAsia="Times New Roman" w:hAnsi="Times New Roman" w:cs="Times New Roman"/>
          <w:color w:val="0F1115"/>
          <w:highlight w:val="white"/>
        </w:rPr>
        <w:t xml:space="preserve"> is indicated by the intercept with the potential axis.</w:t>
      </w:r>
    </w:p>
    <w:p w14:paraId="15F745E6" w14:textId="0CB33509" w:rsidR="00991147" w:rsidRDefault="00554CD5" w:rsidP="0099114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F1115"/>
          <w:highlight w:val="white"/>
        </w:rPr>
      </w:pPr>
      <w:r>
        <w:rPr>
          <w:rFonts w:ascii="Times New Roman" w:eastAsia="Times New Roman" w:hAnsi="Times New Roman" w:cs="Times New Roman"/>
          <w:noProof/>
          <w:color w:val="0F1115"/>
          <w:lang w:val="es-AR"/>
        </w:rPr>
        <w:drawing>
          <wp:inline distT="0" distB="0" distL="0" distR="0" wp14:anchorId="52064461" wp14:editId="63987781">
            <wp:extent cx="5400040" cy="3771265"/>
            <wp:effectExtent l="0" t="0" r="0" b="63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 S7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7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A78F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</w:p>
    <w:p w14:paraId="29A9DA9B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</w:p>
    <w:p w14:paraId="13405F51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</w:p>
    <w:p w14:paraId="2A6FA485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</w:p>
    <w:p w14:paraId="69A72765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</w:p>
    <w:p w14:paraId="15B8A4A9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</w:p>
    <w:p w14:paraId="599E5B49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</w:p>
    <w:p w14:paraId="2587785F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</w:p>
    <w:p w14:paraId="7B614D6B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</w:p>
    <w:p w14:paraId="4C805DBF" w14:textId="3DEB584C" w:rsidR="007F07B5" w:rsidRDefault="00554CD5" w:rsidP="007F07B5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Fig</w:t>
      </w:r>
      <w:r w:rsidR="007F07B5" w:rsidRPr="00554CD5">
        <w:rPr>
          <w:rFonts w:ascii="Times New Roman" w:eastAsia="Times New Roman" w:hAnsi="Times New Roman" w:cs="Times New Roman"/>
          <w:b/>
          <w:bCs/>
        </w:rPr>
        <w:t xml:space="preserve"> S8</w:t>
      </w:r>
      <w:r w:rsidR="007F07B5">
        <w:rPr>
          <w:rFonts w:ascii="Times New Roman" w:eastAsia="Times New Roman" w:hAnsi="Times New Roman" w:cs="Times New Roman"/>
        </w:rPr>
        <w:t xml:space="preserve"> 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>Dependence of (a) carrier density (N</w:t>
      </w:r>
      <w:r w:rsidR="007F07B5">
        <w:rPr>
          <w:rFonts w:ascii="Times New Roman" w:eastAsia="Times New Roman" w:hAnsi="Times New Roman" w:cs="Times New Roman"/>
          <w:color w:val="0F1115"/>
          <w:highlight w:val="white"/>
          <w:vertAlign w:val="subscript"/>
        </w:rPr>
        <w:t>D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>) and (b) flat-band potential (V</w:t>
      </w:r>
      <w:r w:rsidR="007F07B5">
        <w:rPr>
          <w:rFonts w:ascii="Times New Roman" w:eastAsia="Times New Roman" w:hAnsi="Times New Roman" w:cs="Times New Roman"/>
          <w:color w:val="0F1115"/>
          <w:highlight w:val="white"/>
          <w:vertAlign w:val="subscript"/>
        </w:rPr>
        <w:t>FB</w:t>
      </w:r>
      <w:r w:rsidR="007F07B5">
        <w:rPr>
          <w:rFonts w:ascii="Times New Roman" w:eastAsia="Times New Roman" w:hAnsi="Times New Roman" w:cs="Times New Roman"/>
          <w:color w:val="0F1115"/>
          <w:highlight w:val="white"/>
        </w:rPr>
        <w:t>) on CZTS loading, extracted from the Mott–Schottky analysis. The carrier density reaches a maximum for the NC25 composition, while the flat-band potential shifts monotonically toward positive values, indicating tunable electronic properties through controlled semiconductor incorporation.</w:t>
      </w:r>
    </w:p>
    <w:p w14:paraId="739934A9" w14:textId="1F81B6C8" w:rsidR="007F07B5" w:rsidRDefault="00554CD5" w:rsidP="007F07B5">
      <w:r>
        <w:rPr>
          <w:noProof/>
          <w:lang w:val="es-AR"/>
        </w:rPr>
        <w:drawing>
          <wp:inline distT="0" distB="0" distL="0" distR="0" wp14:anchorId="4E4DE21C" wp14:editId="28773889">
            <wp:extent cx="5400040" cy="1994535"/>
            <wp:effectExtent l="0" t="0" r="0" b="571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 S8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9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F333A" w14:textId="77777777" w:rsidR="0036193D" w:rsidRDefault="0036193D" w:rsidP="002D47B9">
      <w:pPr>
        <w:pStyle w:val="Ttulo2"/>
        <w:shd w:val="clear" w:color="auto" w:fill="FFFFFF"/>
        <w:spacing w:before="480" w:after="240" w:line="480" w:lineRule="atLeast"/>
        <w:rPr>
          <w:rStyle w:val="Textoennegrita"/>
          <w:rFonts w:ascii="Times New Roman" w:hAnsi="Times New Roman" w:cs="Times New Roman"/>
          <w:bCs w:val="0"/>
          <w:color w:val="0F1115"/>
          <w:sz w:val="22"/>
          <w:szCs w:val="22"/>
        </w:rPr>
      </w:pPr>
    </w:p>
    <w:p w14:paraId="0A50F17C" w14:textId="77777777" w:rsidR="0036193D" w:rsidRDefault="0036193D" w:rsidP="002D47B9">
      <w:pPr>
        <w:pStyle w:val="Ttulo2"/>
        <w:shd w:val="clear" w:color="auto" w:fill="FFFFFF"/>
        <w:spacing w:before="480" w:after="240" w:line="480" w:lineRule="atLeast"/>
        <w:rPr>
          <w:rStyle w:val="Textoennegrita"/>
          <w:rFonts w:ascii="Times New Roman" w:hAnsi="Times New Roman" w:cs="Times New Roman"/>
          <w:bCs w:val="0"/>
          <w:color w:val="0F1115"/>
          <w:sz w:val="22"/>
          <w:szCs w:val="22"/>
        </w:rPr>
      </w:pPr>
    </w:p>
    <w:p w14:paraId="4440CC02" w14:textId="7A149299" w:rsidR="0036193D" w:rsidRDefault="0036193D" w:rsidP="002D47B9">
      <w:pPr>
        <w:pStyle w:val="Ttulo2"/>
        <w:shd w:val="clear" w:color="auto" w:fill="FFFFFF"/>
        <w:spacing w:before="480" w:after="240" w:line="480" w:lineRule="atLeast"/>
        <w:rPr>
          <w:rStyle w:val="Textoennegrita"/>
          <w:rFonts w:ascii="Times New Roman" w:hAnsi="Times New Roman" w:cs="Times New Roman"/>
          <w:bCs w:val="0"/>
          <w:color w:val="0F1115"/>
          <w:sz w:val="22"/>
          <w:szCs w:val="22"/>
        </w:rPr>
      </w:pPr>
    </w:p>
    <w:p w14:paraId="5F853BF8" w14:textId="155A8571" w:rsidR="0036193D" w:rsidRDefault="0036193D" w:rsidP="002D47B9">
      <w:pPr>
        <w:pStyle w:val="Ttulo2"/>
        <w:shd w:val="clear" w:color="auto" w:fill="FFFFFF"/>
        <w:spacing w:before="480" w:after="240" w:line="480" w:lineRule="atLeast"/>
        <w:rPr>
          <w:rStyle w:val="Textoennegrita"/>
          <w:rFonts w:ascii="Times New Roman" w:hAnsi="Times New Roman" w:cs="Times New Roman"/>
          <w:bCs w:val="0"/>
          <w:color w:val="0F1115"/>
          <w:sz w:val="22"/>
          <w:szCs w:val="22"/>
        </w:rPr>
      </w:pPr>
    </w:p>
    <w:p w14:paraId="4CBE0C8D" w14:textId="31F46885" w:rsidR="0036193D" w:rsidRDefault="0036193D" w:rsidP="0036193D"/>
    <w:p w14:paraId="085A945B" w14:textId="15FA18F7" w:rsidR="0036193D" w:rsidRDefault="0036193D" w:rsidP="0036193D"/>
    <w:p w14:paraId="369C6E28" w14:textId="2A3AD7BD" w:rsidR="0036193D" w:rsidRDefault="0036193D" w:rsidP="0036193D"/>
    <w:p w14:paraId="2E733405" w14:textId="149F6CCD" w:rsidR="0036193D" w:rsidRDefault="0036193D" w:rsidP="0036193D"/>
    <w:p w14:paraId="431DA4CD" w14:textId="63482C61" w:rsidR="0036193D" w:rsidRDefault="0036193D" w:rsidP="0036193D"/>
    <w:p w14:paraId="62DB7242" w14:textId="17BB32D5" w:rsidR="0036193D" w:rsidRDefault="0036193D" w:rsidP="0036193D"/>
    <w:p w14:paraId="0399DB97" w14:textId="77777777" w:rsidR="0036193D" w:rsidRPr="0036193D" w:rsidRDefault="0036193D" w:rsidP="0036193D"/>
    <w:p w14:paraId="26D41330" w14:textId="16209292" w:rsidR="002D47B9" w:rsidRPr="002D47B9" w:rsidRDefault="0036193D" w:rsidP="002D47B9">
      <w:pPr>
        <w:pStyle w:val="Ttulo2"/>
        <w:shd w:val="clear" w:color="auto" w:fill="FFFFFF"/>
        <w:spacing w:before="480" w:after="240" w:line="480" w:lineRule="atLeast"/>
        <w:rPr>
          <w:rFonts w:ascii="Times New Roman" w:eastAsia="Times New Roman" w:hAnsi="Times New Roman" w:cs="Times New Roman"/>
          <w:color w:val="0F1115"/>
          <w:sz w:val="22"/>
          <w:szCs w:val="22"/>
          <w:lang w:val="es-AR"/>
        </w:rPr>
      </w:pPr>
      <w:r>
        <w:rPr>
          <w:rStyle w:val="Textoennegrita"/>
          <w:rFonts w:ascii="Times New Roman" w:hAnsi="Times New Roman" w:cs="Times New Roman"/>
          <w:bCs w:val="0"/>
          <w:color w:val="0F1115"/>
          <w:sz w:val="22"/>
          <w:szCs w:val="22"/>
        </w:rPr>
        <w:lastRenderedPageBreak/>
        <w:t xml:space="preserve">4. </w:t>
      </w:r>
      <w:r w:rsidR="002D47B9" w:rsidRPr="002D47B9">
        <w:rPr>
          <w:rStyle w:val="Textoennegrita"/>
          <w:rFonts w:ascii="Times New Roman" w:hAnsi="Times New Roman" w:cs="Times New Roman"/>
          <w:bCs w:val="0"/>
          <w:color w:val="0F1115"/>
          <w:sz w:val="22"/>
          <w:szCs w:val="22"/>
        </w:rPr>
        <w:t>Photoelectrochemical Characterization</w:t>
      </w:r>
    </w:p>
    <w:p w14:paraId="57863426" w14:textId="7F28C4F3" w:rsidR="007F07B5" w:rsidRDefault="007F07B5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S9. </w:t>
      </w:r>
      <w:r>
        <w:rPr>
          <w:rFonts w:ascii="Times New Roman" w:eastAsia="Times New Roman" w:hAnsi="Times New Roman" w:cs="Times New Roman"/>
          <w:color w:val="0F1115"/>
          <w:highlight w:val="white"/>
        </w:rPr>
        <w:t>J–V curves for FTO//TiO</w:t>
      </w:r>
      <w:r>
        <w:rPr>
          <w:vertAlign w:val="subscript"/>
        </w:rPr>
        <w:t>2</w:t>
      </w:r>
      <w:r>
        <w:rPr>
          <w:rFonts w:ascii="Times New Roman" w:eastAsia="Times New Roman" w:hAnsi="Times New Roman" w:cs="Times New Roman"/>
          <w:color w:val="0F1115"/>
          <w:highlight w:val="white"/>
        </w:rPr>
        <w:t>//MOF//CZTS devices prepared with different numbers of MOF sp</w:t>
      </w:r>
      <w:r w:rsidR="003130D0">
        <w:rPr>
          <w:rFonts w:ascii="Times New Roman" w:eastAsia="Times New Roman" w:hAnsi="Times New Roman" w:cs="Times New Roman"/>
          <w:color w:val="0F1115"/>
          <w:highlight w:val="white"/>
        </w:rPr>
        <w:t xml:space="preserve">in-coating deposition cycles (1(line), 2 (dash) </w:t>
      </w:r>
      <w:r>
        <w:rPr>
          <w:rFonts w:ascii="Times New Roman" w:eastAsia="Times New Roman" w:hAnsi="Times New Roman" w:cs="Times New Roman"/>
          <w:color w:val="0F1115"/>
          <w:highlight w:val="white"/>
        </w:rPr>
        <w:t>3</w:t>
      </w:r>
      <w:r w:rsidR="003130D0">
        <w:rPr>
          <w:rFonts w:ascii="Times New Roman" w:eastAsia="Times New Roman" w:hAnsi="Times New Roman" w:cs="Times New Roman"/>
          <w:color w:val="0F1115"/>
          <w:highlight w:val="white"/>
        </w:rPr>
        <w:t xml:space="preserve"> (dot)</w:t>
      </w:r>
      <w:r>
        <w:rPr>
          <w:rFonts w:ascii="Times New Roman" w:eastAsia="Times New Roman" w:hAnsi="Times New Roman" w:cs="Times New Roman"/>
          <w:color w:val="0F1115"/>
          <w:highlight w:val="white"/>
        </w:rPr>
        <w:t>), used to optimize the film thickness.</w:t>
      </w:r>
    </w:p>
    <w:p w14:paraId="528B8047" w14:textId="649732DE" w:rsidR="007F07B5" w:rsidRDefault="003130D0" w:rsidP="007F07B5">
      <w:r>
        <w:rPr>
          <w:noProof/>
          <w:lang w:val="es-AR"/>
        </w:rPr>
        <w:drawing>
          <wp:inline distT="0" distB="0" distL="0" distR="0" wp14:anchorId="1787577A" wp14:editId="77B9098B">
            <wp:extent cx="5400040" cy="4150995"/>
            <wp:effectExtent l="0" t="0" r="0" b="190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 S9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5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3125C" w14:textId="77777777" w:rsidR="0036193D" w:rsidRDefault="0036193D" w:rsidP="007F07B5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8581B38" w14:textId="77777777" w:rsidR="0036193D" w:rsidRDefault="0036193D" w:rsidP="007F07B5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B0C885A" w14:textId="77777777" w:rsidR="0036193D" w:rsidRDefault="0036193D" w:rsidP="007F07B5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3562CB0" w14:textId="77777777" w:rsidR="0036193D" w:rsidRDefault="0036193D" w:rsidP="007F07B5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E66499F" w14:textId="77777777" w:rsidR="0036193D" w:rsidRDefault="0036193D" w:rsidP="007F07B5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4A0955C" w14:textId="77777777" w:rsidR="0036193D" w:rsidRDefault="0036193D" w:rsidP="007F07B5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9D721C5" w14:textId="77777777" w:rsidR="0036193D" w:rsidRDefault="0036193D" w:rsidP="007F07B5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FDDF396" w14:textId="77777777" w:rsidR="0036193D" w:rsidRDefault="0036193D" w:rsidP="007F07B5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CC501E7" w14:textId="0D375C55" w:rsidR="007F07B5" w:rsidRDefault="007F07B5" w:rsidP="007F07B5">
      <w:pPr>
        <w:spacing w:after="0" w:line="60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Figure S10.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F1115"/>
          <w:highlight w:val="white"/>
        </w:rPr>
        <w:t>Photocurrent density measured at 0 V vs Ag/AgCl for photoelectrodes based on individual semiconductors (MIL-125-NH</w:t>
      </w:r>
      <w:r>
        <w:rPr>
          <w:vertAlign w:val="subscript"/>
        </w:rPr>
        <w:t>2</w:t>
      </w:r>
      <w:r>
        <w:rPr>
          <w:rFonts w:ascii="Times New Roman" w:eastAsia="Times New Roman" w:hAnsi="Times New Roman" w:cs="Times New Roman"/>
          <w:color w:val="0F1115"/>
          <w:highlight w:val="white"/>
        </w:rPr>
        <w:t xml:space="preserve"> and CZTS), a layered MOF//CZTS structure, and the NC25 nanocomposite. The NC25 composite exhibits the highest photocurrent (73.3 µA cm</w:t>
      </w:r>
      <w:r>
        <w:rPr>
          <w:rFonts w:ascii="Times New Roman" w:eastAsia="Times New Roman" w:hAnsi="Times New Roman" w:cs="Times New Roman"/>
          <w:color w:val="0F1115"/>
          <w:highlight w:val="white"/>
          <w:vertAlign w:val="superscript"/>
        </w:rPr>
        <w:t>-2</w:t>
      </w:r>
      <w:r>
        <w:rPr>
          <w:rFonts w:ascii="Times New Roman" w:eastAsia="Times New Roman" w:hAnsi="Times New Roman" w:cs="Times New Roman"/>
          <w:color w:val="0F1115"/>
          <w:highlight w:val="white"/>
        </w:rPr>
        <w:t>), approximately 15 times higher than bare MOF and 2.5 times higher than the layered architecture, demonstrating the superior charge separation efficiency of the nanocomposite.</w:t>
      </w:r>
    </w:p>
    <w:p w14:paraId="3CE6DA27" w14:textId="77777777" w:rsidR="007F07B5" w:rsidRDefault="007F07B5" w:rsidP="007F07B5">
      <w:r>
        <w:rPr>
          <w:noProof/>
          <w:lang w:val="es-AR"/>
        </w:rPr>
        <w:drawing>
          <wp:inline distT="0" distB="0" distL="0" distR="0" wp14:anchorId="455E0675" wp14:editId="432A9477">
            <wp:extent cx="5400040" cy="4131945"/>
            <wp:effectExtent l="0" t="0" r="0" b="190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s10 arquitecturas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173BE" w14:textId="2EB20A0E" w:rsidR="0036193D" w:rsidRDefault="0036193D" w:rsidP="002D47B9">
      <w:pPr>
        <w:pStyle w:val="Ttulo2"/>
        <w:shd w:val="clear" w:color="auto" w:fill="FFFFFF"/>
        <w:spacing w:before="480" w:after="240" w:line="480" w:lineRule="atLeast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</w:p>
    <w:p w14:paraId="7F38803E" w14:textId="359CBD77" w:rsidR="0036193D" w:rsidRDefault="0036193D" w:rsidP="0036193D"/>
    <w:p w14:paraId="591D4A48" w14:textId="53B79402" w:rsidR="0036193D" w:rsidRDefault="0036193D" w:rsidP="0036193D"/>
    <w:p w14:paraId="44B5E120" w14:textId="108A5EA5" w:rsidR="0036193D" w:rsidRDefault="0036193D" w:rsidP="0036193D"/>
    <w:p w14:paraId="275DA780" w14:textId="77777777" w:rsidR="0036193D" w:rsidRPr="0036193D" w:rsidRDefault="0036193D" w:rsidP="0036193D"/>
    <w:p w14:paraId="5CF6DC78" w14:textId="21B4B5DC" w:rsidR="002D47B9" w:rsidRPr="0036193D" w:rsidRDefault="002D47B9" w:rsidP="002D47B9">
      <w:pPr>
        <w:pStyle w:val="Ttulo2"/>
        <w:shd w:val="clear" w:color="auto" w:fill="FFFFFF"/>
        <w:spacing w:before="480" w:after="240" w:line="480" w:lineRule="atLeast"/>
        <w:rPr>
          <w:rFonts w:ascii="Segoe UI" w:eastAsia="Times New Roman" w:hAnsi="Segoe UI" w:cs="Segoe UI"/>
          <w:b/>
          <w:color w:val="0F1115"/>
          <w:sz w:val="33"/>
          <w:szCs w:val="33"/>
          <w:lang w:val="es-AR"/>
        </w:rPr>
      </w:pPr>
      <w:r w:rsidRPr="0036193D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lastRenderedPageBreak/>
        <w:t>5. Photocatalytic Cr(VI) Reduction – Control Experiments</w:t>
      </w:r>
    </w:p>
    <w:p w14:paraId="59AF2595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E438210" w14:textId="4EEF9EE2" w:rsidR="007F07B5" w:rsidRDefault="007F07B5" w:rsidP="007F07B5">
      <w:pPr>
        <w:spacing w:after="0" w:line="480" w:lineRule="auto"/>
        <w:jc w:val="both"/>
        <w:rPr>
          <w:rFonts w:ascii="Quattrocento Sans" w:eastAsia="Quattrocento Sans" w:hAnsi="Quattrocento Sans" w:cs="Quattrocento Sans"/>
          <w:color w:val="0F1115"/>
          <w:highlight w:val="white"/>
        </w:rPr>
      </w:pPr>
      <w:r>
        <w:rPr>
          <w:rFonts w:ascii="Times New Roman" w:eastAsia="Times New Roman" w:hAnsi="Times New Roman" w:cs="Times New Roman"/>
          <w:b/>
          <w:bCs/>
        </w:rPr>
        <w:t>Figure S1</w:t>
      </w:r>
      <w:r w:rsidR="00EB616C"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  <w:b/>
          <w:bCs/>
        </w:rPr>
        <w:t xml:space="preserve">.  </w:t>
      </w:r>
      <w:r>
        <w:rPr>
          <w:rFonts w:ascii="Times New Roman" w:eastAsia="Times New Roman" w:hAnsi="Times New Roman" w:cs="Times New Roman"/>
          <w:color w:val="0F1115"/>
          <w:highlight w:val="white"/>
        </w:rPr>
        <w:t>Control exper</w:t>
      </w:r>
      <w:r w:rsidR="00054F08">
        <w:rPr>
          <w:rFonts w:ascii="Times New Roman" w:eastAsia="Times New Roman" w:hAnsi="Times New Roman" w:cs="Times New Roman"/>
          <w:color w:val="0F1115"/>
          <w:highlight w:val="white"/>
        </w:rPr>
        <w:t>iments for Cr(VI) reduction:</w:t>
      </w:r>
      <w:r>
        <w:rPr>
          <w:rFonts w:ascii="Times New Roman" w:eastAsia="Times New Roman" w:hAnsi="Times New Roman" w:cs="Times New Roman"/>
          <w:color w:val="0F1115"/>
          <w:highlight w:val="white"/>
        </w:rPr>
        <w:t xml:space="preserve"> in the dark</w:t>
      </w:r>
      <w:r w:rsidR="00054F08">
        <w:rPr>
          <w:rFonts w:ascii="Times New Roman" w:eastAsia="Times New Roman" w:hAnsi="Times New Roman" w:cs="Times New Roman"/>
          <w:color w:val="0F1115"/>
          <w:highlight w:val="white"/>
        </w:rPr>
        <w:t xml:space="preserve"> (squares),</w:t>
      </w:r>
      <w:r>
        <w:rPr>
          <w:rFonts w:ascii="Times New Roman" w:eastAsia="Times New Roman" w:hAnsi="Times New Roman" w:cs="Times New Roman"/>
          <w:color w:val="0F1115"/>
          <w:highlight w:val="white"/>
        </w:rPr>
        <w:t xml:space="preserve"> without photocatalyst</w:t>
      </w:r>
      <w:r w:rsidR="00054F08">
        <w:rPr>
          <w:rFonts w:ascii="Times New Roman" w:eastAsia="Times New Roman" w:hAnsi="Times New Roman" w:cs="Times New Roman"/>
          <w:color w:val="0F1115"/>
          <w:highlight w:val="white"/>
        </w:rPr>
        <w:t xml:space="preserve"> (circles) , and </w:t>
      </w:r>
      <w:r>
        <w:rPr>
          <w:rFonts w:ascii="Times New Roman" w:eastAsia="Times New Roman" w:hAnsi="Times New Roman" w:cs="Times New Roman"/>
          <w:color w:val="0F1115"/>
          <w:highlight w:val="white"/>
        </w:rPr>
        <w:t>without TEA</w:t>
      </w:r>
      <w:r w:rsidR="00054F08">
        <w:rPr>
          <w:rFonts w:ascii="Times New Roman" w:eastAsia="Times New Roman" w:hAnsi="Times New Roman" w:cs="Times New Roman"/>
          <w:color w:val="0F1115"/>
          <w:highlight w:val="white"/>
        </w:rPr>
        <w:t xml:space="preserve"> (triangles)</w:t>
      </w:r>
      <w:r>
        <w:rPr>
          <w:rFonts w:ascii="Times New Roman" w:eastAsia="Times New Roman" w:hAnsi="Times New Roman" w:cs="Times New Roman"/>
          <w:color w:val="0F1115"/>
          <w:highlight w:val="white"/>
        </w:rPr>
        <w:t>, confirming that no reduction occurs under these conditions.</w:t>
      </w:r>
    </w:p>
    <w:p w14:paraId="3EE18185" w14:textId="6F2C8B05" w:rsidR="007F07B5" w:rsidRDefault="003130D0" w:rsidP="007F07B5">
      <w:r>
        <w:rPr>
          <w:noProof/>
          <w:lang w:val="es-AR"/>
        </w:rPr>
        <w:drawing>
          <wp:inline distT="0" distB="0" distL="0" distR="0" wp14:anchorId="1ADE2E63" wp14:editId="1A125125">
            <wp:extent cx="5400040" cy="4131945"/>
            <wp:effectExtent l="0" t="0" r="0" b="190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 S11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B2CF3" w14:textId="77777777" w:rsidR="0036193D" w:rsidRDefault="0036193D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lang w:val="es-AR"/>
        </w:rPr>
      </w:pPr>
    </w:p>
    <w:p w14:paraId="400D8717" w14:textId="77777777" w:rsidR="0036193D" w:rsidRDefault="0036193D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lang w:val="es-AR"/>
        </w:rPr>
      </w:pPr>
    </w:p>
    <w:p w14:paraId="5ABA5489" w14:textId="77777777" w:rsidR="0036193D" w:rsidRDefault="0036193D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lang w:val="es-AR"/>
        </w:rPr>
      </w:pPr>
    </w:p>
    <w:p w14:paraId="633C805E" w14:textId="77777777" w:rsidR="0036193D" w:rsidRDefault="0036193D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lang w:val="es-AR"/>
        </w:rPr>
      </w:pPr>
    </w:p>
    <w:p w14:paraId="0B6FCC50" w14:textId="77777777" w:rsidR="0036193D" w:rsidRDefault="0036193D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lang w:val="es-AR"/>
        </w:rPr>
      </w:pPr>
    </w:p>
    <w:p w14:paraId="589C1946" w14:textId="77777777" w:rsidR="0036193D" w:rsidRDefault="0036193D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lang w:val="es-AR"/>
        </w:rPr>
      </w:pPr>
    </w:p>
    <w:p w14:paraId="6343B06F" w14:textId="77777777" w:rsidR="0036193D" w:rsidRDefault="0036193D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lang w:val="es-AR"/>
        </w:rPr>
      </w:pPr>
    </w:p>
    <w:p w14:paraId="0EFE50A8" w14:textId="77777777" w:rsidR="0036193D" w:rsidRDefault="0036193D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lang w:val="es-AR"/>
        </w:rPr>
      </w:pPr>
    </w:p>
    <w:p w14:paraId="4E863566" w14:textId="77777777" w:rsidR="0036193D" w:rsidRDefault="0036193D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F1115"/>
          <w:lang w:val="es-AR"/>
        </w:rPr>
      </w:pPr>
    </w:p>
    <w:p w14:paraId="6D27CA83" w14:textId="4D68F4DA" w:rsidR="007F07B5" w:rsidRPr="002D47B9" w:rsidRDefault="002D47B9" w:rsidP="007F07B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F1115"/>
          <w:lang w:val="es-AR"/>
        </w:rPr>
      </w:pPr>
      <w:r w:rsidRPr="002D47B9">
        <w:rPr>
          <w:rFonts w:ascii="Times New Roman" w:eastAsia="Times New Roman" w:hAnsi="Times New Roman" w:cs="Times New Roman"/>
          <w:b/>
          <w:bCs/>
          <w:color w:val="0F1115"/>
          <w:lang w:val="es-AR"/>
        </w:rPr>
        <w:lastRenderedPageBreak/>
        <w:t xml:space="preserve">6. </w:t>
      </w:r>
      <w:r w:rsidR="007F07B5" w:rsidRPr="002D47B9">
        <w:rPr>
          <w:rFonts w:ascii="Times New Roman" w:eastAsia="Times New Roman" w:hAnsi="Times New Roman" w:cs="Times New Roman"/>
          <w:b/>
          <w:bCs/>
          <w:color w:val="0F1115"/>
          <w:lang w:val="es-AR"/>
        </w:rPr>
        <w:t>Wavelength-dependent photocatalytic activity and Apparent Quantum Efficiency (AQE)</w:t>
      </w:r>
    </w:p>
    <w:p w14:paraId="03759CFA" w14:textId="2108A30D" w:rsidR="007F07B5" w:rsidRPr="00E216F8" w:rsidRDefault="00E216F8" w:rsidP="00E216F8">
      <w:pPr>
        <w:spacing w:after="0" w:line="480" w:lineRule="auto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E216F8">
        <w:rPr>
          <w:rFonts w:ascii="Times New Roman" w:hAnsi="Times New Roman" w:cs="Times New Roman"/>
          <w:color w:val="0F1115"/>
          <w:shd w:val="clear" w:color="auto" w:fill="FFFFFF"/>
        </w:rPr>
        <w:t>The wavelength</w:t>
      </w:r>
      <w:r w:rsidRPr="00E216F8">
        <w:rPr>
          <w:rFonts w:ascii="Times New Roman" w:hAnsi="Times New Roman" w:cs="Times New Roman"/>
          <w:color w:val="0F1115"/>
          <w:shd w:val="clear" w:color="auto" w:fill="FFFFFF"/>
        </w:rPr>
        <w:noBreakHyphen/>
        <w:t>dependent photocatalytic activity of the NC25 nanocomposite was investigated between 333 and 568 nm. The apparent rate constants (k</w:t>
      </w:r>
      <w:r w:rsidRPr="00E216F8">
        <w:rPr>
          <w:rFonts w:ascii="Times New Roman" w:hAnsi="Times New Roman" w:cs="Times New Roman"/>
          <w:color w:val="0F1115"/>
          <w:shd w:val="clear" w:color="auto" w:fill="FFFFFF"/>
          <w:vertAlign w:val="subscript"/>
        </w:rPr>
        <w:t>obs,λ</w:t>
      </w:r>
      <w:r w:rsidRPr="00E216F8">
        <w:rPr>
          <w:rFonts w:ascii="Times New Roman" w:hAnsi="Times New Roman" w:cs="Times New Roman"/>
          <w:color w:val="0F1115"/>
          <w:shd w:val="clear" w:color="auto" w:fill="FFFFFF"/>
        </w:rPr>
        <w:t>) were normalized by the incident photon flux (I</w:t>
      </w:r>
      <w:r w:rsidRPr="00E216F8">
        <w:rPr>
          <w:rFonts w:ascii="Times New Roman" w:hAnsi="Times New Roman" w:cs="Times New Roman"/>
          <w:color w:val="0F1115"/>
          <w:shd w:val="clear" w:color="auto" w:fill="FFFFFF"/>
          <w:vertAlign w:val="subscript"/>
        </w:rPr>
        <w:t>0,λ</w:t>
      </w:r>
      <w:r w:rsidRPr="00E216F8">
        <w:rPr>
          <w:rFonts w:ascii="Times New Roman" w:hAnsi="Times New Roman" w:cs="Times New Roman"/>
          <w:color w:val="0F1115"/>
          <w:shd w:val="clear" w:color="auto" w:fill="FFFFFF"/>
        </w:rPr>
        <w:t>) to obtain the apparent quantum efficiency (Φ</w:t>
      </w:r>
      <w:r w:rsidRPr="00E216F8">
        <w:rPr>
          <w:rFonts w:ascii="Times New Roman" w:hAnsi="Times New Roman" w:cs="Times New Roman"/>
          <w:color w:val="0F1115"/>
          <w:shd w:val="clear" w:color="auto" w:fill="FFFFFF"/>
          <w:vertAlign w:val="subscript"/>
        </w:rPr>
        <w:t>app,λ</w:t>
      </w:r>
      <w:r w:rsidRPr="00E216F8">
        <w:rPr>
          <w:rFonts w:ascii="Times New Roman" w:hAnsi="Times New Roman" w:cs="Times New Roman"/>
          <w:color w:val="0F1115"/>
          <w:shd w:val="clear" w:color="auto" w:fill="FFFFFF"/>
        </w:rPr>
        <w:t> = k</w:t>
      </w:r>
      <w:r w:rsidRPr="00E216F8">
        <w:rPr>
          <w:rFonts w:ascii="Times New Roman" w:hAnsi="Times New Roman" w:cs="Times New Roman"/>
          <w:color w:val="0F1115"/>
          <w:shd w:val="clear" w:color="auto" w:fill="FFFFFF"/>
          <w:vertAlign w:val="subscript"/>
        </w:rPr>
        <w:t>obs,λ</w:t>
      </w:r>
      <w:r w:rsidRPr="00E216F8">
        <w:rPr>
          <w:rFonts w:ascii="Times New Roman" w:hAnsi="Times New Roman" w:cs="Times New Roman"/>
          <w:color w:val="0F1115"/>
          <w:shd w:val="clear" w:color="auto" w:fill="FFFFFF"/>
        </w:rPr>
        <w:t> / I</w:t>
      </w:r>
      <w:r w:rsidRPr="00E216F8">
        <w:rPr>
          <w:rFonts w:ascii="Times New Roman" w:hAnsi="Times New Roman" w:cs="Times New Roman"/>
          <w:color w:val="0F1115"/>
          <w:shd w:val="clear" w:color="auto" w:fill="FFFFFF"/>
          <w:vertAlign w:val="subscript"/>
        </w:rPr>
        <w:t>0,λ</w:t>
      </w:r>
      <w:r w:rsidRPr="00E216F8">
        <w:rPr>
          <w:rFonts w:ascii="Times New Roman" w:hAnsi="Times New Roman" w:cs="Times New Roman"/>
          <w:color w:val="0F1115"/>
          <w:shd w:val="clear" w:color="auto" w:fill="FFFFFF"/>
        </w:rPr>
        <w:t>). The results are presented in </w:t>
      </w:r>
      <w:r w:rsidRPr="00E216F8">
        <w:rPr>
          <w:rStyle w:val="Textoennegrita"/>
          <w:rFonts w:ascii="Times New Roman" w:hAnsi="Times New Roman" w:cs="Times New Roman"/>
          <w:b w:val="0"/>
          <w:color w:val="0F1115"/>
          <w:shd w:val="clear" w:color="auto" w:fill="FFFFFF"/>
        </w:rPr>
        <w:t>Figure S13</w:t>
      </w:r>
      <w:r w:rsidRPr="00E216F8">
        <w:rPr>
          <w:rFonts w:ascii="Times New Roman" w:hAnsi="Times New Roman" w:cs="Times New Roman"/>
          <w:color w:val="0F1115"/>
          <w:shd w:val="clear" w:color="auto" w:fill="FFFFFF"/>
        </w:rPr>
        <w:t> and summarized in</w:t>
      </w:r>
      <w:r w:rsidRPr="00E216F8">
        <w:rPr>
          <w:rFonts w:ascii="Times New Roman" w:hAnsi="Times New Roman" w:cs="Times New Roman"/>
          <w:b/>
          <w:color w:val="0F1115"/>
          <w:shd w:val="clear" w:color="auto" w:fill="FFFFFF"/>
        </w:rPr>
        <w:t> </w:t>
      </w:r>
      <w:r w:rsidRPr="00E216F8">
        <w:rPr>
          <w:rStyle w:val="Textoennegrita"/>
          <w:rFonts w:ascii="Times New Roman" w:hAnsi="Times New Roman" w:cs="Times New Roman"/>
          <w:b w:val="0"/>
          <w:color w:val="0F1115"/>
          <w:shd w:val="clear" w:color="auto" w:fill="FFFFFF"/>
        </w:rPr>
        <w:t>Table S1</w:t>
      </w:r>
      <w:r w:rsidRPr="00E216F8">
        <w:rPr>
          <w:rFonts w:ascii="Times New Roman" w:hAnsi="Times New Roman" w:cs="Times New Roman"/>
          <w:color w:val="0F1115"/>
          <w:shd w:val="clear" w:color="auto" w:fill="FFFFFF"/>
        </w:rPr>
        <w:t>.</w:t>
      </w:r>
    </w:p>
    <w:p w14:paraId="70F57FAC" w14:textId="77777777" w:rsidR="00E216F8" w:rsidRDefault="00E216F8" w:rsidP="007F0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/>
        </w:rPr>
      </w:pPr>
    </w:p>
    <w:p w14:paraId="5213CC68" w14:textId="77777777" w:rsidR="007F07B5" w:rsidRPr="003B57D6" w:rsidRDefault="007F07B5" w:rsidP="007F07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</w:rPr>
      </w:pPr>
      <w:r w:rsidRPr="003B57D6">
        <w:rPr>
          <w:rFonts w:ascii="Times New Roman" w:eastAsia="Times New Roman" w:hAnsi="Times New Roman" w:cs="Times New Roman"/>
          <w:b/>
          <w:bCs/>
          <w:color w:val="0F1115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F1115"/>
        </w:rPr>
        <w:t>S1</w:t>
      </w:r>
      <w:r w:rsidRPr="003B57D6">
        <w:rPr>
          <w:rFonts w:ascii="Times New Roman" w:eastAsia="Times New Roman" w:hAnsi="Times New Roman" w:cs="Times New Roman"/>
          <w:b/>
          <w:bCs/>
          <w:color w:val="0F1115"/>
        </w:rPr>
        <w:t>.</w:t>
      </w:r>
      <w:r w:rsidRPr="003B57D6">
        <w:rPr>
          <w:rFonts w:ascii="Times New Roman" w:eastAsia="Times New Roman" w:hAnsi="Times New Roman" w:cs="Times New Roman"/>
          <w:color w:val="0F1115"/>
        </w:rPr>
        <w:t> Incident photon flux (I</w:t>
      </w:r>
      <w:r w:rsidRPr="003B57D6">
        <w:rPr>
          <w:rFonts w:ascii="Times New Roman" w:eastAsia="Times New Roman" w:hAnsi="Times New Roman" w:cs="Times New Roman"/>
          <w:color w:val="0F1115"/>
          <w:vertAlign w:val="subscript"/>
        </w:rPr>
        <w:t>0</w:t>
      </w:r>
      <w:r w:rsidRPr="003B57D6">
        <w:rPr>
          <w:rFonts w:ascii="Times New Roman" w:eastAsia="Times New Roman" w:hAnsi="Times New Roman" w:cs="Times New Roman"/>
          <w:color w:val="0F1115"/>
        </w:rPr>
        <w:t>), observed rate constants (k</w:t>
      </w:r>
      <w:r w:rsidRPr="003B57D6">
        <w:rPr>
          <w:rFonts w:ascii="Times New Roman" w:eastAsia="Times New Roman" w:hAnsi="Times New Roman" w:cs="Times New Roman"/>
          <w:color w:val="0F1115"/>
          <w:vertAlign w:val="subscript"/>
        </w:rPr>
        <w:t>obs,λ</w:t>
      </w:r>
      <w:r w:rsidRPr="003B57D6">
        <w:rPr>
          <w:rFonts w:ascii="Times New Roman" w:eastAsia="Times New Roman" w:hAnsi="Times New Roman" w:cs="Times New Roman"/>
          <w:color w:val="0F1115"/>
        </w:rPr>
        <w:t>), and apparent quantum efficiencies (Φ</w:t>
      </w:r>
      <w:r w:rsidRPr="003B57D6">
        <w:rPr>
          <w:rFonts w:ascii="Times New Roman" w:eastAsia="Times New Roman" w:hAnsi="Times New Roman" w:cs="Times New Roman"/>
          <w:color w:val="0F1115"/>
          <w:vertAlign w:val="subscript"/>
        </w:rPr>
        <w:t>app</w:t>
      </w:r>
      <w:r w:rsidRPr="003B57D6">
        <w:rPr>
          <w:rFonts w:ascii="Times New Roman" w:eastAsia="Times New Roman" w:hAnsi="Times New Roman" w:cs="Times New Roman"/>
          <w:color w:val="0F1115"/>
        </w:rPr>
        <w:t>) for the NC25 nanocomposite at different irradiation wavelengths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2123"/>
        <w:gridCol w:w="2124"/>
        <w:gridCol w:w="2124"/>
      </w:tblGrid>
      <w:tr w:rsidR="007F07B5" w:rsidRPr="003B57D6" w14:paraId="0A06A9CB" w14:textId="77777777" w:rsidTr="008710A1">
        <w:tc>
          <w:tcPr>
            <w:tcW w:w="2123" w:type="dxa"/>
          </w:tcPr>
          <w:p w14:paraId="5C95845A" w14:textId="77777777" w:rsidR="007F07B5" w:rsidRPr="003B57D6" w:rsidRDefault="007F07B5" w:rsidP="008710A1">
            <w:pPr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b/>
                <w:bCs/>
              </w:rPr>
              <w:t>λ (nm)</w:t>
            </w:r>
          </w:p>
        </w:tc>
        <w:tc>
          <w:tcPr>
            <w:tcW w:w="2123" w:type="dxa"/>
            <w:vAlign w:val="center"/>
          </w:tcPr>
          <w:p w14:paraId="6F0350FA" w14:textId="77777777" w:rsidR="007F07B5" w:rsidRPr="003B57D6" w:rsidRDefault="007F07B5" w:rsidP="008710A1">
            <w:pPr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I</w:t>
            </w:r>
            <w:r w:rsidRPr="003B57D6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0</w:t>
            </w:r>
            <w:r w:rsidRPr="003B57D6">
              <w:rPr>
                <w:rFonts w:ascii="Times New Roman" w:eastAsia="Times New Roman" w:hAnsi="Times New Roman" w:cs="Times New Roman"/>
                <w:b/>
                <w:bCs/>
              </w:rPr>
              <w:t> (photons s⁻¹)</w:t>
            </w:r>
            <w:r w:rsidRPr="003B57D6">
              <w:rPr>
                <w:rFonts w:ascii="Times New Roman" w:eastAsia="Times New Roman" w:hAnsi="Times New Roman" w:cs="Times New Roman"/>
              </w:rPr>
              <w:t> 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124" w:type="dxa"/>
            <w:vAlign w:val="center"/>
          </w:tcPr>
          <w:p w14:paraId="6D467051" w14:textId="77777777" w:rsidR="007F07B5" w:rsidRPr="003B57D6" w:rsidRDefault="007F07B5" w:rsidP="008710A1">
            <w:pPr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b/>
                <w:bCs/>
              </w:rPr>
              <w:t>k</w:t>
            </w:r>
            <w:r w:rsidRPr="003B57D6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obs,λ</w:t>
            </w:r>
            <w:r w:rsidRPr="003B57D6">
              <w:rPr>
                <w:rFonts w:ascii="Times New Roman" w:eastAsia="Times New Roman" w:hAnsi="Times New Roman" w:cs="Times New Roman"/>
                <w:b/>
                <w:bCs/>
              </w:rPr>
              <w:t> (s</w:t>
            </w:r>
            <w:r w:rsidRPr="003B57D6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 w:rsidRPr="003B57D6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2124" w:type="dxa"/>
            <w:vAlign w:val="center"/>
          </w:tcPr>
          <w:p w14:paraId="424FCA0A" w14:textId="77777777" w:rsidR="007F07B5" w:rsidRPr="003B57D6" w:rsidRDefault="007F07B5" w:rsidP="008710A1">
            <w:pPr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b/>
                <w:bCs/>
              </w:rPr>
              <w:t>Φ</w:t>
            </w:r>
            <w:r w:rsidRPr="003B57D6"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app</w:t>
            </w:r>
          </w:p>
        </w:tc>
      </w:tr>
      <w:tr w:rsidR="007F07B5" w:rsidRPr="003B57D6" w14:paraId="7E3CB22D" w14:textId="77777777" w:rsidTr="008710A1">
        <w:tc>
          <w:tcPr>
            <w:tcW w:w="2123" w:type="dxa"/>
          </w:tcPr>
          <w:p w14:paraId="3CAC8126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color w:val="0F1115"/>
              </w:rPr>
              <w:t>333</w:t>
            </w:r>
          </w:p>
        </w:tc>
        <w:tc>
          <w:tcPr>
            <w:tcW w:w="2123" w:type="dxa"/>
          </w:tcPr>
          <w:p w14:paraId="40E375AE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6.39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14</w:t>
            </w:r>
          </w:p>
        </w:tc>
        <w:tc>
          <w:tcPr>
            <w:tcW w:w="2124" w:type="dxa"/>
            <w:vAlign w:val="center"/>
          </w:tcPr>
          <w:p w14:paraId="71267D1C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5.8 × 10⁻⁵</w:t>
            </w:r>
          </w:p>
        </w:tc>
        <w:tc>
          <w:tcPr>
            <w:tcW w:w="2124" w:type="dxa"/>
            <w:vAlign w:val="center"/>
          </w:tcPr>
          <w:p w14:paraId="6C9A8066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2.65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-4</w:t>
            </w:r>
          </w:p>
        </w:tc>
      </w:tr>
      <w:tr w:rsidR="007F07B5" w:rsidRPr="003B57D6" w14:paraId="4975D162" w14:textId="77777777" w:rsidTr="008710A1">
        <w:tc>
          <w:tcPr>
            <w:tcW w:w="2123" w:type="dxa"/>
          </w:tcPr>
          <w:p w14:paraId="798C628D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color w:val="0F1115"/>
              </w:rPr>
              <w:t>366</w:t>
            </w:r>
          </w:p>
        </w:tc>
        <w:tc>
          <w:tcPr>
            <w:tcW w:w="2123" w:type="dxa"/>
          </w:tcPr>
          <w:p w14:paraId="19ADC551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1.97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2124" w:type="dxa"/>
            <w:vAlign w:val="center"/>
          </w:tcPr>
          <w:p w14:paraId="3A778546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8.12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2124" w:type="dxa"/>
            <w:vAlign w:val="center"/>
          </w:tcPr>
          <w:p w14:paraId="1640A7E6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1.21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-4</w:t>
            </w:r>
          </w:p>
        </w:tc>
      </w:tr>
      <w:tr w:rsidR="007F07B5" w:rsidRPr="003B57D6" w14:paraId="614CC636" w14:textId="77777777" w:rsidTr="008710A1">
        <w:tc>
          <w:tcPr>
            <w:tcW w:w="2123" w:type="dxa"/>
          </w:tcPr>
          <w:p w14:paraId="47EE8A99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color w:val="0F1115"/>
              </w:rPr>
              <w:t>405</w:t>
            </w:r>
          </w:p>
        </w:tc>
        <w:tc>
          <w:tcPr>
            <w:tcW w:w="2123" w:type="dxa"/>
          </w:tcPr>
          <w:p w14:paraId="2547DBF0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3.45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2124" w:type="dxa"/>
            <w:vAlign w:val="center"/>
          </w:tcPr>
          <w:p w14:paraId="50CD3D2F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2.15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2124" w:type="dxa"/>
            <w:vAlign w:val="center"/>
          </w:tcPr>
          <w:p w14:paraId="6CB11A59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1.83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-5</w:t>
            </w:r>
          </w:p>
        </w:tc>
      </w:tr>
      <w:tr w:rsidR="007F07B5" w:rsidRPr="003B57D6" w14:paraId="26721DBD" w14:textId="77777777" w:rsidTr="008710A1">
        <w:tc>
          <w:tcPr>
            <w:tcW w:w="2123" w:type="dxa"/>
          </w:tcPr>
          <w:p w14:paraId="595CE573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color w:val="0F1115"/>
              </w:rPr>
              <w:t>440</w:t>
            </w:r>
          </w:p>
        </w:tc>
        <w:tc>
          <w:tcPr>
            <w:tcW w:w="2123" w:type="dxa"/>
          </w:tcPr>
          <w:p w14:paraId="5BDB52D4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4.64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2124" w:type="dxa"/>
            <w:vAlign w:val="center"/>
          </w:tcPr>
          <w:p w14:paraId="080577FE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5.8 × 10⁻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2124" w:type="dxa"/>
            <w:vAlign w:val="center"/>
          </w:tcPr>
          <w:p w14:paraId="54D9111B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3.66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-5</w:t>
            </w:r>
          </w:p>
        </w:tc>
      </w:tr>
      <w:tr w:rsidR="007F07B5" w:rsidRPr="003B57D6" w14:paraId="6C0E4722" w14:textId="77777777" w:rsidTr="008710A1">
        <w:tc>
          <w:tcPr>
            <w:tcW w:w="2123" w:type="dxa"/>
          </w:tcPr>
          <w:p w14:paraId="02EBA8D7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color w:val="0F1115"/>
              </w:rPr>
              <w:t>546</w:t>
            </w:r>
          </w:p>
        </w:tc>
        <w:tc>
          <w:tcPr>
            <w:tcW w:w="2123" w:type="dxa"/>
            <w:vAlign w:val="center"/>
          </w:tcPr>
          <w:p w14:paraId="25B8F708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1.14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16</w:t>
            </w:r>
          </w:p>
        </w:tc>
        <w:tc>
          <w:tcPr>
            <w:tcW w:w="2124" w:type="dxa"/>
            <w:vAlign w:val="center"/>
          </w:tcPr>
          <w:p w14:paraId="43E9A6DB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3.4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2124" w:type="dxa"/>
            <w:vAlign w:val="center"/>
          </w:tcPr>
          <w:p w14:paraId="75B2EBD5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8.70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-6</w:t>
            </w:r>
          </w:p>
        </w:tc>
      </w:tr>
      <w:tr w:rsidR="007F07B5" w:rsidRPr="003B57D6" w14:paraId="6178D895" w14:textId="77777777" w:rsidTr="008710A1">
        <w:tc>
          <w:tcPr>
            <w:tcW w:w="2123" w:type="dxa"/>
          </w:tcPr>
          <w:p w14:paraId="7ACBCDD2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  <w:color w:val="0F1115"/>
              </w:rPr>
              <w:t>568</w:t>
            </w:r>
          </w:p>
        </w:tc>
        <w:tc>
          <w:tcPr>
            <w:tcW w:w="2123" w:type="dxa"/>
            <w:vAlign w:val="center"/>
          </w:tcPr>
          <w:p w14:paraId="77A3F5D6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7.41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2124" w:type="dxa"/>
            <w:vAlign w:val="center"/>
          </w:tcPr>
          <w:p w14:paraId="681AF904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0.27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2124" w:type="dxa"/>
            <w:vAlign w:val="center"/>
          </w:tcPr>
          <w:p w14:paraId="6DD00C68" w14:textId="77777777" w:rsidR="007F07B5" w:rsidRPr="003B57D6" w:rsidRDefault="007F07B5" w:rsidP="008710A1">
            <w:pPr>
              <w:jc w:val="both"/>
              <w:rPr>
                <w:rFonts w:ascii="Times New Roman" w:eastAsia="Times New Roman" w:hAnsi="Times New Roman" w:cs="Times New Roman"/>
                <w:color w:val="0F1115"/>
              </w:rPr>
            </w:pPr>
            <w:r w:rsidRPr="003B57D6">
              <w:rPr>
                <w:rFonts w:ascii="Times New Roman" w:eastAsia="Times New Roman" w:hAnsi="Times New Roman" w:cs="Times New Roman"/>
              </w:rPr>
              <w:t>1.07 × 10</w:t>
            </w:r>
            <w:r w:rsidRPr="003B57D6">
              <w:rPr>
                <w:rFonts w:ascii="Times New Roman" w:eastAsia="Times New Roman" w:hAnsi="Times New Roman" w:cs="Times New Roman"/>
                <w:vertAlign w:val="superscript"/>
              </w:rPr>
              <w:t>-6</w:t>
            </w:r>
          </w:p>
        </w:tc>
      </w:tr>
    </w:tbl>
    <w:p w14:paraId="7419AE0F" w14:textId="77777777" w:rsidR="007F07B5" w:rsidRPr="003B57D6" w:rsidRDefault="007F07B5" w:rsidP="007F07B5">
      <w:pPr>
        <w:spacing w:after="0" w:line="240" w:lineRule="auto"/>
        <w:rPr>
          <w:rFonts w:ascii="Times New Roman" w:eastAsia="Times New Roman" w:hAnsi="Times New Roman" w:cs="Times New Roman"/>
          <w:color w:val="0F1115"/>
        </w:rPr>
      </w:pPr>
      <w:r w:rsidRPr="003B57D6">
        <w:rPr>
          <w:rFonts w:ascii="Times New Roman" w:eastAsia="Times New Roman" w:hAnsi="Times New Roman" w:cs="Times New Roman"/>
          <w:color w:val="0F1115"/>
          <w:vertAlign w:val="superscript"/>
        </w:rPr>
        <w:t>a</w:t>
      </w:r>
      <w:r w:rsidRPr="003B57D6">
        <w:rPr>
          <w:rFonts w:ascii="Times New Roman" w:eastAsia="Times New Roman" w:hAnsi="Times New Roman" w:cs="Times New Roman"/>
          <w:color w:val="0F1115"/>
        </w:rPr>
        <w:t xml:space="preserve"> Calculated assuming a quartz cell volume of 3 cm</w:t>
      </w:r>
      <w:r w:rsidRPr="003B57D6">
        <w:rPr>
          <w:rFonts w:ascii="Times New Roman" w:eastAsia="Times New Roman" w:hAnsi="Times New Roman" w:cs="Times New Roman"/>
          <w:color w:val="0F1115"/>
          <w:vertAlign w:val="superscript"/>
        </w:rPr>
        <w:t>3</w:t>
      </w:r>
      <w:r w:rsidRPr="003B57D6">
        <w:rPr>
          <w:rFonts w:ascii="Times New Roman" w:eastAsia="Times New Roman" w:hAnsi="Times New Roman" w:cs="Times New Roman"/>
          <w:color w:val="0F1115"/>
        </w:rPr>
        <w:t>: I</w:t>
      </w:r>
      <w:r w:rsidRPr="003B57D6">
        <w:rPr>
          <w:rFonts w:ascii="Times New Roman" w:eastAsia="Times New Roman" w:hAnsi="Times New Roman" w:cs="Times New Roman"/>
          <w:color w:val="0F1115"/>
          <w:vertAlign w:val="subscript"/>
        </w:rPr>
        <w:t>0</w:t>
      </w:r>
      <w:r w:rsidRPr="003B57D6">
        <w:rPr>
          <w:rFonts w:ascii="Times New Roman" w:eastAsia="Times New Roman" w:hAnsi="Times New Roman" w:cs="Times New Roman"/>
          <w:color w:val="0F1115"/>
        </w:rPr>
        <w:t> (photons s</w:t>
      </w:r>
      <w:r w:rsidRPr="003B57D6">
        <w:rPr>
          <w:rFonts w:ascii="Times New Roman" w:eastAsia="Times New Roman" w:hAnsi="Times New Roman" w:cs="Times New Roman"/>
          <w:color w:val="0F1115"/>
          <w:vertAlign w:val="superscript"/>
        </w:rPr>
        <w:t>-1</w:t>
      </w:r>
      <w:r w:rsidRPr="003B57D6">
        <w:rPr>
          <w:rFonts w:ascii="Times New Roman" w:eastAsia="Times New Roman" w:hAnsi="Times New Roman" w:cs="Times New Roman"/>
          <w:color w:val="0F1115"/>
        </w:rPr>
        <w:t>) = I</w:t>
      </w:r>
      <w:r w:rsidRPr="003B57D6">
        <w:rPr>
          <w:rFonts w:ascii="Times New Roman" w:eastAsia="Times New Roman" w:hAnsi="Times New Roman" w:cs="Times New Roman"/>
          <w:color w:val="0F1115"/>
          <w:vertAlign w:val="subscript"/>
        </w:rPr>
        <w:t>0</w:t>
      </w:r>
      <w:r w:rsidRPr="003B57D6">
        <w:rPr>
          <w:rFonts w:ascii="Times New Roman" w:eastAsia="Times New Roman" w:hAnsi="Times New Roman" w:cs="Times New Roman"/>
          <w:color w:val="0F1115"/>
        </w:rPr>
        <w:t> (M s</w:t>
      </w:r>
      <w:r w:rsidRPr="003B57D6">
        <w:rPr>
          <w:rFonts w:ascii="Times New Roman" w:eastAsia="Times New Roman" w:hAnsi="Times New Roman" w:cs="Times New Roman"/>
          <w:color w:val="0F1115"/>
          <w:vertAlign w:val="superscript"/>
        </w:rPr>
        <w:t>-1</w:t>
      </w:r>
      <w:r w:rsidRPr="003B57D6">
        <w:rPr>
          <w:rFonts w:ascii="Times New Roman" w:eastAsia="Times New Roman" w:hAnsi="Times New Roman" w:cs="Times New Roman"/>
          <w:color w:val="0F1115"/>
        </w:rPr>
        <w:t>) × 0.003 L × 6.022 × 10</w:t>
      </w:r>
      <w:r w:rsidRPr="003B57D6">
        <w:rPr>
          <w:rFonts w:ascii="Times New Roman" w:eastAsia="Times New Roman" w:hAnsi="Times New Roman" w:cs="Times New Roman"/>
          <w:color w:val="0F1115"/>
          <w:vertAlign w:val="superscript"/>
        </w:rPr>
        <w:t>23</w:t>
      </w:r>
      <w:r w:rsidRPr="003B57D6">
        <w:rPr>
          <w:rFonts w:ascii="Times New Roman" w:eastAsia="Times New Roman" w:hAnsi="Times New Roman" w:cs="Times New Roman"/>
          <w:color w:val="0F1115"/>
        </w:rPr>
        <w:t xml:space="preserve"> mol</w:t>
      </w:r>
      <w:r w:rsidRPr="003B57D6">
        <w:rPr>
          <w:rFonts w:ascii="Times New Roman" w:eastAsia="Times New Roman" w:hAnsi="Times New Roman" w:cs="Times New Roman"/>
          <w:color w:val="0F1115"/>
          <w:vertAlign w:val="superscript"/>
        </w:rPr>
        <w:t>-1</w:t>
      </w:r>
      <w:r w:rsidRPr="003B57D6">
        <w:rPr>
          <w:rFonts w:ascii="Times New Roman" w:eastAsia="Times New Roman" w:hAnsi="Times New Roman" w:cs="Times New Roman"/>
          <w:color w:val="0F1115"/>
        </w:rPr>
        <w:t>.</w:t>
      </w:r>
      <w:r w:rsidRPr="003B57D6">
        <w:rPr>
          <w:rFonts w:ascii="Times New Roman" w:eastAsia="Times New Roman" w:hAnsi="Times New Roman" w:cs="Times New Roman"/>
          <w:color w:val="0F1115"/>
        </w:rPr>
        <w:br/>
      </w:r>
    </w:p>
    <w:p w14:paraId="18375ECD" w14:textId="77777777" w:rsidR="007F07B5" w:rsidRPr="008004C4" w:rsidRDefault="007F07B5" w:rsidP="007F07B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s-AR"/>
        </w:rPr>
      </w:pPr>
    </w:p>
    <w:p w14:paraId="678FA9E6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9A93DED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A5133B0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054917E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4FB301E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B467957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043C8BB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F90A48A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968E6AB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FF29B84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87F8341" w14:textId="77777777" w:rsidR="0036193D" w:rsidRDefault="0036193D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F3CA0F0" w14:textId="79450937" w:rsidR="007F07B5" w:rsidRPr="00E216F8" w:rsidRDefault="007F07B5" w:rsidP="007F07B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Figure S1</w:t>
      </w:r>
      <w:r w:rsidR="00EB616C"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  <w:b/>
          <w:bCs/>
        </w:rPr>
        <w:t xml:space="preserve">. </w:t>
      </w:r>
      <w:r>
        <w:rPr>
          <w:rFonts w:ascii="Times New Roman" w:eastAsia="Times New Roman" w:hAnsi="Times New Roman" w:cs="Times New Roman"/>
          <w:color w:val="0F1115"/>
          <w:highlight w:val="white"/>
        </w:rPr>
        <w:t>Apparent quantum efficiency (Φ</w:t>
      </w:r>
      <w:r>
        <w:rPr>
          <w:rFonts w:ascii="Times New Roman" w:eastAsia="Times New Roman" w:hAnsi="Times New Roman" w:cs="Times New Roman"/>
          <w:color w:val="0F1115"/>
          <w:highlight w:val="white"/>
          <w:vertAlign w:val="subscript"/>
        </w:rPr>
        <w:t>app</w:t>
      </w:r>
      <w:r>
        <w:rPr>
          <w:rFonts w:ascii="Times New Roman" w:eastAsia="Times New Roman" w:hAnsi="Times New Roman" w:cs="Times New Roman"/>
          <w:color w:val="0F1115"/>
          <w:highlight w:val="white"/>
        </w:rPr>
        <w:t>) for Cr(VI) photoreduction as a function of excitation wavelength for the NC25 nanocomposite. The maximum efficiency is observed at 333 nm (Φ</w:t>
      </w:r>
      <w:r>
        <w:rPr>
          <w:rFonts w:ascii="Times New Roman" w:eastAsia="Times New Roman" w:hAnsi="Times New Roman" w:cs="Times New Roman"/>
          <w:color w:val="0F1115"/>
          <w:highlight w:val="white"/>
          <w:vertAlign w:val="subscript"/>
        </w:rPr>
        <w:t>app</w:t>
      </w:r>
      <w:sdt>
        <w:sdtPr>
          <w:tag w:val="goog_rdk_2"/>
          <w:id w:val="-449726747"/>
        </w:sdtPr>
        <w:sdtEndPr/>
        <w:sdtContent>
          <w:r>
            <w:rPr>
              <w:rFonts w:ascii="Gungsuh" w:eastAsia="Gungsuh" w:hAnsi="Gungsuh" w:cs="Gungsuh"/>
              <w:color w:val="0F1115"/>
              <w:highlight w:val="white"/>
            </w:rPr>
            <w:t> ≈ 2.65 × 10</w:t>
          </w:r>
        </w:sdtContent>
      </w:sdt>
      <w:r>
        <w:rPr>
          <w:rFonts w:ascii="Times New Roman" w:eastAsia="Times New Roman" w:hAnsi="Times New Roman" w:cs="Times New Roman"/>
          <w:color w:val="0F1115"/>
          <w:highlight w:val="white"/>
          <w:vertAlign w:val="superscript"/>
        </w:rPr>
        <w:t>-4</w:t>
      </w:r>
      <w:r>
        <w:rPr>
          <w:rFonts w:ascii="Times New Roman" w:eastAsia="Times New Roman" w:hAnsi="Times New Roman" w:cs="Times New Roman"/>
          <w:color w:val="0F1115"/>
          <w:highlight w:val="white"/>
        </w:rPr>
        <w:t>), corresponding to dual excitation of both MIL-125-NH</w:t>
      </w:r>
      <w:r>
        <w:rPr>
          <w:vertAlign w:val="subscript"/>
        </w:rPr>
        <w:t>2</w:t>
      </w:r>
      <w:r>
        <w:rPr>
          <w:rFonts w:ascii="Times New Roman" w:eastAsia="Times New Roman" w:hAnsi="Times New Roman" w:cs="Times New Roman"/>
          <w:color w:val="0F1115"/>
          <w:highlight w:val="white"/>
        </w:rPr>
        <w:t xml:space="preserve"> and CZTS. A small shoulder is observed between 440 and 546 nm, where selective excitation of CZTS occurs</w:t>
      </w:r>
      <w:r w:rsidR="00E216F8">
        <w:rPr>
          <w:rFonts w:ascii="Times New Roman" w:eastAsia="Times New Roman" w:hAnsi="Times New Roman" w:cs="Times New Roman"/>
          <w:color w:val="0F1115"/>
          <w:highlight w:val="white"/>
        </w:rPr>
        <w:t>.</w:t>
      </w:r>
      <w:r w:rsidR="00E216F8" w:rsidRPr="00E216F8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E216F8" w:rsidRPr="00E216F8">
        <w:rPr>
          <w:rFonts w:ascii="Times New Roman" w:hAnsi="Times New Roman" w:cs="Times New Roman"/>
          <w:color w:val="0F1115"/>
          <w:shd w:val="clear" w:color="auto" w:fill="FFFFFF"/>
        </w:rPr>
        <w:t>The wavelength</w:t>
      </w:r>
      <w:r w:rsidR="00E216F8" w:rsidRPr="00E216F8">
        <w:rPr>
          <w:rFonts w:ascii="Times New Roman" w:hAnsi="Times New Roman" w:cs="Times New Roman"/>
          <w:color w:val="0F1115"/>
          <w:shd w:val="clear" w:color="auto" w:fill="FFFFFF"/>
        </w:rPr>
        <w:noBreakHyphen/>
        <w:t>dependent behavior is consistent with the type</w:t>
      </w:r>
      <w:r w:rsidR="00E216F8" w:rsidRPr="00E216F8">
        <w:rPr>
          <w:rFonts w:ascii="Times New Roman" w:hAnsi="Times New Roman" w:cs="Times New Roman"/>
          <w:color w:val="0F1115"/>
          <w:shd w:val="clear" w:color="auto" w:fill="FFFFFF"/>
        </w:rPr>
        <w:noBreakHyphen/>
        <w:t>II heterojunction charge</w:t>
      </w:r>
      <w:r w:rsidR="00E216F8" w:rsidRPr="00E216F8">
        <w:rPr>
          <w:rFonts w:ascii="Times New Roman" w:hAnsi="Times New Roman" w:cs="Times New Roman"/>
          <w:color w:val="0F1115"/>
          <w:shd w:val="clear" w:color="auto" w:fill="FFFFFF"/>
        </w:rPr>
        <w:noBreakHyphen/>
        <w:t>transfer mechanism discussed in the main text. Error bars represent the standard deviation from three independent measurements.</w:t>
      </w:r>
      <w:r w:rsidRPr="00E216F8">
        <w:rPr>
          <w:rFonts w:ascii="Times New Roman" w:eastAsia="Times New Roman" w:hAnsi="Times New Roman" w:cs="Times New Roman"/>
          <w:color w:val="0F1115"/>
          <w:highlight w:val="white"/>
        </w:rPr>
        <w:t xml:space="preserve"> </w:t>
      </w:r>
    </w:p>
    <w:p w14:paraId="73F6CF15" w14:textId="77777777" w:rsidR="007F07B5" w:rsidRDefault="007F07B5" w:rsidP="007F07B5">
      <w:r>
        <w:rPr>
          <w:noProof/>
          <w:lang w:val="es-AR"/>
        </w:rPr>
        <w:drawing>
          <wp:inline distT="0" distB="0" distL="0" distR="0" wp14:anchorId="04E84E00" wp14:editId="5F04FDA3">
            <wp:extent cx="5400040" cy="4131945"/>
            <wp:effectExtent l="0" t="0" r="0" b="190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12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345CC" w14:textId="77777777" w:rsidR="007F07B5" w:rsidRDefault="007F07B5" w:rsidP="007F07B5"/>
    <w:p w14:paraId="074995FA" w14:textId="77777777" w:rsidR="008710A1" w:rsidRDefault="008710A1"/>
    <w:sectPr w:rsidR="008710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altName w:val="Malgun Gothic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B5"/>
    <w:rsid w:val="00054F08"/>
    <w:rsid w:val="00096F23"/>
    <w:rsid w:val="0025556B"/>
    <w:rsid w:val="002D47B9"/>
    <w:rsid w:val="003130D0"/>
    <w:rsid w:val="0036193D"/>
    <w:rsid w:val="00554CD5"/>
    <w:rsid w:val="005A51A3"/>
    <w:rsid w:val="005D7509"/>
    <w:rsid w:val="006F78BF"/>
    <w:rsid w:val="007C08EB"/>
    <w:rsid w:val="007F07B5"/>
    <w:rsid w:val="008710A1"/>
    <w:rsid w:val="00991147"/>
    <w:rsid w:val="009F7F57"/>
    <w:rsid w:val="00E216F8"/>
    <w:rsid w:val="00E60DE7"/>
    <w:rsid w:val="00EB616C"/>
    <w:rsid w:val="00F16A67"/>
    <w:rsid w:val="00F3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65EFDB"/>
  <w15:chartTrackingRefBased/>
  <w15:docId w15:val="{BC549991-2906-434F-A1C7-45EDCD0F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F07B5"/>
    <w:rPr>
      <w:rFonts w:ascii="Calibri" w:eastAsia="Calibri" w:hAnsi="Calibri" w:cs="Calibri"/>
      <w:lang w:val="en" w:eastAsia="es-AR"/>
    </w:rPr>
  </w:style>
  <w:style w:type="paragraph" w:styleId="Ttulo2">
    <w:name w:val="heading 2"/>
    <w:basedOn w:val="Normal"/>
    <w:next w:val="Normal"/>
    <w:link w:val="Ttulo2Car"/>
    <w:rsid w:val="007F07B5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F07B5"/>
    <w:rPr>
      <w:rFonts w:ascii="Calibri" w:eastAsia="Calibri" w:hAnsi="Calibri" w:cs="Calibri"/>
      <w:color w:val="2E75B5"/>
      <w:sz w:val="26"/>
      <w:szCs w:val="26"/>
      <w:lang w:val="en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0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07B5"/>
    <w:rPr>
      <w:rFonts w:ascii="Segoe UI" w:eastAsia="Calibri" w:hAnsi="Segoe UI" w:cs="Segoe UI"/>
      <w:sz w:val="18"/>
      <w:szCs w:val="18"/>
      <w:lang w:val="en" w:eastAsia="es-AR"/>
    </w:rPr>
  </w:style>
  <w:style w:type="character" w:styleId="Textoennegrita">
    <w:name w:val="Strong"/>
    <w:basedOn w:val="Fuentedeprrafopredeter"/>
    <w:uiPriority w:val="22"/>
    <w:qFormat/>
    <w:rsid w:val="002D47B9"/>
    <w:rPr>
      <w:b/>
      <w:bCs/>
    </w:rPr>
  </w:style>
  <w:style w:type="character" w:customStyle="1" w:styleId="ds-markdown-html">
    <w:name w:val="ds-markdown-html"/>
    <w:basedOn w:val="Fuentedeprrafopredeter"/>
    <w:rsid w:val="00E216F8"/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Calibri" w:eastAsia="Calibri" w:hAnsi="Calibri" w:cs="Calibri"/>
      <w:sz w:val="20"/>
      <w:szCs w:val="20"/>
      <w:lang w:val="en"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6A6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6A67"/>
    <w:rPr>
      <w:rFonts w:ascii="Calibri" w:eastAsia="Calibri" w:hAnsi="Calibri" w:cs="Calibri"/>
      <w:b/>
      <w:bCs/>
      <w:sz w:val="20"/>
      <w:szCs w:val="20"/>
      <w:lang w:val="en" w:eastAsia="es-AR"/>
    </w:rPr>
  </w:style>
  <w:style w:type="character" w:styleId="Textodelmarcadordeposicin">
    <w:name w:val="Placeholder Text"/>
    <w:basedOn w:val="Fuentedeprrafopredeter"/>
    <w:uiPriority w:val="99"/>
    <w:semiHidden/>
    <w:rsid w:val="005D75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12" Type="http://schemas.openxmlformats.org/officeDocument/2006/relationships/image" Target="media/image9.t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png"/><Relationship Id="rId5" Type="http://schemas.openxmlformats.org/officeDocument/2006/relationships/image" Target="media/image2.tif"/><Relationship Id="rId15" Type="http://schemas.openxmlformats.org/officeDocument/2006/relationships/image" Target="media/image12.tif"/><Relationship Id="rId10" Type="http://schemas.openxmlformats.org/officeDocument/2006/relationships/image" Target="media/image7.tif"/><Relationship Id="rId4" Type="http://schemas.openxmlformats.org/officeDocument/2006/relationships/image" Target="media/image1.tiff"/><Relationship Id="rId9" Type="http://schemas.openxmlformats.org/officeDocument/2006/relationships/image" Target="media/image6.tif"/><Relationship Id="rId14" Type="http://schemas.openxmlformats.org/officeDocument/2006/relationships/image" Target="media/image11.t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805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2026-07-29T21:34:00Z</dcterms:created>
  <dcterms:modified xsi:type="dcterms:W3CDTF">2026-08-31T12:04:00Z</dcterms:modified>
</cp:coreProperties>
</file>