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B1D" w:rsidRDefault="00A26B1D" w:rsidP="00A26B1D">
      <w:pPr>
        <w:spacing w:beforeLines="20" w:before="48" w:afterLines="20" w:after="48"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Supplementary Information</w:t>
      </w:r>
      <w:bookmarkStart w:id="0" w:name="_GoBack"/>
      <w:bookmarkEnd w:id="0"/>
    </w:p>
    <w:p w:rsidR="00E53A97" w:rsidRPr="00A26B1D" w:rsidRDefault="00A27093" w:rsidP="00A26B1D">
      <w:pPr>
        <w:spacing w:beforeLines="20" w:before="48" w:afterLines="20" w:after="48" w:line="360" w:lineRule="auto"/>
        <w:jc w:val="center"/>
        <w:rPr>
          <w:rFonts w:ascii="Times New Roman" w:hAnsi="Times New Roman" w:cs="Times New Roman"/>
          <w:color w:val="000000" w:themeColor="text1"/>
          <w:sz w:val="24"/>
          <w:szCs w:val="24"/>
        </w:rPr>
      </w:pPr>
      <w:r w:rsidRPr="00A26B1D">
        <w:rPr>
          <w:rFonts w:ascii="Times New Roman" w:hAnsi="Times New Roman" w:cs="Times New Roman"/>
          <w:b/>
          <w:color w:val="000000" w:themeColor="text1"/>
          <w:sz w:val="24"/>
          <w:szCs w:val="24"/>
        </w:rPr>
        <w:t>PromoterForge: Computational Platform for T Cell-Specific Synthetic Promoter Design</w:t>
      </w:r>
    </w:p>
    <w:p w:rsidR="00A26B1D" w:rsidRPr="00A26B1D" w:rsidRDefault="00A26B1D" w:rsidP="00A26B1D">
      <w:pPr>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spacing w:beforeLines="20" w:before="48" w:afterLines="20" w:after="48" w:line="360" w:lineRule="auto"/>
        <w:jc w:val="both"/>
        <w:rPr>
          <w:rFonts w:ascii="Times New Roman" w:hAnsi="Times New Roman" w:cs="Times New Roman"/>
          <w:b/>
          <w:color w:val="000000" w:themeColor="text1"/>
          <w:sz w:val="24"/>
          <w:szCs w:val="24"/>
        </w:rPr>
      </w:pPr>
      <w:r w:rsidRPr="00A26B1D">
        <w:rPr>
          <w:rFonts w:ascii="Times New Roman" w:hAnsi="Times New Roman" w:cs="Times New Roman"/>
          <w:b/>
          <w:color w:val="000000" w:themeColor="text1"/>
          <w:sz w:val="24"/>
          <w:szCs w:val="24"/>
        </w:rPr>
        <w:t>Data Sources and Integration</w:t>
      </w: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CellxGene Census Single-Cell R</w:t>
      </w:r>
      <w:r w:rsidRPr="00A26B1D">
        <w:rPr>
          <w:rFonts w:ascii="Times New Roman" w:hAnsi="Times New Roman" w:cs="Times New Roman"/>
          <w:color w:val="000000" w:themeColor="text1"/>
          <w:sz w:val="24"/>
          <w:szCs w:val="24"/>
        </w:rPr>
        <w:t>NA Sequencing Data</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 CellxGene Census represents the largest publicly available collection of standardized single-cell RNA sequencing data, providing unprecedented resolution for characterizing cell type-specific gene expression. We accessed the Census d</w:t>
      </w:r>
      <w:r w:rsidRPr="00A26B1D">
        <w:rPr>
          <w:rFonts w:ascii="Times New Roman" w:hAnsi="Times New Roman" w:cs="Times New Roman"/>
          <w:color w:val="000000" w:themeColor="text1"/>
          <w:sz w:val="24"/>
          <w:szCs w:val="24"/>
        </w:rPr>
        <w:t>atabase to obtain expression profiles from 33,194,067 human cells encompassing diverse tissue types, developmental stages, and disease states. Within this dataset, we identified 14,270,543 T cells based on standardized cell type annotations, comprising app</w:t>
      </w:r>
      <w:r w:rsidRPr="00A26B1D">
        <w:rPr>
          <w:rFonts w:ascii="Times New Roman" w:hAnsi="Times New Roman" w:cs="Times New Roman"/>
          <w:color w:val="000000" w:themeColor="text1"/>
          <w:sz w:val="24"/>
          <w:szCs w:val="24"/>
        </w:rPr>
        <w:t>roximately 43 percent of the total cell population. The remaining 18,923,524 non-T cells served as the background population for specificity calculations. T cells were stratified into 12 distinct subtypes: CD8 positive cytotoxic T cells, CD4 positive helpe</w:t>
      </w:r>
      <w:r w:rsidRPr="00A26B1D">
        <w:rPr>
          <w:rFonts w:ascii="Times New Roman" w:hAnsi="Times New Roman" w:cs="Times New Roman"/>
          <w:color w:val="000000" w:themeColor="text1"/>
          <w:sz w:val="24"/>
          <w:szCs w:val="24"/>
        </w:rPr>
        <w:t>r T cells, regulatory T cells, naive CD4 positive T cells, naive CD8 positive T cells, effector CD8 positive T cells, central memory CD4 positive T cells, gamma-delta T cells, natural killer T cells, mucosal-associated invariant T cells, exhausted T cells,</w:t>
      </w:r>
      <w:r w:rsidRPr="00A26B1D">
        <w:rPr>
          <w:rFonts w:ascii="Times New Roman" w:hAnsi="Times New Roman" w:cs="Times New Roman"/>
          <w:color w:val="000000" w:themeColor="text1"/>
          <w:sz w:val="24"/>
          <w:szCs w:val="24"/>
        </w:rPr>
        <w:t xml:space="preserve"> and cytotoxic T lymphocytes. For each gene, mean expression levels were computed across T cell and non-T cell populations following standard single-cell preprocessing including library size normalization and log transformation. The detection rate, defined</w:t>
      </w:r>
      <w:r w:rsidRPr="00A26B1D">
        <w:rPr>
          <w:rFonts w:ascii="Times New Roman" w:hAnsi="Times New Roman" w:cs="Times New Roman"/>
          <w:color w:val="000000" w:themeColor="text1"/>
          <w:sz w:val="24"/>
          <w:szCs w:val="24"/>
        </w:rPr>
        <w:t xml:space="preserve"> as the proportion of T cells expressing each gene above background threshold, was calculated to assess consistency of expression across the T cell population.</w:t>
      </w:r>
    </w:p>
    <w:p w:rsidR="00A26B1D" w:rsidRDefault="00A26B1D"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roofErr w:type="spellStart"/>
      <w:r w:rsidRPr="00A26B1D">
        <w:rPr>
          <w:rFonts w:ascii="Times New Roman" w:hAnsi="Times New Roman" w:cs="Times New Roman"/>
          <w:color w:val="000000" w:themeColor="text1"/>
          <w:sz w:val="24"/>
          <w:szCs w:val="24"/>
        </w:rPr>
        <w:t>GTEx</w:t>
      </w:r>
      <w:proofErr w:type="spellEnd"/>
      <w:r w:rsidRPr="00A26B1D">
        <w:rPr>
          <w:rFonts w:ascii="Times New Roman" w:hAnsi="Times New Roman" w:cs="Times New Roman"/>
          <w:color w:val="000000" w:themeColor="text1"/>
          <w:sz w:val="24"/>
          <w:szCs w:val="24"/>
        </w:rPr>
        <w:t xml:space="preserve"> Tissue Expression Atlas</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 Genotype-Tissue Expression project provides comprehensive tissu</w:t>
      </w:r>
      <w:r w:rsidRPr="00A26B1D">
        <w:rPr>
          <w:rFonts w:ascii="Times New Roman" w:hAnsi="Times New Roman" w:cs="Times New Roman"/>
          <w:color w:val="000000" w:themeColor="text1"/>
          <w:sz w:val="24"/>
          <w:szCs w:val="24"/>
        </w:rPr>
        <w:t>e-level gene expression data across 54 human tissues from 17,382 samples, serving as the reference for safety assessment. For each gene, expression values in transcripts per million were retrieved across ten key tissues: whole blood, spleen, lung, heart, b</w:t>
      </w:r>
      <w:r w:rsidRPr="00A26B1D">
        <w:rPr>
          <w:rFonts w:ascii="Times New Roman" w:hAnsi="Times New Roman" w:cs="Times New Roman"/>
          <w:color w:val="000000" w:themeColor="text1"/>
          <w:sz w:val="24"/>
          <w:szCs w:val="24"/>
        </w:rPr>
        <w:t>rain, liver, kidney, pancreas, skeletal muscle, and skin. Blood and spleen expression served as positive controls for T cell-associated genes, while expression in heart, brain, liver, and other vital organs represented potential safety concerns. Tissue saf</w:t>
      </w:r>
      <w:r w:rsidRPr="00A26B1D">
        <w:rPr>
          <w:rFonts w:ascii="Times New Roman" w:hAnsi="Times New Roman" w:cs="Times New Roman"/>
          <w:color w:val="000000" w:themeColor="text1"/>
          <w:sz w:val="24"/>
          <w:szCs w:val="24"/>
        </w:rPr>
        <w:t xml:space="preserve">ety scores were computed as composite metrics penalizing genes with elevated expression in non-lymphoid tissues, with thresholds of 1 </w:t>
      </w:r>
      <w:proofErr w:type="gramStart"/>
      <w:r w:rsidRPr="00A26B1D">
        <w:rPr>
          <w:rFonts w:ascii="Times New Roman" w:hAnsi="Times New Roman" w:cs="Times New Roman"/>
          <w:color w:val="000000" w:themeColor="text1"/>
          <w:sz w:val="24"/>
          <w:szCs w:val="24"/>
        </w:rPr>
        <w:t>transcripts</w:t>
      </w:r>
      <w:proofErr w:type="gramEnd"/>
      <w:r w:rsidRPr="00A26B1D">
        <w:rPr>
          <w:rFonts w:ascii="Times New Roman" w:hAnsi="Times New Roman" w:cs="Times New Roman"/>
          <w:color w:val="000000" w:themeColor="text1"/>
          <w:sz w:val="24"/>
          <w:szCs w:val="24"/>
        </w:rPr>
        <w:t xml:space="preserve"> per million for heart, 0.5 </w:t>
      </w:r>
      <w:r w:rsidRPr="00A26B1D">
        <w:rPr>
          <w:rFonts w:ascii="Times New Roman" w:hAnsi="Times New Roman" w:cs="Times New Roman"/>
          <w:color w:val="000000" w:themeColor="text1"/>
          <w:sz w:val="24"/>
          <w:szCs w:val="24"/>
        </w:rPr>
        <w:lastRenderedPageBreak/>
        <w:t>transcripts per million for brain, and 2 transcripts per million for liver. This as</w:t>
      </w:r>
      <w:r w:rsidRPr="00A26B1D">
        <w:rPr>
          <w:rFonts w:ascii="Times New Roman" w:hAnsi="Times New Roman" w:cs="Times New Roman"/>
          <w:color w:val="000000" w:themeColor="text1"/>
          <w:sz w:val="24"/>
          <w:szCs w:val="24"/>
        </w:rPr>
        <w:t>sessment ensures synthetic promoters designed for T cell-specific expression do not inadvertently drive transgene expression in tissues where such expression could be harmful.</w:t>
      </w:r>
    </w:p>
    <w:p w:rsidR="00A26B1D" w:rsidRDefault="00A26B1D"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JASPAR Transcription Factor Binding Motifs</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 JASPAR 2024 database provides cur</w:t>
      </w:r>
      <w:r w:rsidRPr="00A26B1D">
        <w:rPr>
          <w:rFonts w:ascii="Times New Roman" w:hAnsi="Times New Roman" w:cs="Times New Roman"/>
          <w:color w:val="000000" w:themeColor="text1"/>
          <w:sz w:val="24"/>
          <w:szCs w:val="24"/>
        </w:rPr>
        <w:t>ated transcription factor binding profiles. We assembled a library of 25 transcription factors with documented roles in T cell biology, extracting consensus binding motifs as position weight matrices. Selected factors span multiple functional categories: l</w:t>
      </w:r>
      <w:r w:rsidRPr="00A26B1D">
        <w:rPr>
          <w:rFonts w:ascii="Times New Roman" w:hAnsi="Times New Roman" w:cs="Times New Roman"/>
          <w:color w:val="000000" w:themeColor="text1"/>
          <w:sz w:val="24"/>
          <w:szCs w:val="24"/>
        </w:rPr>
        <w:t>ineage-determining factors including FOXP3, TBX21, GATA3, and RORC; activation-responsive factors including NFAT family members, NF-kappa B components, and AP-1 complex members; and developmental factors including TCF7, LEF1, BCL11B, and RUNX family member</w:t>
      </w:r>
      <w:r w:rsidRPr="00A26B1D">
        <w:rPr>
          <w:rFonts w:ascii="Times New Roman" w:hAnsi="Times New Roman" w:cs="Times New Roman"/>
          <w:color w:val="000000" w:themeColor="text1"/>
          <w:sz w:val="24"/>
          <w:szCs w:val="24"/>
        </w:rPr>
        <w:t>s. Each transcription factor was annotated with T cell specificity scores derived from CellxGene expression data and classified as either activation-dependent (requiring TCR and CD28 stimulation for nuclear translocation) or constitutive (active in resting</w:t>
      </w:r>
      <w:r w:rsidRPr="00A26B1D">
        <w:rPr>
          <w:rFonts w:ascii="Times New Roman" w:hAnsi="Times New Roman" w:cs="Times New Roman"/>
          <w:color w:val="000000" w:themeColor="text1"/>
          <w:sz w:val="24"/>
          <w:szCs w:val="24"/>
        </w:rPr>
        <w:t xml:space="preserve"> T cells). This classification is critical for designing promoters with appropriate temporal expression patterns.</w:t>
      </w:r>
    </w:p>
    <w:p w:rsidR="00A26B1D" w:rsidRDefault="00A26B1D"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Ensembl Genome Reference and COSMIC Cancer Gene Census</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 Ensembl genome browser GRCh38 assembly served as reference for retrieving native pr</w:t>
      </w:r>
      <w:r w:rsidRPr="00A26B1D">
        <w:rPr>
          <w:rFonts w:ascii="Times New Roman" w:hAnsi="Times New Roman" w:cs="Times New Roman"/>
          <w:color w:val="000000" w:themeColor="text1"/>
          <w:sz w:val="24"/>
          <w:szCs w:val="24"/>
        </w:rPr>
        <w:t xml:space="preserve">omoter sequences. For each gene, the 500 base pair </w:t>
      </w:r>
      <w:proofErr w:type="gramStart"/>
      <w:r w:rsidRPr="00A26B1D">
        <w:rPr>
          <w:rFonts w:ascii="Times New Roman" w:hAnsi="Times New Roman" w:cs="Times New Roman"/>
          <w:color w:val="000000" w:themeColor="text1"/>
          <w:sz w:val="24"/>
          <w:szCs w:val="24"/>
        </w:rPr>
        <w:t>region</w:t>
      </w:r>
      <w:proofErr w:type="gramEnd"/>
      <w:r w:rsidRPr="00A26B1D">
        <w:rPr>
          <w:rFonts w:ascii="Times New Roman" w:hAnsi="Times New Roman" w:cs="Times New Roman"/>
          <w:color w:val="000000" w:themeColor="text1"/>
          <w:sz w:val="24"/>
          <w:szCs w:val="24"/>
        </w:rPr>
        <w:t xml:space="preserve"> immediately upstream of the annotated transcription start site was extracted, representing the proximal promoter region containing the majority of regulatory elements. Native promoter sequences prov</w:t>
      </w:r>
      <w:r w:rsidRPr="00A26B1D">
        <w:rPr>
          <w:rFonts w:ascii="Times New Roman" w:hAnsi="Times New Roman" w:cs="Times New Roman"/>
          <w:color w:val="000000" w:themeColor="text1"/>
          <w:sz w:val="24"/>
          <w:szCs w:val="24"/>
        </w:rPr>
        <w:t>ided reference for comparison with synthetic designs and enabled identification of endogenous transcription factor binding sites. The COSMIC Cancer Gene Census v101 provided a curated list of 753 genes with documented roles in oncogenesis. All candidate ge</w:t>
      </w:r>
      <w:r w:rsidRPr="00A26B1D">
        <w:rPr>
          <w:rFonts w:ascii="Times New Roman" w:hAnsi="Times New Roman" w:cs="Times New Roman"/>
          <w:color w:val="000000" w:themeColor="text1"/>
          <w:sz w:val="24"/>
          <w:szCs w:val="24"/>
        </w:rPr>
        <w:t>nes were cross-referenced against this database, with cancer-associated genes flagged and excluded from primary consideration to reduce the risk of insertional oncogenesis in therapeutic applications.</w:t>
      </w:r>
    </w:p>
    <w:p w:rsidR="00A26B1D" w:rsidRDefault="00A26B1D"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Computational Methods</w:t>
      </w: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 Cell-Specific Gene Identificati</w:t>
      </w:r>
      <w:r w:rsidRPr="00A26B1D">
        <w:rPr>
          <w:rFonts w:ascii="Times New Roman" w:hAnsi="Times New Roman" w:cs="Times New Roman"/>
          <w:color w:val="000000" w:themeColor="text1"/>
          <w:sz w:val="24"/>
          <w:szCs w:val="24"/>
        </w:rPr>
        <w:t>on and Ranking</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Gene identification was performed using a multi-parameter ranking algorithm integrating four complementary metrics. The T cell specificity score quantifies preferential expression in T cells relative to other cell types using the formula: Sp</w:t>
      </w:r>
      <w:r w:rsidRPr="00A26B1D">
        <w:rPr>
          <w:rFonts w:ascii="Times New Roman" w:hAnsi="Times New Roman" w:cs="Times New Roman"/>
          <w:color w:val="000000" w:themeColor="text1"/>
          <w:sz w:val="24"/>
          <w:szCs w:val="24"/>
        </w:rPr>
        <w:t>ecificity = T_cell_mean to (T_cell_mean plus Non_T_cell_mean), yielding values between 0 and 1 with higher values indicating greater specificity. The expression level score reflects absolute expression magnitude in T cells, normalized to a 0 to 10 scale ba</w:t>
      </w:r>
      <w:r w:rsidRPr="00A26B1D">
        <w:rPr>
          <w:rFonts w:ascii="Times New Roman" w:hAnsi="Times New Roman" w:cs="Times New Roman"/>
          <w:color w:val="000000" w:themeColor="text1"/>
          <w:sz w:val="24"/>
          <w:szCs w:val="24"/>
        </w:rPr>
        <w:t xml:space="preserve">sed on distribution across all genes. Log2 fold change quantifies differential expression on a logarithmic scale: Log2FC = log2(T_cell_mean plus 1) minus log2(Non_T_cell_mean plus 1), with values above 2 indicating at least fourfold higher expression in T </w:t>
      </w:r>
      <w:r w:rsidRPr="00A26B1D">
        <w:rPr>
          <w:rFonts w:ascii="Times New Roman" w:hAnsi="Times New Roman" w:cs="Times New Roman"/>
          <w:color w:val="000000" w:themeColor="text1"/>
          <w:sz w:val="24"/>
          <w:szCs w:val="24"/>
        </w:rPr>
        <w:t>cells. The detection rate measures expression consistency across the T cell population, calculated as the percentage of T cells expressing each gene above background threshold.</w:t>
      </w:r>
      <w:r w:rsidRPr="00A26B1D">
        <w:rPr>
          <w:rFonts w:ascii="Times New Roman" w:hAnsi="Times New Roman" w:cs="Times New Roman"/>
          <w:color w:val="000000" w:themeColor="text1"/>
          <w:sz w:val="24"/>
          <w:szCs w:val="24"/>
        </w:rPr>
        <w:br/>
      </w:r>
      <w:r w:rsidRPr="00A26B1D">
        <w:rPr>
          <w:rFonts w:ascii="Times New Roman" w:hAnsi="Times New Roman" w:cs="Times New Roman"/>
          <w:color w:val="000000" w:themeColor="text1"/>
          <w:sz w:val="24"/>
          <w:szCs w:val="24"/>
        </w:rPr>
        <w:br/>
        <w:t>These metrics were combined into a composite ranking score using empirically d</w:t>
      </w:r>
      <w:r w:rsidRPr="00A26B1D">
        <w:rPr>
          <w:rFonts w:ascii="Times New Roman" w:hAnsi="Times New Roman" w:cs="Times New Roman"/>
          <w:color w:val="000000" w:themeColor="text1"/>
          <w:sz w:val="24"/>
          <w:szCs w:val="24"/>
        </w:rPr>
        <w:t>etermined weights: Composite Score = (0.40 to specificity) plus (0.25 to expression) plus (0.20 to log2FC) plus (0.15 to detection rate). This weighting prioritizes specificity while incorporating expression strength, fold change, and consistency as second</w:t>
      </w:r>
      <w:r w:rsidRPr="00A26B1D">
        <w:rPr>
          <w:rFonts w:ascii="Times New Roman" w:hAnsi="Times New Roman" w:cs="Times New Roman"/>
          <w:color w:val="000000" w:themeColor="text1"/>
          <w:sz w:val="24"/>
          <w:szCs w:val="24"/>
        </w:rPr>
        <w:t>ary factors. All genes were ranked by composite score to identify optimal candidates for synthetic promoter design.</w:t>
      </w:r>
    </w:p>
    <w:p w:rsidR="00A26B1D" w:rsidRDefault="00A26B1D"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Transcription Factor Selection and Promoter Assembly</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Transcription factor selection was guided by a rule-based approach considering T cell s</w:t>
      </w:r>
      <w:r w:rsidRPr="00A26B1D">
        <w:rPr>
          <w:rFonts w:ascii="Times New Roman" w:hAnsi="Times New Roman" w:cs="Times New Roman"/>
          <w:color w:val="000000" w:themeColor="text1"/>
          <w:sz w:val="24"/>
          <w:szCs w:val="24"/>
        </w:rPr>
        <w:t>pecificity, functional category, and activation dependence. The platform maintained a curated library of 25 transcription factors organized into functional pools. The activation-responsive pool contained factors translocating to the nucleus following T cel</w:t>
      </w:r>
      <w:r w:rsidRPr="00A26B1D">
        <w:rPr>
          <w:rFonts w:ascii="Times New Roman" w:hAnsi="Times New Roman" w:cs="Times New Roman"/>
          <w:color w:val="000000" w:themeColor="text1"/>
          <w:sz w:val="24"/>
          <w:szCs w:val="24"/>
        </w:rPr>
        <w:t>l receptor and co-stimulatory signaling, including NFAT family members, NF-kappa B components, AP-1 complex members, and IRF4. The constitutive pool contained factors active in resting T cells, including lineage-determining factors such as FOXP3 and develo</w:t>
      </w:r>
      <w:r w:rsidRPr="00A26B1D">
        <w:rPr>
          <w:rFonts w:ascii="Times New Roman" w:hAnsi="Times New Roman" w:cs="Times New Roman"/>
          <w:color w:val="000000" w:themeColor="text1"/>
          <w:sz w:val="24"/>
          <w:szCs w:val="24"/>
        </w:rPr>
        <w:t xml:space="preserve">pmental factors such as TCF7 and LEF1. For each target gene, associated transcription factors were identified based on literature-curated gene-transcription </w:t>
      </w:r>
      <w:r w:rsidRPr="00A26B1D">
        <w:rPr>
          <w:rFonts w:ascii="Times New Roman" w:hAnsi="Times New Roman" w:cs="Times New Roman"/>
          <w:color w:val="000000" w:themeColor="text1"/>
          <w:sz w:val="24"/>
          <w:szCs w:val="24"/>
        </w:rPr>
        <w:lastRenderedPageBreak/>
        <w:t>factor relationships and supplemented with additional T cell-specific factors.</w:t>
      </w:r>
      <w:r w:rsidRPr="00A26B1D">
        <w:rPr>
          <w:rFonts w:ascii="Times New Roman" w:hAnsi="Times New Roman" w:cs="Times New Roman"/>
          <w:color w:val="000000" w:themeColor="text1"/>
          <w:sz w:val="24"/>
          <w:szCs w:val="24"/>
        </w:rPr>
        <w:br/>
      </w:r>
      <w:r w:rsidRPr="00A26B1D">
        <w:rPr>
          <w:rFonts w:ascii="Times New Roman" w:hAnsi="Times New Roman" w:cs="Times New Roman"/>
          <w:color w:val="000000" w:themeColor="text1"/>
          <w:sz w:val="24"/>
          <w:szCs w:val="24"/>
        </w:rPr>
        <w:br/>
        <w:t>Synthetic promoters</w:t>
      </w:r>
      <w:r w:rsidRPr="00A26B1D">
        <w:rPr>
          <w:rFonts w:ascii="Times New Roman" w:hAnsi="Times New Roman" w:cs="Times New Roman"/>
          <w:color w:val="000000" w:themeColor="text1"/>
          <w:sz w:val="24"/>
          <w:szCs w:val="24"/>
        </w:rPr>
        <w:t xml:space="preserve"> were assembled using modular architecture concatenating transcription factor binding sites with defined spacer sequences and core promoter elements. The architecture followed 5 </w:t>
      </w:r>
      <w:proofErr w:type="gramStart"/>
      <w:r w:rsidRPr="00A26B1D">
        <w:rPr>
          <w:rFonts w:ascii="Times New Roman" w:hAnsi="Times New Roman" w:cs="Times New Roman"/>
          <w:color w:val="000000" w:themeColor="text1"/>
          <w:sz w:val="24"/>
          <w:szCs w:val="24"/>
        </w:rPr>
        <w:t>prime</w:t>
      </w:r>
      <w:proofErr w:type="gramEnd"/>
      <w:r w:rsidRPr="00A26B1D">
        <w:rPr>
          <w:rFonts w:ascii="Times New Roman" w:hAnsi="Times New Roman" w:cs="Times New Roman"/>
          <w:color w:val="000000" w:themeColor="text1"/>
          <w:sz w:val="24"/>
          <w:szCs w:val="24"/>
        </w:rPr>
        <w:t xml:space="preserve"> to 3 prime organization with distal transcription response elements (100</w:t>
      </w:r>
      <w:r w:rsidRPr="00A26B1D">
        <w:rPr>
          <w:rFonts w:ascii="Times New Roman" w:hAnsi="Times New Roman" w:cs="Times New Roman"/>
          <w:color w:val="000000" w:themeColor="text1"/>
          <w:sz w:val="24"/>
          <w:szCs w:val="24"/>
        </w:rPr>
        <w:t xml:space="preserve"> to 200 base pairs upstream of core promoter), proximal transcription response elements (within 100 base pairs), spacer sequences (6 to 10 base pairs), and core promoter element (minimal TATA box positioned approximately 25 to 30 base pairs upstream of tra</w:t>
      </w:r>
      <w:r w:rsidRPr="00A26B1D">
        <w:rPr>
          <w:rFonts w:ascii="Times New Roman" w:hAnsi="Times New Roman" w:cs="Times New Roman"/>
          <w:color w:val="000000" w:themeColor="text1"/>
          <w:sz w:val="24"/>
          <w:szCs w:val="24"/>
        </w:rPr>
        <w:t>nscription start site). Individual transcription response elements typically contained 2 to 4 binding site copies. The assembly algorithm generated promoter sequences ranging from 100 to 300 base pairs, facilitating incorporation into viral vectors with li</w:t>
      </w:r>
      <w:r w:rsidRPr="00A26B1D">
        <w:rPr>
          <w:rFonts w:ascii="Times New Roman" w:hAnsi="Times New Roman" w:cs="Times New Roman"/>
          <w:color w:val="000000" w:themeColor="text1"/>
          <w:sz w:val="24"/>
          <w:szCs w:val="24"/>
        </w:rPr>
        <w:t>mited cargo capacity.</w:t>
      </w:r>
    </w:p>
    <w:p w:rsidR="00A26B1D" w:rsidRDefault="00A26B1D"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2"/>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Multi-Parameter Promoter Scoring</w:t>
      </w:r>
    </w:p>
    <w:p w:rsid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Each synthetic promoter was evaluated using a multi-parameter scoring system predicting functional performance across five dimensions. The expression score (0 to 10 scale) predicted transcriptional out</w:t>
      </w:r>
      <w:r w:rsidRPr="00A26B1D">
        <w:rPr>
          <w:rFonts w:ascii="Times New Roman" w:hAnsi="Times New Roman" w:cs="Times New Roman"/>
          <w:color w:val="000000" w:themeColor="text1"/>
          <w:sz w:val="24"/>
          <w:szCs w:val="24"/>
        </w:rPr>
        <w:t>put based on number and type of transcription response elements, with the formula: Expression Score = min(10, total_TREs times 1.2 plus activation_TREs times 0.5). The specificity score (0 to 10 scale) predicted T cell selectivity based on average specific</w:t>
      </w:r>
      <w:r w:rsidRPr="00A26B1D">
        <w:rPr>
          <w:rFonts w:ascii="Times New Roman" w:hAnsi="Times New Roman" w:cs="Times New Roman"/>
          <w:color w:val="000000" w:themeColor="text1"/>
          <w:sz w:val="24"/>
          <w:szCs w:val="24"/>
        </w:rPr>
        <w:t>ity of utilized transcription factors: Specificity Score = (sum of TF_specificity divided by N_TFs) times 10. The inducibility score (0 to 10 scale) predicted fold-induction upon T cell activation: Inducibility Score = (activation_TREs divided by total_TRE</w:t>
      </w:r>
      <w:r w:rsidRPr="00A26B1D">
        <w:rPr>
          <w:rFonts w:ascii="Times New Roman" w:hAnsi="Times New Roman" w:cs="Times New Roman"/>
          <w:color w:val="000000" w:themeColor="text1"/>
          <w:sz w:val="24"/>
          <w:szCs w:val="24"/>
        </w:rPr>
        <w:t>s) times 10. The safety score (0 to 10 scale) assessed risk profile based on promoter design: Safety Score = max(5, 10 minus (total_TREs minus activation_TREs) times 0.8). The quality score (0 to 10 scale) evaluated sequence properties including GC content</w:t>
      </w:r>
      <w:r w:rsidRPr="00A26B1D">
        <w:rPr>
          <w:rFonts w:ascii="Times New Roman" w:hAnsi="Times New Roman" w:cs="Times New Roman"/>
          <w:color w:val="000000" w:themeColor="text1"/>
          <w:sz w:val="24"/>
          <w:szCs w:val="24"/>
        </w:rPr>
        <w:t xml:space="preserve"> and length.</w:t>
      </w:r>
    </w:p>
    <w:p w:rsidR="00E53A97" w:rsidRPr="00A26B1D" w:rsidRDefault="00A27093" w:rsidP="00A26B1D">
      <w:pPr>
        <w:spacing w:beforeLines="20" w:before="48" w:afterLines="20" w:after="48" w:line="360" w:lineRule="auto"/>
        <w:ind w:firstLine="720"/>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These five scores were combined into a composite score using empirically determined weights: Composite Score = (0.25 to expression) plus (0.25 to specificity) plus (0.20 to inducibility) plus (0.20 to safety) plus (0.10 to quality). This weig</w:t>
      </w:r>
      <w:r w:rsidRPr="00A26B1D">
        <w:rPr>
          <w:rFonts w:ascii="Times New Roman" w:hAnsi="Times New Roman" w:cs="Times New Roman"/>
          <w:color w:val="000000" w:themeColor="text1"/>
          <w:sz w:val="24"/>
          <w:szCs w:val="24"/>
        </w:rPr>
        <w:t>hting prioritizes both expression strength and T cell specificity while incorporating inducibility, safety, and sequence quality considerations.</w:t>
      </w:r>
    </w:p>
    <w:p w:rsidR="00A26B1D" w:rsidRDefault="00A26B1D"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Platform Implementation and Availability</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The PromoterForge platform is implemented as an interactive web applic</w:t>
      </w:r>
      <w:r w:rsidRPr="00A26B1D">
        <w:rPr>
          <w:rFonts w:ascii="Times New Roman" w:hAnsi="Times New Roman" w:cs="Times New Roman"/>
          <w:color w:val="000000" w:themeColor="text1"/>
          <w:sz w:val="24"/>
          <w:szCs w:val="24"/>
        </w:rPr>
        <w:t>ation using modern web technologies. The user interface is built with HTML5, CSS3, and JavaScript, providing a responsive experience across devices. All computational analyses are performed client-side, ensuring data privacy. The platform comprises five in</w:t>
      </w:r>
      <w:r w:rsidRPr="00A26B1D">
        <w:rPr>
          <w:rFonts w:ascii="Times New Roman" w:hAnsi="Times New Roman" w:cs="Times New Roman"/>
          <w:color w:val="000000" w:themeColor="text1"/>
          <w:sz w:val="24"/>
          <w:szCs w:val="24"/>
        </w:rPr>
        <w:t>tegrated modules: the Gene Atlas Module provides searchable, sortable access to 100 T cell-specific genes with comprehensive annotations; the Synthetic Promoter Library Module presents pre-computed optimized promoter designs with interactive visualizations</w:t>
      </w:r>
      <w:r w:rsidRPr="00A26B1D">
        <w:rPr>
          <w:rFonts w:ascii="Times New Roman" w:hAnsi="Times New Roman" w:cs="Times New Roman"/>
          <w:color w:val="000000" w:themeColor="text1"/>
          <w:sz w:val="24"/>
          <w:szCs w:val="24"/>
        </w:rPr>
        <w:t xml:space="preserve"> and downloadable sequences; the Custom Promoter Designer Module enables users to create custom designs with real-time performance feedback; the Promoter Analyzer Module allows scanning of DNA sequences for T cell-specific transcription response elements; </w:t>
      </w:r>
      <w:r w:rsidRPr="00A26B1D">
        <w:rPr>
          <w:rFonts w:ascii="Times New Roman" w:hAnsi="Times New Roman" w:cs="Times New Roman"/>
          <w:color w:val="000000" w:themeColor="text1"/>
          <w:sz w:val="24"/>
          <w:szCs w:val="24"/>
        </w:rPr>
        <w:t>and the transcription response element Library Module provides detailed transcription factor information serving as regulatory element reference. All data can be exported in standard formats for downstream analysis.</w:t>
      </w:r>
    </w:p>
    <w:p w:rsidR="00A26B1D" w:rsidRDefault="00A26B1D"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p>
    <w:p w:rsidR="00E53A97" w:rsidRPr="00A26B1D" w:rsidRDefault="00A27093" w:rsidP="00A26B1D">
      <w:pPr>
        <w:pStyle w:val="Heading1"/>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Data Availability</w:t>
      </w:r>
    </w:p>
    <w:p w:rsidR="00E53A97" w:rsidRPr="00A26B1D" w:rsidRDefault="00A27093" w:rsidP="00A26B1D">
      <w:pPr>
        <w:spacing w:beforeLines="20" w:before="48" w:afterLines="20" w:after="48" w:line="360" w:lineRule="auto"/>
        <w:jc w:val="both"/>
        <w:rPr>
          <w:rFonts w:ascii="Times New Roman" w:hAnsi="Times New Roman" w:cs="Times New Roman"/>
          <w:color w:val="000000" w:themeColor="text1"/>
          <w:sz w:val="24"/>
          <w:szCs w:val="24"/>
        </w:rPr>
      </w:pPr>
      <w:r w:rsidRPr="00A26B1D">
        <w:rPr>
          <w:rFonts w:ascii="Times New Roman" w:hAnsi="Times New Roman" w:cs="Times New Roman"/>
          <w:color w:val="000000" w:themeColor="text1"/>
          <w:sz w:val="24"/>
          <w:szCs w:val="24"/>
        </w:rPr>
        <w:t xml:space="preserve">All data presented in </w:t>
      </w:r>
      <w:r w:rsidRPr="00A26B1D">
        <w:rPr>
          <w:rFonts w:ascii="Times New Roman" w:hAnsi="Times New Roman" w:cs="Times New Roman"/>
          <w:color w:val="000000" w:themeColor="text1"/>
          <w:sz w:val="24"/>
          <w:szCs w:val="24"/>
        </w:rPr>
        <w:t>this study are derived from publicly available databases: CellxGene Census (https://cellxgene.cziscience.com/census), GTEx Portal v8 (https://gtexportal.org), JASPAR 2024 (https://jaspar.elixir.no), Ensembl GRCh38 (https://ensembl.org), and COSMIC Cancer G</w:t>
      </w:r>
      <w:r w:rsidRPr="00A26B1D">
        <w:rPr>
          <w:rFonts w:ascii="Times New Roman" w:hAnsi="Times New Roman" w:cs="Times New Roman"/>
          <w:color w:val="000000" w:themeColor="text1"/>
          <w:sz w:val="24"/>
          <w:szCs w:val="24"/>
        </w:rPr>
        <w:t>ene Census v101 (https://cancer.sanger.ac.uk/cosmic). The PromoterForge platform, including all gene rankings, synthetic promoter sequences, and analysis tools, is available as an interactive web application. The complete dataset of 100 T cell-specific gen</w:t>
      </w:r>
      <w:r w:rsidRPr="00A26B1D">
        <w:rPr>
          <w:rFonts w:ascii="Times New Roman" w:hAnsi="Times New Roman" w:cs="Times New Roman"/>
          <w:color w:val="000000" w:themeColor="text1"/>
          <w:sz w:val="24"/>
          <w:szCs w:val="24"/>
        </w:rPr>
        <w:t>es, 25 transcription factors, and 20 synthetic promoters is embedded within the platform and can be exported in multiple formats.</w:t>
      </w:r>
    </w:p>
    <w:sectPr w:rsidR="00E53A97" w:rsidRPr="00A26B1D" w:rsidSect="0003461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7093" w:rsidRDefault="00A27093" w:rsidP="00A26B1D">
      <w:pPr>
        <w:spacing w:after="0" w:line="240" w:lineRule="auto"/>
      </w:pPr>
      <w:r>
        <w:separator/>
      </w:r>
    </w:p>
  </w:endnote>
  <w:endnote w:type="continuationSeparator" w:id="0">
    <w:p w:rsidR="00A27093" w:rsidRDefault="00A27093" w:rsidP="00A26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font>
  <w:font w:name="Cambria">
    <w:panose1 w:val="02040503050406030204"/>
    <w:charset w:val="01"/>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6420727"/>
      <w:docPartObj>
        <w:docPartGallery w:val="Page Numbers (Bottom of Page)"/>
        <w:docPartUnique/>
      </w:docPartObj>
    </w:sdtPr>
    <w:sdtContent>
      <w:p w:rsidR="00A26B1D" w:rsidRDefault="00A26B1D" w:rsidP="00F24D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26B1D" w:rsidRDefault="00A26B1D" w:rsidP="00A26B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2575516"/>
      <w:docPartObj>
        <w:docPartGallery w:val="Page Numbers (Bottom of Page)"/>
        <w:docPartUnique/>
      </w:docPartObj>
    </w:sdtPr>
    <w:sdtContent>
      <w:p w:rsidR="00A26B1D" w:rsidRDefault="00A26B1D" w:rsidP="00F24D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26B1D" w:rsidRDefault="00A26B1D" w:rsidP="00A26B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7093" w:rsidRDefault="00A27093" w:rsidP="00A26B1D">
      <w:pPr>
        <w:spacing w:after="0" w:line="240" w:lineRule="auto"/>
      </w:pPr>
      <w:r>
        <w:separator/>
      </w:r>
    </w:p>
  </w:footnote>
  <w:footnote w:type="continuationSeparator" w:id="0">
    <w:p w:rsidR="00A27093" w:rsidRDefault="00A27093" w:rsidP="00A26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26B1D"/>
    <w:rsid w:val="00A27093"/>
    <w:rsid w:val="00AA1D8D"/>
    <w:rsid w:val="00B47730"/>
    <w:rsid w:val="00CB0664"/>
    <w:rsid w:val="00E53A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49DC70"/>
  <w14:defaultImageDpi w14:val="300"/>
  <w15:docId w15:val="{47CF0324-2132-3749-97E9-C125E799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A26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8B50F-F6A6-984C-AC56-38507D8D4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tanveer ahmad</cp:lastModifiedBy>
  <cp:revision>2</cp:revision>
  <dcterms:created xsi:type="dcterms:W3CDTF">2013-12-23T23:15:00Z</dcterms:created>
  <dcterms:modified xsi:type="dcterms:W3CDTF">2026-06-16T13:59:00Z</dcterms:modified>
  <cp:category/>
</cp:coreProperties>
</file>