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E38A5">
      <w:pPr>
        <w:pStyle w:val="4"/>
        <w:keepNext/>
        <w:widowControl/>
        <w:spacing w:before="200" w:after="80" w:line="276" w:lineRule="auto"/>
        <w:ind w:firstLine="0"/>
        <w:jc w:val="left"/>
        <w:rPr>
          <w:rFonts w:hint="eastAsia" w:ascii="Times New Roman" w:hAnsi="Times New Roman" w:eastAsia="Times New Roman"/>
          <w:b/>
          <w:color w:val="auto"/>
          <w:sz w:val="24"/>
        </w:rPr>
      </w:pPr>
      <w:r>
        <w:rPr>
          <w:rFonts w:hint="eastAsia" w:ascii="Times New Roman" w:hAnsi="Times New Roman" w:eastAsia="Times New Roman"/>
          <w:b/>
          <w:color w:val="auto"/>
          <w:sz w:val="24"/>
        </w:rPr>
        <w:t>Supplementary material</w:t>
      </w:r>
    </w:p>
    <w:p w14:paraId="1EE44580">
      <w:pPr>
        <w:pStyle w:val="4"/>
        <w:keepNext/>
        <w:widowControl/>
        <w:spacing w:before="200" w:after="80" w:line="276" w:lineRule="auto"/>
        <w:ind w:firstLine="0"/>
        <w:jc w:val="left"/>
        <w:rPr>
          <w:rFonts w:ascii="Times New Roman" w:hAnsi="Times New Roman" w:eastAsia="Times New Roman"/>
          <w:b w:val="0"/>
          <w:bCs w:val="0"/>
          <w:color w:val="auto"/>
          <w:sz w:val="24"/>
        </w:rPr>
      </w:pPr>
      <w:r>
        <w:rPr>
          <w:rFonts w:hint="eastAsia" w:ascii="Times New Roman" w:hAnsi="Times New Roman" w:eastAsia="Times New Roman"/>
          <w:b w:val="0"/>
          <w:bCs w:val="0"/>
          <w:color w:val="auto"/>
          <w:sz w:val="24"/>
        </w:rPr>
        <w:t>Early risk stratification for in-hospital mortality after acute diquat poisoning: a retrospective cohort study with external validation</w:t>
      </w:r>
    </w:p>
    <w:p w14:paraId="45AF5DA1">
      <w:pPr>
        <w:widowControl/>
        <w:spacing w:before="0" w:after="0" w:line="480" w:lineRule="auto"/>
        <w:ind w:firstLine="0"/>
        <w:jc w:val="both"/>
        <w:rPr>
          <w:rFonts w:hint="eastAsia" w:ascii="Times New Roman" w:hAnsi="Times New Roman" w:eastAsia="Times New Roman"/>
          <w:b/>
          <w:color w:val="auto"/>
          <w:sz w:val="24"/>
        </w:rPr>
      </w:pPr>
      <w:r>
        <w:rPr>
          <w:rFonts w:hint="eastAsia" w:ascii="Times New Roman" w:hAnsi="Times New Roman" w:eastAsia="Times New Roman"/>
          <w:b/>
          <w:color w:val="auto"/>
          <w:sz w:val="24"/>
        </w:rPr>
        <w:t>Supplementary methods: Fine-Gray competing-risks analysis</w:t>
      </w:r>
    </w:p>
    <w:p w14:paraId="4D817968">
      <w:pPr>
        <w:widowControl/>
        <w:spacing w:before="0" w:after="0" w:line="480" w:lineRule="auto"/>
        <w:ind w:firstLine="0"/>
        <w:jc w:val="both"/>
      </w:pPr>
      <w:r>
        <w:rPr>
          <w:rFonts w:hint="eastAsia" w:ascii="Times New Roman" w:hAnsi="Times New Roman" w:eastAsia="Times New Roman"/>
          <w:sz w:val="24"/>
        </w:rPr>
        <w:t>For the secondary hospital-course analysis, admission was the time origin and hospital stay was the time scale. Discharge alive was the event of interest and in-hospital death was the competing event. Cumulative incidence functions were used to describe both outcomes. Univariable Fine-Gray models were fit for baseline candidate variables, followed by a prespecified multivariable model including age, estimated ingested volume, bicarbonate, lactate, white blood cell count, creatinine, and alanine aminotransferase. Effects were reported as subdistribution hazard ratios (sHRs) with 95% confidence intervals. Proportional subdistribution hazards were assessed using covariate-by-log-time interactions, with Holm correction for multiple testing. The analysis was associational and was not intended as a causal analysis of recovery time or length of stay.</w:t>
      </w:r>
    </w:p>
    <w:p w14:paraId="37BED8B1">
      <w:pPr>
        <w:pStyle w:val="165"/>
        <w:keepNext/>
        <w:keepLines/>
        <w:widowControl/>
        <w:spacing w:before="80" w:after="120" w:line="240" w:lineRule="auto"/>
        <w:ind w:firstLine="0"/>
        <w:jc w:val="left"/>
        <w:rPr>
          <w:sz w:val="21"/>
        </w:rPr>
      </w:pPr>
      <w:r>
        <w:rPr>
          <w:rFonts w:hint="eastAsia" w:ascii="Times New Roman" w:hAnsi="Times New Roman" w:eastAsia="Times New Roman"/>
          <w:b/>
          <w:sz w:val="20"/>
        </w:rPr>
        <w:t>Supplementary Table S1. Univariable and multivariable Fine-Gray competing-risks regression analyses of discharge alive during hospitalization</w:t>
      </w:r>
    </w:p>
    <w:tbl>
      <w:tblPr>
        <w:tblStyle w:val="33"/>
        <w:tblW w:w="8928" w:type="dxa"/>
        <w:jc w:val="center"/>
        <w:tblBorders>
          <w:top w:val="none" w:color="000000" w:sz="12" w:space="0"/>
          <w:left w:val="none" w:color="auto" w:sz="0" w:space="0"/>
          <w:bottom w:val="non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088"/>
        <w:gridCol w:w="1944"/>
        <w:gridCol w:w="792"/>
        <w:gridCol w:w="1800"/>
        <w:gridCol w:w="576"/>
      </w:tblGrid>
      <w:tr w14:paraId="7063E92A">
        <w:tblPrEx>
          <w:tblBorders>
            <w:top w:val="none" w:color="000000" w:sz="12" w:space="0"/>
            <w:left w:val="none" w:color="auto" w:sz="0" w:space="0"/>
            <w:bottom w:val="non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33EF73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Variable</w:t>
            </w:r>
          </w:p>
        </w:tc>
        <w:tc>
          <w:tcPr>
            <w:tcW w:w="3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E4DE36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Effect unit</w:t>
            </w:r>
          </w:p>
        </w:tc>
        <w:tc>
          <w:tcPr>
            <w:tcW w:w="3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672E69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Univariable sHR (95% CI)</w:t>
            </w:r>
          </w:p>
        </w:tc>
        <w:tc>
          <w:tcPr>
            <w:tcW w:w="1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7BA368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P value</w:t>
            </w:r>
          </w:p>
        </w:tc>
        <w:tc>
          <w:tcPr>
            <w:tcW w:w="3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843A9D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Multivariable sHR (95% CI)</w:t>
            </w:r>
          </w:p>
        </w:tc>
        <w:tc>
          <w:tcPr>
            <w:tcW w:w="1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16FA55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7"/>
              </w:rPr>
              <w:t>P value</w:t>
            </w:r>
          </w:p>
        </w:tc>
      </w:tr>
      <w:tr w14:paraId="200B0AC1">
        <w:tblPrEx>
          <w:tblBorders>
            <w:top w:val="none" w:color="000000" w:sz="12" w:space="0"/>
            <w:left w:val="none" w:color="auto" w:sz="0" w:space="0"/>
            <w:bottom w:val="non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EC364C">
            <w:pPr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Male</w:t>
            </w:r>
          </w:p>
        </w:tc>
        <w:tc>
          <w:tcPr>
            <w:tcW w:w="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486159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Male vs female</w:t>
            </w:r>
          </w:p>
        </w:tc>
        <w:tc>
          <w:tcPr>
            <w:tcW w:w="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4056B9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0.825（0.613–1.111）</w:t>
            </w:r>
          </w:p>
        </w:tc>
        <w:tc>
          <w:tcPr>
            <w:tcW w:w="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94085D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0.204</w:t>
            </w:r>
          </w:p>
        </w:tc>
        <w:tc>
          <w:tcPr>
            <w:tcW w:w="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923074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—</w:t>
            </w:r>
          </w:p>
        </w:tc>
        <w:tc>
          <w:tcPr>
            <w:tcW w:w="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76DB4D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—</w:t>
            </w:r>
          </w:p>
        </w:tc>
      </w:tr>
      <w:tr w14:paraId="7B99E034">
        <w:tblPrEx>
          <w:tblBorders>
            <w:top w:val="none" w:color="000000" w:sz="12" w:space="0"/>
            <w:left w:val="none" w:color="auto" w:sz="0" w:space="0"/>
            <w:bottom w:val="non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77E187">
            <w:pPr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Age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FAE418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Per 10-year increase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CF6806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1.002（0.850–1.181）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E3CA25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0.986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82D2A2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0.985（0.868–1.117）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AF2D68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0.814</w:t>
            </w:r>
          </w:p>
        </w:tc>
      </w:tr>
      <w:tr w14:paraId="33E1A1AD">
        <w:tblPrEx>
          <w:tblBorders>
            <w:top w:val="none" w:color="000000" w:sz="12" w:space="0"/>
            <w:left w:val="none" w:color="auto" w:sz="0" w:space="0"/>
            <w:bottom w:val="non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1CD5F3">
            <w:pPr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Estimated ingested volume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1D6F8A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Per 10-mL increase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E50286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0.842（0.814–0.871）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03FCC9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&lt;0.001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D28947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0.895（0.863–0.930）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FD3F6E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&lt;0.001</w:t>
            </w:r>
          </w:p>
        </w:tc>
      </w:tr>
      <w:tr w14:paraId="01BABAC4">
        <w:tblPrEx>
          <w:tblBorders>
            <w:top w:val="none" w:color="000000" w:sz="12" w:space="0"/>
            <w:left w:val="none" w:color="auto" w:sz="0" w:space="0"/>
            <w:bottom w:val="non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54ED7B">
            <w:pPr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pH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40B2DB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Per 0.1-unit increase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1E41E7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1.311（1.079–1.592）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109618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0.007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301CE7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—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4C0908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—</w:t>
            </w:r>
          </w:p>
        </w:tc>
      </w:tr>
      <w:tr w14:paraId="65087CC5">
        <w:tblPrEx>
          <w:tblBorders>
            <w:top w:val="none" w:color="000000" w:sz="12" w:space="0"/>
            <w:left w:val="none" w:color="auto" w:sz="0" w:space="0"/>
            <w:bottom w:val="non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0ED33D">
            <w:pPr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PO₂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8CF02D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Per 10-kPa increase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1CC0E3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0.623（0.420–0.923）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E5D2BC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0.018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7C9B6D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—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C13D06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—</w:t>
            </w:r>
          </w:p>
        </w:tc>
      </w:tr>
      <w:tr w14:paraId="4BF324A2">
        <w:tblPrEx>
          <w:tblBorders>
            <w:top w:val="none" w:color="000000" w:sz="12" w:space="0"/>
            <w:left w:val="none" w:color="auto" w:sz="0" w:space="0"/>
            <w:bottom w:val="non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675B19">
            <w:pPr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HCO₃⁻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C82D2C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Per 5-mmol/L increase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35292A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1.743（1.464–2.075）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A88E0D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&lt;0.001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D4B63E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1.352（1.118–1.635）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45CDC0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0.002</w:t>
            </w:r>
          </w:p>
        </w:tc>
      </w:tr>
      <w:tr w14:paraId="506D760C">
        <w:tblPrEx>
          <w:tblBorders>
            <w:top w:val="none" w:color="000000" w:sz="12" w:space="0"/>
            <w:left w:val="none" w:color="auto" w:sz="0" w:space="0"/>
            <w:bottom w:val="non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3D3FC1">
            <w:pPr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Lactate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6AF23B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Per 1-mmol/L increase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B758AF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0.572（0.456–0.718）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90AFEF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&lt;0.001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8CF095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0.752（0.578–0.979）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2069D0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0.034</w:t>
            </w:r>
          </w:p>
        </w:tc>
      </w:tr>
      <w:tr w14:paraId="205BC3B8">
        <w:tblPrEx>
          <w:tblBorders>
            <w:top w:val="none" w:color="000000" w:sz="12" w:space="0"/>
            <w:left w:val="none" w:color="auto" w:sz="0" w:space="0"/>
            <w:bottom w:val="non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9A8D1F">
            <w:pPr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White blood cell count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A28608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Per 5 × 10⁹/L increase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A44A78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0.618（0.543–0.703）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7C21DE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&lt;0.001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4BE01E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0.903（0.770–1.059）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E11923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0.211</w:t>
            </w:r>
          </w:p>
        </w:tc>
      </w:tr>
      <w:tr w14:paraId="6FBAE0E3">
        <w:tblPrEx>
          <w:tblBorders>
            <w:top w:val="none" w:color="000000" w:sz="12" w:space="0"/>
            <w:left w:val="none" w:color="auto" w:sz="0" w:space="0"/>
            <w:bottom w:val="non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24B7E6">
            <w:pPr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ALT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6FFCBF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Per 100-U/L increase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1FE512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0.568（0.414–0.777）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18D8C8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&lt;0.001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5AFD00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0.822（0.640–1.057）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604922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0.126</w:t>
            </w:r>
          </w:p>
        </w:tc>
      </w:tr>
      <w:tr w14:paraId="45D7C020">
        <w:tblPrEx>
          <w:tblBorders>
            <w:top w:val="none" w:color="000000" w:sz="12" w:space="0"/>
            <w:left w:val="none" w:color="auto" w:sz="0" w:space="0"/>
            <w:bottom w:val="non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3F5E39">
            <w:pPr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α-Amylase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F0CD6A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Per 100-U/L increase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17098E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0.759（0.610–0.944）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D9F204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0.013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EE8BF1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—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9F1EA2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—</w:t>
            </w:r>
          </w:p>
        </w:tc>
      </w:tr>
      <w:tr w14:paraId="4D17B027">
        <w:tblPrEx>
          <w:tblBorders>
            <w:top w:val="none" w:color="000000" w:sz="12" w:space="0"/>
            <w:left w:val="none" w:color="auto" w:sz="0" w:space="0"/>
            <w:bottom w:val="non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0E3A14">
            <w:pPr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Creatinine</w:t>
            </w:r>
          </w:p>
        </w:tc>
        <w:tc>
          <w:tcPr>
            <w:tcW w:w="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53CDA2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Per 100-μmol/L increase</w:t>
            </w:r>
          </w:p>
        </w:tc>
        <w:tc>
          <w:tcPr>
            <w:tcW w:w="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6DE1F9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0.867（0.797–0.945）</w:t>
            </w:r>
          </w:p>
        </w:tc>
        <w:tc>
          <w:tcPr>
            <w:tcW w:w="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5BD284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0.001</w:t>
            </w:r>
          </w:p>
        </w:tc>
        <w:tc>
          <w:tcPr>
            <w:tcW w:w="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DE3EE0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0.902（0.832–0.979）</w:t>
            </w:r>
          </w:p>
        </w:tc>
        <w:tc>
          <w:tcPr>
            <w:tcW w:w="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12AD28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0.013</w:t>
            </w:r>
          </w:p>
        </w:tc>
      </w:tr>
    </w:tbl>
    <w:p w14:paraId="667AFF74">
      <w:pPr>
        <w:widowControl/>
        <w:spacing w:before="40" w:after="120" w:line="240" w:lineRule="auto"/>
        <w:ind w:firstLine="0"/>
        <w:jc w:val="left"/>
        <w:rPr>
          <w:i/>
          <w:iCs/>
        </w:rPr>
      </w:pPr>
      <w:r>
        <w:rPr>
          <w:rFonts w:ascii="Times New Roman" w:hAnsi="Times New Roman" w:eastAsia="Times New Roman"/>
          <w:i/>
          <w:iCs/>
          <w:sz w:val="18"/>
        </w:rPr>
        <w:t>Note: sHR, subdistribution hazard ratio; CI, confidence interval; PO₂, partial pressure of oxygen; HCO₃⁻, bicarbonate; ALT, alanine aminotransferase. Discharge alive was the event of interest, and in-hospital death was the competing event. The multivariable Fine-Gray model prespecified seven variables: age, estimated ingested volume, HCO₃⁻, lactate, white blood cell count, creatinine, and ALT. An sHR &gt;1 indicates a higher subdistribution hazard of discharge alive, whereas an sHR &lt;1 indicates a lower subdistribution hazard.</w:t>
      </w:r>
    </w:p>
    <w:p w14:paraId="3C51F5F8">
      <w:pPr>
        <w:keepNext/>
        <w:spacing w:before="120" w:after="40" w:line="240" w:lineRule="auto"/>
        <w:jc w:val="left"/>
        <w:rPr>
          <w:rFonts w:ascii="Times New Roman" w:hAnsi="Times New Roman" w:eastAsia="Times New Roman"/>
          <w:b/>
          <w:bCs/>
          <w:sz w:val="20"/>
          <w:szCs w:val="20"/>
        </w:rPr>
      </w:pPr>
      <w:r>
        <w:rPr>
          <w:rFonts w:hint="eastAsia" w:ascii="Times New Roman" w:hAnsi="Times New Roman" w:eastAsia="Times New Roman"/>
          <w:b/>
          <w:bCs/>
          <w:sz w:val="20"/>
          <w:szCs w:val="20"/>
        </w:rPr>
        <w:t>Supplementary Figure S1. Forest plot of the prespecified multivariable Fine-Gray model</w:t>
      </w:r>
    </w:p>
    <w:p w14:paraId="24E07987">
      <w:pPr>
        <w:keepNext/>
        <w:spacing w:before="120" w:after="40" w:line="240" w:lineRule="auto"/>
        <w:jc w:val="left"/>
      </w:pPr>
      <w:r>
        <w:rPr>
          <w:rFonts w:ascii="Times New Roman" w:hAnsi="Times New Roman" w:eastAsia="Times New Roman"/>
          <w:sz w:val="24"/>
        </w:rPr>
        <w:drawing>
          <wp:inline distT="0" distB="0" distL="114300" distR="114300">
            <wp:extent cx="5154930" cy="3724275"/>
            <wp:effectExtent l="0" t="0" r="11430" b="9525"/>
            <wp:docPr id="5" name="Picture 5" descr="Forest plot of the multivariable Fine-Gray model" title="Fig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Forest plot of the multivariable Fine-Gray model" title="Figure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493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eastAsia="Times New Roman"/>
          <w:b w:val="0"/>
          <w:sz w:val="20"/>
        </w:rPr>
        <w:br w:type="textWrapping"/>
      </w:r>
      <w:r>
        <w:rPr>
          <w:rFonts w:ascii="Times New Roman" w:hAnsi="Times New Roman" w:eastAsia="Times New Roman"/>
          <w:i/>
          <w:iCs/>
          <w:sz w:val="18"/>
          <w:szCs w:val="18"/>
        </w:rPr>
        <w:t>Note:</w:t>
      </w:r>
      <w:r>
        <w:rPr>
          <w:rFonts w:ascii="Times New Roman" w:hAnsi="Times New Roman" w:eastAsia="Times New Roman"/>
          <w:b w:val="0"/>
          <w:i/>
          <w:iCs/>
          <w:sz w:val="18"/>
          <w:szCs w:val="18"/>
        </w:rPr>
        <w:t>Points and horizontal lines represent sHRs and 95% CIs, respectively.</w:t>
      </w:r>
    </w:p>
    <w:p w14:paraId="7D4E4E46">
      <w:pPr>
        <w:pStyle w:val="5"/>
        <w:keepNext/>
        <w:widowControl/>
        <w:spacing w:before="160" w:after="60" w:line="276" w:lineRule="auto"/>
        <w:ind w:firstLine="0"/>
        <w:jc w:val="left"/>
        <w:rPr>
          <w:rFonts w:ascii="Times New Roman" w:hAnsi="Times New Roman" w:eastAsia="宋体"/>
          <w:color w:val="auto"/>
          <w:sz w:val="20"/>
          <w:szCs w:val="20"/>
        </w:rPr>
      </w:pPr>
      <w:r>
        <w:rPr>
          <w:rFonts w:ascii="Times New Roman" w:hAnsi="Times New Roman" w:eastAsia="Times New Roman"/>
          <w:b/>
          <w:color w:val="auto"/>
          <w:sz w:val="20"/>
          <w:szCs w:val="20"/>
        </w:rPr>
        <w:t xml:space="preserve"> </w:t>
      </w:r>
      <w:r>
        <w:rPr>
          <w:rFonts w:hint="eastAsia" w:ascii="Times New Roman" w:hAnsi="Times New Roman" w:eastAsia="Times New Roman"/>
          <w:b/>
          <w:color w:val="auto"/>
          <w:sz w:val="20"/>
          <w:szCs w:val="20"/>
        </w:rPr>
        <w:t>Supplementary Table S2. Test of the proportional subdistribution hazards assumption for the multivariable Fine-Gray model</w:t>
      </w:r>
    </w:p>
    <w:tbl>
      <w:tblPr>
        <w:tblStyle w:val="33"/>
        <w:tblW w:w="8928" w:type="dxa"/>
        <w:jc w:val="center"/>
        <w:tblBorders>
          <w:top w:val="none" w:color="000000" w:sz="12" w:space="0"/>
          <w:left w:val="none" w:color="auto" w:sz="0" w:space="0"/>
          <w:bottom w:val="non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1800"/>
        <w:gridCol w:w="1512"/>
        <w:gridCol w:w="1656"/>
        <w:gridCol w:w="1728"/>
      </w:tblGrid>
      <w:tr w14:paraId="37A486AB">
        <w:tblPrEx>
          <w:tblBorders>
            <w:top w:val="none" w:color="000000" w:sz="12" w:space="0"/>
            <w:left w:val="none" w:color="auto" w:sz="0" w:space="0"/>
            <w:bottom w:val="non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268551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Variable</w:t>
            </w:r>
          </w:p>
        </w:tc>
        <w:tc>
          <w:tcPr>
            <w:tcW w:w="3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774C94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Time-interaction β</w:t>
            </w:r>
          </w:p>
        </w:tc>
        <w:tc>
          <w:tcPr>
            <w:tcW w:w="2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DC96B9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Standard error</w:t>
            </w:r>
          </w:p>
        </w:tc>
        <w:tc>
          <w:tcPr>
            <w:tcW w:w="3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BA261F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Unadjusted P value</w:t>
            </w:r>
          </w:p>
        </w:tc>
        <w:tc>
          <w:tcPr>
            <w:tcW w:w="3" w:type="dxa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343AC7">
            <w:pPr>
              <w:keepLines/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Holm-adjusted P value</w:t>
            </w:r>
          </w:p>
        </w:tc>
      </w:tr>
      <w:tr w14:paraId="5CA6FCCA">
        <w:tblPrEx>
          <w:tblBorders>
            <w:top w:val="none" w:color="000000" w:sz="12" w:space="0"/>
            <w:left w:val="none" w:color="auto" w:sz="0" w:space="0"/>
            <w:bottom w:val="non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7ADBB1">
            <w:pPr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Age</w:t>
            </w:r>
          </w:p>
        </w:tc>
        <w:tc>
          <w:tcPr>
            <w:tcW w:w="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79CFD0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0.127</w:t>
            </w:r>
          </w:p>
        </w:tc>
        <w:tc>
          <w:tcPr>
            <w:tcW w:w="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E1DCBB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0.108</w:t>
            </w:r>
          </w:p>
        </w:tc>
        <w:tc>
          <w:tcPr>
            <w:tcW w:w="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4093CD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0.238</w:t>
            </w:r>
          </w:p>
        </w:tc>
        <w:tc>
          <w:tcPr>
            <w:tcW w:w="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7107A1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1.000</w:t>
            </w:r>
          </w:p>
        </w:tc>
      </w:tr>
      <w:tr w14:paraId="02434E94">
        <w:tblPrEx>
          <w:tblBorders>
            <w:top w:val="none" w:color="000000" w:sz="12" w:space="0"/>
            <w:left w:val="none" w:color="auto" w:sz="0" w:space="0"/>
            <w:bottom w:val="non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A8B6B9">
            <w:pPr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Estimated ingested volume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C00224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−0.018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9618FE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0.018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3E6BF5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0.320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719C12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1.000</w:t>
            </w:r>
          </w:p>
        </w:tc>
      </w:tr>
      <w:tr w14:paraId="07F2A7C2">
        <w:tblPrEx>
          <w:tblBorders>
            <w:top w:val="none" w:color="000000" w:sz="12" w:space="0"/>
            <w:left w:val="none" w:color="auto" w:sz="0" w:space="0"/>
            <w:bottom w:val="non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C9301D">
            <w:pPr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HCO₃⁻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77FC3C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0.044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0FB356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0.114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A800DA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0.700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709260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1.000</w:t>
            </w:r>
          </w:p>
        </w:tc>
      </w:tr>
      <w:tr w14:paraId="63CE222F">
        <w:tblPrEx>
          <w:tblBorders>
            <w:top w:val="none" w:color="000000" w:sz="12" w:space="0"/>
            <w:left w:val="none" w:color="auto" w:sz="0" w:space="0"/>
            <w:bottom w:val="non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0FCCF5">
            <w:pPr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Lactate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21E667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−0.106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7FC754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0.058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E50F86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0.068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4FA729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0.410</w:t>
            </w:r>
          </w:p>
        </w:tc>
      </w:tr>
      <w:tr w14:paraId="3C7732D2">
        <w:tblPrEx>
          <w:tblBorders>
            <w:top w:val="none" w:color="000000" w:sz="12" w:space="0"/>
            <w:left w:val="none" w:color="auto" w:sz="0" w:space="0"/>
            <w:bottom w:val="non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70091C">
            <w:pPr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White blood cell count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3B20F3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−0.032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8F2771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0.063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C54BF0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0.607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BF7823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1.000</w:t>
            </w:r>
          </w:p>
        </w:tc>
      </w:tr>
      <w:tr w14:paraId="40895656">
        <w:tblPrEx>
          <w:tblBorders>
            <w:top w:val="none" w:color="000000" w:sz="12" w:space="0"/>
            <w:left w:val="none" w:color="auto" w:sz="0" w:space="0"/>
            <w:bottom w:val="non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45FDC7">
            <w:pPr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Creatinine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840AE5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0.208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835080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0.079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223286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0.008</w:t>
            </w:r>
          </w:p>
        </w:tc>
        <w:tc>
          <w:tcPr>
            <w:tcW w:w="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677A44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0.058</w:t>
            </w:r>
          </w:p>
        </w:tc>
      </w:tr>
      <w:tr w14:paraId="0CD1769B">
        <w:tblPrEx>
          <w:tblBorders>
            <w:top w:val="none" w:color="000000" w:sz="12" w:space="0"/>
            <w:left w:val="none" w:color="auto" w:sz="0" w:space="0"/>
            <w:bottom w:val="non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3CF7D8">
            <w:pPr>
              <w:keepLines/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ALT</w:t>
            </w:r>
          </w:p>
        </w:tc>
        <w:tc>
          <w:tcPr>
            <w:tcW w:w="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3BA1AD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0.020</w:t>
            </w:r>
          </w:p>
        </w:tc>
        <w:tc>
          <w:tcPr>
            <w:tcW w:w="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CF94C4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0.287</w:t>
            </w:r>
          </w:p>
        </w:tc>
        <w:tc>
          <w:tcPr>
            <w:tcW w:w="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DFA994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0.944</w:t>
            </w:r>
          </w:p>
        </w:tc>
        <w:tc>
          <w:tcPr>
            <w:tcW w:w="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367088">
            <w:pPr>
              <w:keepLines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eastAsia="宋体"/>
                <w:sz w:val="18"/>
              </w:rPr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1.000</w:t>
            </w:r>
          </w:p>
        </w:tc>
      </w:tr>
    </w:tbl>
    <w:p w14:paraId="1196D3F5">
      <w:pPr>
        <w:widowControl/>
        <w:spacing w:before="40" w:after="120" w:line="240" w:lineRule="auto"/>
        <w:ind w:firstLine="0"/>
        <w:jc w:val="left"/>
        <w:rPr>
          <w:i/>
          <w:iCs/>
        </w:rPr>
      </w:pPr>
      <w:r>
        <w:rPr>
          <w:rFonts w:ascii="Times New Roman" w:hAnsi="Times New Roman" w:eastAsia="Times New Roman"/>
          <w:i/>
          <w:iCs/>
          <w:sz w:val="18"/>
        </w:rPr>
        <w:t>Note: The proportional subdistribution hazards assumption was tested using interactions between each covariate and standardized log(time), with the Holm method used to adjust for multiple comparisons. All Holm-adjusted P values were &gt;0.05; the smallest adjusted P value was 0.058. Thus, there was no clear statistical evidence that the proportional subdistribution hazards assumption was violated.</w:t>
      </w:r>
    </w:p>
    <w:p w14:paraId="70303CBB">
      <w:pPr>
        <w:keepLines/>
        <w:spacing w:after="60" w:line="240" w:lineRule="auto"/>
        <w:ind w:left="360" w:hanging="360"/>
        <w:jc w:val="both"/>
      </w:pPr>
    </w:p>
    <w:sectPr>
      <w:footerReference r:id="rId5" w:type="default"/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483BC9">
    <w:pPr>
      <w:pStyle w:val="24"/>
      <w:jc w:val="center"/>
    </w:pPr>
    <w:r>
      <w:rPr>
        <w:rFonts w:ascii="Times New Roman" w:hAnsi="Times New Roman" w:eastAsia="Times New Roman"/>
        <w:sz w:val="20"/>
      </w:rPr>
      <w:fldChar w:fldCharType="begin"/>
    </w:r>
    <w:r>
      <w:rPr>
        <w:rFonts w:ascii="Times New Roman" w:hAnsi="Times New Roman" w:eastAsia="Times New Roman"/>
        <w:sz w:val="20"/>
      </w:rPr>
      <w:instrText xml:space="preserve"> PAGE </w:instrText>
    </w:r>
    <w:r>
      <w:rPr>
        <w:rFonts w:ascii="Times New Roman" w:hAnsi="Times New Roman" w:eastAsia="Times New Roman"/>
        <w:sz w:val="20"/>
      </w:rPr>
      <w:fldChar w:fldCharType="separate"/>
    </w:r>
    <w:r>
      <w:rPr>
        <w:rFonts w:ascii="Times New Roman" w:hAnsi="Times New Roman" w:eastAsia="Times New Roman"/>
        <w:sz w:val="20"/>
      </w:rPr>
      <w:t>1</w:t>
    </w:r>
    <w:r>
      <w:rPr>
        <w:rFonts w:ascii="Times New Roman" w:hAnsi="Times New Roman" w:eastAsia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16C08C6"/>
    <w:rsid w:val="041871BE"/>
    <w:rsid w:val="05163589"/>
    <w:rsid w:val="051C58FB"/>
    <w:rsid w:val="064C13A1"/>
    <w:rsid w:val="067A40B5"/>
    <w:rsid w:val="06A05249"/>
    <w:rsid w:val="0949606C"/>
    <w:rsid w:val="094C3466"/>
    <w:rsid w:val="0A1F1530"/>
    <w:rsid w:val="0B0F734A"/>
    <w:rsid w:val="0C700C2D"/>
    <w:rsid w:val="0E8D2557"/>
    <w:rsid w:val="12307DC9"/>
    <w:rsid w:val="125507E9"/>
    <w:rsid w:val="1418080F"/>
    <w:rsid w:val="16B70AB9"/>
    <w:rsid w:val="1BF26F7B"/>
    <w:rsid w:val="1C214EBA"/>
    <w:rsid w:val="1F026649"/>
    <w:rsid w:val="1FFB1928"/>
    <w:rsid w:val="20D01727"/>
    <w:rsid w:val="232E5C5F"/>
    <w:rsid w:val="2387099F"/>
    <w:rsid w:val="23B91E1B"/>
    <w:rsid w:val="28426C0E"/>
    <w:rsid w:val="28C117DF"/>
    <w:rsid w:val="2ACC4704"/>
    <w:rsid w:val="2C2C11A9"/>
    <w:rsid w:val="2F807842"/>
    <w:rsid w:val="321B0ADD"/>
    <w:rsid w:val="33E44DA2"/>
    <w:rsid w:val="357F059C"/>
    <w:rsid w:val="36F9612C"/>
    <w:rsid w:val="36FD0038"/>
    <w:rsid w:val="37F60F93"/>
    <w:rsid w:val="3C506168"/>
    <w:rsid w:val="3CC83F72"/>
    <w:rsid w:val="3D557AAA"/>
    <w:rsid w:val="40E66965"/>
    <w:rsid w:val="41ED0193"/>
    <w:rsid w:val="426E4AEA"/>
    <w:rsid w:val="42B8155A"/>
    <w:rsid w:val="430215D1"/>
    <w:rsid w:val="48030A6C"/>
    <w:rsid w:val="4A4552D7"/>
    <w:rsid w:val="4DCB2178"/>
    <w:rsid w:val="4E607343"/>
    <w:rsid w:val="4EC42D6D"/>
    <w:rsid w:val="4F806F93"/>
    <w:rsid w:val="526B217C"/>
    <w:rsid w:val="53634F32"/>
    <w:rsid w:val="53897A36"/>
    <w:rsid w:val="5471253C"/>
    <w:rsid w:val="55D41DE6"/>
    <w:rsid w:val="57716964"/>
    <w:rsid w:val="5B335C56"/>
    <w:rsid w:val="5C04531A"/>
    <w:rsid w:val="5FD2516D"/>
    <w:rsid w:val="62EC6826"/>
    <w:rsid w:val="68662CC8"/>
    <w:rsid w:val="695B664F"/>
    <w:rsid w:val="6C7A1FD0"/>
    <w:rsid w:val="6DD23340"/>
    <w:rsid w:val="6DF158D0"/>
    <w:rsid w:val="6F0357BE"/>
    <w:rsid w:val="6F084B83"/>
    <w:rsid w:val="6F427A97"/>
    <w:rsid w:val="6FDD7DBD"/>
    <w:rsid w:val="70755BE5"/>
    <w:rsid w:val="70822628"/>
    <w:rsid w:val="73B272DC"/>
    <w:rsid w:val="74650381"/>
    <w:rsid w:val="755503F6"/>
    <w:rsid w:val="76564426"/>
    <w:rsid w:val="79856DD0"/>
    <w:rsid w:val="7C07056B"/>
    <w:rsid w:val="7C1A7CA3"/>
    <w:rsid w:val="7C35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00" w:line="264" w:lineRule="auto"/>
    </w:pPr>
    <w:rPr>
      <w:rFonts w:ascii="Times New Roman" w:hAnsi="Times New Roman" w:eastAsia="Times New Roman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280" w:after="140"/>
      <w:outlineLvl w:val="0"/>
    </w:pPr>
    <w:rPr>
      <w:rFonts w:asciiTheme="majorHAnsi" w:hAnsiTheme="majorHAnsi" w:eastAsiaTheme="majorEastAsia" w:cstheme="majorBidi"/>
      <w:b/>
      <w:bCs/>
      <w:color w:val="2F6B8A"/>
      <w:sz w:val="32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100"/>
      <w:outlineLvl w:val="1"/>
    </w:pPr>
    <w:rPr>
      <w:rFonts w:asciiTheme="majorHAnsi" w:hAnsiTheme="majorHAnsi" w:eastAsiaTheme="majorEastAsia" w:cstheme="majorBidi"/>
      <w:b/>
      <w:bCs/>
      <w:color w:val="2F6B8A"/>
      <w:sz w:val="26"/>
      <w:szCs w:val="26"/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b/>
      <w:bCs/>
      <w:color w:val="1F4D5B"/>
      <w:sz w:val="23"/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5"/>
    <w:qFormat/>
    <w:uiPriority w:val="99"/>
  </w:style>
  <w:style w:type="character" w:customStyle="1" w:styleId="137">
    <w:name w:val="Footer Char"/>
    <w:basedOn w:val="133"/>
    <w:link w:val="24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19"/>
    <w:qFormat/>
    <w:uiPriority w:val="99"/>
  </w:style>
  <w:style w:type="character" w:customStyle="1" w:styleId="146">
    <w:name w:val="Body Text 2 Char"/>
    <w:basedOn w:val="133"/>
    <w:link w:val="28"/>
    <w:qFormat/>
    <w:uiPriority w:val="99"/>
  </w:style>
  <w:style w:type="character" w:customStyle="1" w:styleId="147">
    <w:name w:val="Body Text 3 Char"/>
    <w:basedOn w:val="133"/>
    <w:link w:val="17"/>
    <w:qFormat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5">
    <w:name w:val="TableTitleCN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b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7914</Words>
  <Characters>48829</Characters>
  <Lines>0</Lines>
  <Paragraphs>0</Paragraphs>
  <TotalTime>2</TotalTime>
  <ScaleCrop>false</ScaleCrop>
  <LinksUpToDate>false</LinksUpToDate>
  <CharactersWithSpaces>56213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WPS_1678344192</dc:creator>
  <dc:description>generated by python-docx</dc:description>
  <cp:lastModifiedBy>WPS_1678344192</cp:lastModifiedBy>
  <dcterms:modified xsi:type="dcterms:W3CDTF">2026-08-26T15:54:20Z</dcterms:modified>
  <dc:subject>论文初稿方法与结果</dc:subject>
  <dc:title>敌草快中毒院内死亡预测模型、住院竞争风险分析及外部验证：方法与结果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eyJoZGlkIjoiZGY2ZTllZDM4N2UyMDczOGIwZjQ5NDIzNTdlOWZiODciLCJ1c2VySWQiOiIxNDc4MzE2NTg4In0=</vt:lpwstr>
  </property>
  <property fmtid="{D5CDD505-2E9C-101B-9397-08002B2CF9AE}" pid="3" name="KSOProductBuildVer">
    <vt:lpwstr>2052-12.1.0.28043</vt:lpwstr>
  </property>
  <property fmtid="{D5CDD505-2E9C-101B-9397-08002B2CF9AE}" pid="4" name="ICV">
    <vt:lpwstr>ACAF9DC2011F4CBEA04B5A6D6B242040_13</vt:lpwstr>
  </property>
</Properties>
</file>