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08DB" w14:textId="77777777" w:rsidR="009B200A" w:rsidRDefault="00000000">
      <w:pPr>
        <w:spacing w:after="360"/>
        <w:jc w:val="both"/>
        <w:rPr>
          <w:b/>
          <w:bCs/>
          <w:color w:val="000000"/>
          <w:sz w:val="32"/>
          <w:szCs w:val="32"/>
        </w:rPr>
      </w:pPr>
      <w:bookmarkStart w:id="0" w:name="_rwzihhwyyjsw"/>
      <w:bookmarkEnd w:id="0"/>
      <w:r>
        <w:rPr>
          <w:b/>
          <w:bCs/>
          <w:color w:val="000000"/>
          <w:sz w:val="32"/>
          <w:szCs w:val="32"/>
        </w:rPr>
        <w:t>Childhood feeding difficulties perceived by mothers and fathers: a cross-sectional study conducted in Family Pediatrician offices.</w:t>
      </w:r>
    </w:p>
    <w:p w14:paraId="2B73910B" w14:textId="77777777" w:rsidR="009B200A" w:rsidRDefault="00000000">
      <w:pPr>
        <w:jc w:val="both"/>
        <w:rPr>
          <w:rFonts w:asciiTheme="majorHAnsi" w:hAnsiTheme="majorHAnsi" w:cstheme="majorHAnsi"/>
          <w:b/>
          <w:bCs/>
          <w:color w:val="000000"/>
        </w:rPr>
      </w:pPr>
      <w:r>
        <w:rPr>
          <w:rFonts w:cstheme="majorHAnsi"/>
          <w:b/>
          <w:bCs/>
          <w:color w:val="000000"/>
        </w:rPr>
        <w:t>SUPPLEMENTARY MATERIAL</w:t>
      </w:r>
    </w:p>
    <w:p w14:paraId="0B9021D3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336E526D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</w:pPr>
      <w:r>
        <w:rPr>
          <w:rFonts w:cstheme="majorHAnsi"/>
          <w:b/>
          <w:bCs/>
          <w:color w:val="000000"/>
        </w:rPr>
        <w:t>BOX S1.</w:t>
      </w:r>
      <w:r>
        <w:t xml:space="preserve"> Items used to construct each variable related to childhood feeding and eating disorders.</w:t>
      </w:r>
    </w:p>
    <w:tbl>
      <w:tblPr>
        <w:tblW w:w="9072" w:type="dxa"/>
        <w:tblLayout w:type="fixed"/>
        <w:tblLook w:val="0600" w:firstRow="0" w:lastRow="0" w:firstColumn="0" w:lastColumn="0" w:noHBand="1" w:noVBand="1"/>
      </w:tblPr>
      <w:tblGrid>
        <w:gridCol w:w="2731"/>
        <w:gridCol w:w="6341"/>
      </w:tblGrid>
      <w:tr w:rsidR="009B200A" w14:paraId="4A953DF9" w14:textId="77777777">
        <w:trPr>
          <w:trHeight w:val="420"/>
        </w:trPr>
        <w:tc>
          <w:tcPr>
            <w:tcW w:w="9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CF0F9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>
              <w:rPr>
                <w:b/>
              </w:rPr>
              <w:t>Childhood Feeding and Eating Disorders</w:t>
            </w:r>
          </w:p>
        </w:tc>
      </w:tr>
      <w:tr w:rsidR="009B200A" w14:paraId="0A9EDF49" w14:textId="77777777"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7582A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Rumination Disorder</w:t>
            </w:r>
          </w:p>
        </w:tc>
        <w:tc>
          <w:tcPr>
            <w:tcW w:w="6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E33E0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bring food back into the mouth after swallowing, showing signs of pleasure?</w:t>
            </w:r>
          </w:p>
          <w:p w14:paraId="1798F271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tend to regurgitate food for rechewing and reswallowing after ingestion (for at least one month and following a period of adequate feeding of at least equal duration)?</w:t>
            </w:r>
          </w:p>
          <w:p w14:paraId="6199994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During meals, does the child assume postures such as arching the back, tilting the head backward, or contracting the abdominal muscles?</w:t>
            </w:r>
          </w:p>
          <w:p w14:paraId="5C9992BA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Have recurrent regurgitation episodes been observed for at least one month following a period of adequate feeding of at least equal duration?</w:t>
            </w:r>
          </w:p>
        </w:tc>
      </w:tr>
      <w:tr w:rsidR="009B200A" w14:paraId="1E460E20" w14:textId="77777777"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8B4B6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Infantile Anorexia</w:t>
            </w:r>
          </w:p>
        </w:tc>
        <w:tc>
          <w:tcPr>
            <w:tcW w:w="6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95EA4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After 6 months of age, did your child show a sudden and prolonged lack of appetite without any apparent reason?</w:t>
            </w:r>
          </w:p>
          <w:p w14:paraId="5A60A014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Is the child easily distracted during meals?</w:t>
            </w:r>
          </w:p>
          <w:p w14:paraId="47EA0BB0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eat willingly?</w:t>
            </w:r>
          </w:p>
          <w:p w14:paraId="78CF3268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Has the child experienced weight loss or failure to thrive during the last 4 to 6 months?</w:t>
            </w:r>
          </w:p>
          <w:p w14:paraId="3FCDA6F5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refuse, or has the child refused, food for at least one month?</w:t>
            </w:r>
          </w:p>
          <w:p w14:paraId="4F8AE37D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After 6 months of age, has the child shown a lack of interest in food?</w:t>
            </w:r>
          </w:p>
        </w:tc>
      </w:tr>
      <w:tr w:rsidR="009B200A" w14:paraId="49003433" w14:textId="77777777"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8A1B1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Sensory Food Aversion</w:t>
            </w:r>
          </w:p>
        </w:tc>
        <w:tc>
          <w:tcPr>
            <w:tcW w:w="6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FC26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Have qualitative reductions in the child's diet occurred for at least one month?</w:t>
            </w:r>
          </w:p>
          <w:p w14:paraId="12514DEC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lastRenderedPageBreak/>
              <w:t>- Does the child refuse, spit out, or vomit certain types of food?</w:t>
            </w:r>
          </w:p>
          <w:p w14:paraId="542722C9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eat without difficulty when offered preferred foods?</w:t>
            </w:r>
          </w:p>
          <w:p w14:paraId="7C6E60DE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For at least one month, has the child eaten only specific foods (not due to food intolerance, celiac disease, or other medical conditions)?</w:t>
            </w:r>
          </w:p>
          <w:p w14:paraId="31871B69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Have quantitative reductions in food intake occurred for at least one month?</w:t>
            </w:r>
          </w:p>
          <w:p w14:paraId="2733613D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refuse new foods because of their taste, smell, color, texture, or temperature?</w:t>
            </w:r>
          </w:p>
          <w:p w14:paraId="79262FAF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show disgust or gagging responses when introduced to a new type of food?</w:t>
            </w:r>
          </w:p>
        </w:tc>
      </w:tr>
      <w:tr w:rsidR="009B200A" w14:paraId="4C61AC8E" w14:textId="77777777"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F6A76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u w:val="single"/>
              </w:rPr>
              <w:lastRenderedPageBreak/>
              <w:t>Post-Traumatic Feeding Disorder</w:t>
            </w:r>
          </w:p>
        </w:tc>
        <w:tc>
          <w:tcPr>
            <w:tcW w:w="6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3F3DA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Did the child begin refusing food following a feeding-related traumatic event (e.g., choking, repeated episodes of vomiting, food poisoning)?</w:t>
            </w:r>
          </w:p>
          <w:p w14:paraId="4FAEDADF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systematically refuse, or has the child systematically refused, bottle feeding while accepting other feeding methods (e.g., spoon feeding)?</w:t>
            </w:r>
          </w:p>
          <w:p w14:paraId="020F6D5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show intense resistance when approaching the bottle or food?</w:t>
            </w:r>
          </w:p>
          <w:p w14:paraId="24E24B4B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readily accept solid foods?</w:t>
            </w:r>
          </w:p>
          <w:p w14:paraId="186F47EE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refuse to open his/her mouth?</w:t>
            </w:r>
          </w:p>
          <w:p w14:paraId="00272B1D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hold food in the mouth?</w:t>
            </w:r>
          </w:p>
          <w:p w14:paraId="79ADAD1B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Did the child begin refusing food following traumatic events not directly related to feeding?</w:t>
            </w:r>
          </w:p>
          <w:p w14:paraId="16D6E025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show anxiety when meals are being prepared?</w:t>
            </w:r>
          </w:p>
        </w:tc>
      </w:tr>
      <w:tr w:rsidR="009B200A" w14:paraId="39BB04E9" w14:textId="77777777"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59781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Oral-Motor Feeding Disorder</w:t>
            </w:r>
          </w:p>
        </w:tc>
        <w:tc>
          <w:tcPr>
            <w:tcW w:w="6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21A7C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have difficulties with sucking?</w:t>
            </w:r>
          </w:p>
          <w:p w14:paraId="702EF31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have difficulty drinking milk from a cup?</w:t>
            </w:r>
          </w:p>
          <w:p w14:paraId="5430B6DC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have difficulty chewing?</w:t>
            </w:r>
          </w:p>
          <w:p w14:paraId="6BE3F959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show difficulty swallowing?</w:t>
            </w:r>
          </w:p>
          <w:p w14:paraId="23E1CCF6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spit out food during meals?</w:t>
            </w:r>
          </w:p>
          <w:p w14:paraId="2880B62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lastRenderedPageBreak/>
              <w:t>- Does the child retain food in the cheeks?</w:t>
            </w:r>
          </w:p>
          <w:p w14:paraId="6CD81C1A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tend to choke or gag during feeding?</w:t>
            </w:r>
          </w:p>
        </w:tc>
      </w:tr>
      <w:tr w:rsidR="009B200A" w14:paraId="6B743948" w14:textId="77777777">
        <w:trPr>
          <w:trHeight w:val="1897"/>
        </w:trPr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83509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lastRenderedPageBreak/>
              <w:t>Food Approach</w:t>
            </w:r>
          </w:p>
        </w:tc>
        <w:tc>
          <w:tcPr>
            <w:tcW w:w="6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784AA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cry when food is offered?</w:t>
            </w:r>
          </w:p>
          <w:p w14:paraId="2E096B44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show aggressive or angry reactions when being fed?</w:t>
            </w:r>
          </w:p>
          <w:p w14:paraId="3A64CCC5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leave the table, interrupting the meal or failing to complete it?</w:t>
            </w:r>
          </w:p>
          <w:p w14:paraId="48107CD4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Is it necessary to restrain or immobilize the child in order to make him/her eat?</w:t>
            </w:r>
          </w:p>
          <w:p w14:paraId="3B91B3FF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play with food or other objects during meals, becoming distracted?</w:t>
            </w:r>
          </w:p>
          <w:p w14:paraId="5FB3157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push food away or throw it?</w:t>
            </w:r>
          </w:p>
          <w:p w14:paraId="744AD87B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spit out food?</w:t>
            </w:r>
          </w:p>
          <w:p w14:paraId="765FE29D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eat only when prompted and encouraged?</w:t>
            </w:r>
          </w:p>
          <w:p w14:paraId="57858BA8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hold food in his/her hand without eating it?</w:t>
            </w:r>
          </w:p>
          <w:p w14:paraId="394B982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Are vomiting episodes observed after meals?</w:t>
            </w:r>
          </w:p>
          <w:p w14:paraId="2418EE21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the child move away from food by arching his/her back?</w:t>
            </w:r>
          </w:p>
        </w:tc>
      </w:tr>
    </w:tbl>
    <w:p w14:paraId="64C6826E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2E8698CB" w14:textId="77777777" w:rsidR="009B200A" w:rsidRDefault="009B200A">
      <w:pPr>
        <w:jc w:val="both"/>
        <w:rPr>
          <w:rFonts w:asciiTheme="majorHAnsi" w:hAnsiTheme="majorHAnsi" w:cstheme="majorHAnsi"/>
          <w:b/>
          <w:bCs/>
          <w:color w:val="000000"/>
        </w:rPr>
      </w:pPr>
    </w:p>
    <w:p w14:paraId="7CA06D9F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</w:pPr>
      <w:r>
        <w:rPr>
          <w:rFonts w:cstheme="majorHAnsi"/>
          <w:b/>
          <w:bCs/>
          <w:color w:val="000000"/>
        </w:rPr>
        <w:t>BOX S2.</w:t>
      </w:r>
      <w:r>
        <w:t xml:space="preserve"> Items used to construct each variable related to parental psychopathology.</w:t>
      </w:r>
    </w:p>
    <w:tbl>
      <w:tblPr>
        <w:tblW w:w="9072" w:type="dxa"/>
        <w:tblLayout w:type="fixed"/>
        <w:tblLook w:val="0600" w:firstRow="0" w:lastRow="0" w:firstColumn="0" w:lastColumn="0" w:noHBand="1" w:noVBand="1"/>
      </w:tblPr>
      <w:tblGrid>
        <w:gridCol w:w="1948"/>
        <w:gridCol w:w="7124"/>
      </w:tblGrid>
      <w:tr w:rsidR="009B200A" w14:paraId="0CE2CB04" w14:textId="77777777">
        <w:trPr>
          <w:trHeight w:val="420"/>
        </w:trPr>
        <w:tc>
          <w:tcPr>
            <w:tcW w:w="9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A70B6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>
              <w:rPr>
                <w:b/>
              </w:rPr>
              <w:t>Parental Psychopathology</w:t>
            </w:r>
          </w:p>
        </w:tc>
      </w:tr>
      <w:tr w:rsidR="009B200A" w14:paraId="2D7D90E3" w14:textId="77777777"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30435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Phobias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5687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Are you worried about your child's eating or feeding behavior?</w:t>
            </w:r>
          </w:p>
          <w:p w14:paraId="52550614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Recently, have you experienced intense fears or excessive distress regarding the situation?</w:t>
            </w:r>
          </w:p>
          <w:p w14:paraId="22D7023D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Recently, have you felt excessively tense, nervous, or anxious without any apparent reason?</w:t>
            </w:r>
          </w:p>
        </w:tc>
      </w:tr>
      <w:tr w:rsidR="009B200A" w14:paraId="3D5ADFD8" w14:textId="77777777"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C2D2E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Mood Disorder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E19F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Is mealtime with your child a source of discomfort for you?</w:t>
            </w:r>
          </w:p>
          <w:p w14:paraId="5FC649C1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your child's behavior during meals make you angry?</w:t>
            </w:r>
          </w:p>
          <w:p w14:paraId="55086015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 xml:space="preserve">- Recently, have you experienced profound sadness, unhappiness, hopelessness, or </w:t>
            </w:r>
            <w:r>
              <w:lastRenderedPageBreak/>
              <w:t>frequent crying?</w:t>
            </w:r>
          </w:p>
        </w:tc>
      </w:tr>
      <w:tr w:rsidR="009B200A" w14:paraId="58A8EADD" w14:textId="77777777"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A2F9E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lastRenderedPageBreak/>
              <w:t>Obsessive-Compulsive Disorder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1AB8C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it bother you when your child gets dirty with food while eating?</w:t>
            </w:r>
          </w:p>
          <w:p w14:paraId="67EEE9F5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 you currently have, or have you previously had, the urge to repeatedly check actions you have already performed?</w:t>
            </w:r>
          </w:p>
          <w:p w14:paraId="53923C83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According to you or your family members, do you spend excessive time on personal hygiene or household cleaning, neglecting other commitments and duties?</w:t>
            </w:r>
          </w:p>
          <w:p w14:paraId="2C2845A2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 you experience recurrent thoughts that interfere with your daily life and that you cannot get rid of?</w:t>
            </w:r>
          </w:p>
          <w:p w14:paraId="20041BBD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Does it bother you when your child does not behave during meals as you would like?</w:t>
            </w:r>
          </w:p>
        </w:tc>
      </w:tr>
      <w:tr w:rsidR="009B200A" w14:paraId="0E2CF576" w14:textId="77777777"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70BE1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Parental Mealtime Practices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FB0A6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 you force your child to eat?</w:t>
            </w:r>
          </w:p>
          <w:p w14:paraId="0448981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 you distract the child, or allow the child to become distracted (e.g., toys, television) during meals in order to make him/her eat?</w:t>
            </w:r>
          </w:p>
          <w:p w14:paraId="6FFF5E4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Are the strategies you use to make your child eat effective?</w:t>
            </w:r>
          </w:p>
          <w:p w14:paraId="32D0C54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Do you consider mealtimes with your child to be satisfactory?</w:t>
            </w:r>
          </w:p>
        </w:tc>
      </w:tr>
      <w:tr w:rsidR="009B200A" w14:paraId="0FFC1250" w14:textId="77777777"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159F9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  <w:u w:val="single"/>
              </w:rPr>
            </w:pPr>
            <w:r>
              <w:rPr>
                <w:u w:val="single"/>
              </w:rPr>
              <w:t>Eating Disorders</w:t>
            </w:r>
          </w:p>
        </w:tc>
        <w:tc>
          <w:tcPr>
            <w:tcW w:w="7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5A8CF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Has food been, or is food currently, a source of distress for you?</w:t>
            </w:r>
          </w:p>
          <w:p w14:paraId="23D9D0B6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Have you followed highly restrictive diets, or conversely experienced periods of uncontrolled binge eating?</w:t>
            </w:r>
          </w:p>
          <w:p w14:paraId="7628A2D7" w14:textId="77777777" w:rsidR="009B200A" w:rsidRDefault="00000000">
            <w:pPr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>
              <w:t>- Has your body weight and/or body shape been, or is it currently, a source of distress or concern for you?</w:t>
            </w:r>
          </w:p>
        </w:tc>
      </w:tr>
    </w:tbl>
    <w:p w14:paraId="54573272" w14:textId="77777777" w:rsidR="009B200A" w:rsidRDefault="009B200A">
      <w:pPr>
        <w:sectPr w:rsidR="009B200A">
          <w:pgSz w:w="11906" w:h="16838"/>
          <w:pgMar w:top="1440" w:right="1440" w:bottom="1440" w:left="1440" w:header="0" w:footer="0" w:gutter="0"/>
          <w:pgNumType w:start="1"/>
          <w:cols w:space="720"/>
          <w:formProt w:val="0"/>
          <w:docGrid w:linePitch="100"/>
        </w:sectPr>
      </w:pPr>
    </w:p>
    <w:p w14:paraId="30371FC6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</w:pPr>
      <w:r>
        <w:rPr>
          <w:rFonts w:cstheme="majorHAnsi"/>
          <w:color w:val="000000"/>
        </w:rPr>
        <w:lastRenderedPageBreak/>
        <w:t xml:space="preserve">Figure S1. </w:t>
      </w:r>
      <w:r>
        <w:rPr>
          <w:rFonts w:cstheme="majorHAnsi"/>
          <w:b/>
          <w:bCs/>
          <w:color w:val="000000"/>
        </w:rPr>
        <w:t xml:space="preserve">Scatterplots of children's rumination scores in relation to parental psychopathology scores. </w:t>
      </w:r>
      <w:r>
        <w:rPr>
          <w:rFonts w:cstheme="majorHAnsi"/>
          <w:color w:val="000000"/>
        </w:rPr>
        <w:t>Maternal scores are shown in green and paternal scores in blue.</w:t>
      </w:r>
      <w:r>
        <w:rPr>
          <w:rFonts w:cstheme="majorHAnsi"/>
          <w:b/>
          <w:bCs/>
          <w:color w:val="000000"/>
        </w:rPr>
        <w:t xml:space="preserve"> </w:t>
      </w:r>
      <w:r>
        <w:rPr>
          <w:rFonts w:cstheme="majorHAnsi"/>
          <w:color w:val="000000"/>
        </w:rPr>
        <w:t>The estimated regression line is shown in red. The x- and y-axes represent the hypothetical range of variation for each variable. For each scatterplot, Pearson's correlation coefficient and the corresponding p-value are reported.</w:t>
      </w:r>
    </w:p>
    <w:p w14:paraId="4DCAB909" w14:textId="77777777" w:rsidR="009B200A" w:rsidRDefault="009B200A">
      <w:pPr>
        <w:jc w:val="both"/>
        <w:rPr>
          <w:rFonts w:asciiTheme="majorHAnsi" w:hAnsiTheme="majorHAnsi" w:cstheme="majorHAnsi"/>
        </w:rPr>
      </w:pPr>
    </w:p>
    <w:p w14:paraId="75295A65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  <w:sectPr w:rsidR="009B200A">
          <w:pgSz w:w="11906" w:h="16838"/>
          <w:pgMar w:top="1440" w:right="1440" w:bottom="1440" w:left="1440" w:header="0" w:footer="0" w:gutter="0"/>
          <w:pgNumType w:start="1"/>
          <w:cols w:space="720"/>
          <w:formProt w:val="0"/>
          <w:docGrid w:linePitch="100"/>
        </w:sectPr>
      </w:pPr>
      <w:r>
        <w:rPr>
          <w:noProof/>
        </w:rPr>
        <w:drawing>
          <wp:inline distT="0" distB="0" distL="0" distR="0" wp14:anchorId="156C8DEB" wp14:editId="008D32D6">
            <wp:extent cx="5730240" cy="364236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642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DC383" w14:textId="77777777" w:rsidR="009B200A" w:rsidRDefault="00000000">
      <w:pPr>
        <w:jc w:val="both"/>
        <w:rPr>
          <w:rFonts w:asciiTheme="majorHAnsi" w:hAnsiTheme="majorHAnsi" w:cstheme="majorHAnsi"/>
          <w:color w:val="000000"/>
        </w:rPr>
      </w:pPr>
      <w:r>
        <w:rPr>
          <w:rFonts w:cstheme="majorHAnsi"/>
          <w:color w:val="000000"/>
        </w:rPr>
        <w:lastRenderedPageBreak/>
        <w:t xml:space="preserve">Figure S2. </w:t>
      </w:r>
      <w:r>
        <w:rPr>
          <w:rFonts w:cstheme="majorHAnsi"/>
          <w:b/>
          <w:bCs/>
          <w:color w:val="000000"/>
        </w:rPr>
        <w:t xml:space="preserve">Scatterplots of children's infantile anorexia scores in relation to parental psychopathology scores. </w:t>
      </w:r>
      <w:r>
        <w:rPr>
          <w:rFonts w:cstheme="majorHAnsi"/>
          <w:color w:val="000000"/>
        </w:rPr>
        <w:t xml:space="preserve">Maternal scores are shown in green and paternal scores in blue. </w:t>
      </w:r>
      <w:r>
        <w:rPr>
          <w:rFonts w:cstheme="majorHAnsi"/>
          <w:b/>
          <w:bCs/>
          <w:color w:val="000000"/>
        </w:rPr>
        <w:t xml:space="preserve"> </w:t>
      </w:r>
      <w:r>
        <w:rPr>
          <w:rFonts w:cstheme="majorHAnsi"/>
          <w:color w:val="000000"/>
        </w:rPr>
        <w:t>The estimated regression line is shown in red. The x- and y-axes represent the hypothetical range of variation for each variable. For each scatterplot, Pearson's correlation coefficient and the corresponding p-value are reported.</w:t>
      </w:r>
    </w:p>
    <w:p w14:paraId="49C244F1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3CDBAEE9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  <w:sectPr w:rsidR="009B200A">
          <w:pgSz w:w="11906" w:h="16838"/>
          <w:pgMar w:top="1440" w:right="1440" w:bottom="1440" w:left="1440" w:header="0" w:footer="0" w:gutter="0"/>
          <w:cols w:space="720"/>
          <w:formProt w:val="0"/>
          <w:docGrid w:linePitch="100"/>
        </w:sectPr>
      </w:pPr>
      <w:r>
        <w:rPr>
          <w:noProof/>
        </w:rPr>
        <w:drawing>
          <wp:inline distT="0" distB="0" distL="0" distR="0" wp14:anchorId="43E3F3A4" wp14:editId="1B06A164">
            <wp:extent cx="5730240" cy="3718560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71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D206EC" w14:textId="77777777" w:rsidR="009B200A" w:rsidRDefault="00000000">
      <w:pPr>
        <w:jc w:val="both"/>
        <w:rPr>
          <w:rFonts w:asciiTheme="majorHAnsi" w:hAnsiTheme="majorHAnsi" w:cstheme="majorHAnsi"/>
          <w:color w:val="000000"/>
        </w:rPr>
      </w:pPr>
      <w:r>
        <w:rPr>
          <w:rFonts w:cstheme="majorHAnsi"/>
          <w:color w:val="000000"/>
        </w:rPr>
        <w:lastRenderedPageBreak/>
        <w:t xml:space="preserve">Figure S3. </w:t>
      </w:r>
      <w:r>
        <w:rPr>
          <w:rFonts w:cstheme="majorHAnsi"/>
          <w:b/>
          <w:bCs/>
          <w:color w:val="000000"/>
        </w:rPr>
        <w:t xml:space="preserve">Scatterplots of children's sensory food aversion scores in relation to parental psychopathology scores. </w:t>
      </w:r>
      <w:r>
        <w:rPr>
          <w:rFonts w:cstheme="majorHAnsi"/>
          <w:color w:val="000000"/>
        </w:rPr>
        <w:t xml:space="preserve">Maternal scores are shown in green and paternal scores in blue. </w:t>
      </w:r>
      <w:r>
        <w:rPr>
          <w:rFonts w:cstheme="majorHAnsi"/>
          <w:b/>
          <w:bCs/>
          <w:color w:val="000000"/>
        </w:rPr>
        <w:t xml:space="preserve"> </w:t>
      </w:r>
      <w:r>
        <w:rPr>
          <w:rFonts w:cstheme="majorHAnsi"/>
          <w:color w:val="000000"/>
        </w:rPr>
        <w:t>The estimated regression line is shown in red. The x- and y-axes represent the hypothetical range of variation for each variable. For each scatterplot, Pearson's correlation coefficient and the corresponding p-value are reported.</w:t>
      </w:r>
    </w:p>
    <w:p w14:paraId="5E606340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32CC6E16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  <w:sectPr w:rsidR="009B200A">
          <w:pgSz w:w="11906" w:h="16838"/>
          <w:pgMar w:top="1440" w:right="1440" w:bottom="1440" w:left="1440" w:header="0" w:footer="0" w:gutter="0"/>
          <w:cols w:space="720"/>
          <w:formProt w:val="0"/>
          <w:docGrid w:linePitch="100"/>
        </w:sectPr>
      </w:pPr>
      <w:r>
        <w:rPr>
          <w:noProof/>
        </w:rPr>
        <w:drawing>
          <wp:inline distT="0" distB="0" distL="0" distR="0" wp14:anchorId="686A2ADB" wp14:editId="4BFAEFDF">
            <wp:extent cx="5730240" cy="3634740"/>
            <wp:effectExtent l="0" t="0" r="0" b="0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63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801AE" w14:textId="77777777" w:rsidR="009B200A" w:rsidRDefault="00000000">
      <w:pPr>
        <w:jc w:val="both"/>
        <w:rPr>
          <w:rFonts w:asciiTheme="majorHAnsi" w:hAnsiTheme="majorHAnsi" w:cstheme="majorHAnsi"/>
          <w:color w:val="000000"/>
        </w:rPr>
      </w:pPr>
      <w:r>
        <w:rPr>
          <w:rFonts w:cstheme="majorHAnsi"/>
          <w:color w:val="000000"/>
        </w:rPr>
        <w:lastRenderedPageBreak/>
        <w:t xml:space="preserve">Figure S4. </w:t>
      </w:r>
      <w:r>
        <w:rPr>
          <w:rFonts w:cstheme="majorHAnsi"/>
          <w:b/>
          <w:bCs/>
          <w:color w:val="000000"/>
        </w:rPr>
        <w:t xml:space="preserve">Scatterplots of children's post-traumatic feeding disorder scores in relation to parental psychopathology scores. </w:t>
      </w:r>
      <w:r>
        <w:rPr>
          <w:rFonts w:cstheme="majorHAnsi"/>
          <w:color w:val="000000"/>
        </w:rPr>
        <w:t xml:space="preserve">Maternal scores are shown in green and paternal scores in blue. </w:t>
      </w:r>
      <w:r>
        <w:rPr>
          <w:rFonts w:cstheme="majorHAnsi"/>
          <w:b/>
          <w:bCs/>
          <w:color w:val="000000"/>
        </w:rPr>
        <w:t xml:space="preserve"> </w:t>
      </w:r>
      <w:r>
        <w:rPr>
          <w:rFonts w:cstheme="majorHAnsi"/>
          <w:color w:val="000000"/>
        </w:rPr>
        <w:t>The estimated regression line is shown in red. The x- and y-axes represent the hypothetical range of variation for each variable. For each scatterplot, Pearson's correlation coefficient and the corresponding p-value are reported.</w:t>
      </w:r>
    </w:p>
    <w:p w14:paraId="33555930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6C4B4C45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  <w:sectPr w:rsidR="009B200A">
          <w:pgSz w:w="11906" w:h="16838"/>
          <w:pgMar w:top="1440" w:right="1440" w:bottom="1440" w:left="1440" w:header="0" w:footer="0" w:gutter="0"/>
          <w:cols w:space="720"/>
          <w:formProt w:val="0"/>
          <w:docGrid w:linePitch="100"/>
        </w:sectPr>
      </w:pPr>
      <w:r>
        <w:rPr>
          <w:noProof/>
        </w:rPr>
        <w:drawing>
          <wp:inline distT="0" distB="0" distL="0" distR="0" wp14:anchorId="74D10F75" wp14:editId="134AE65B">
            <wp:extent cx="5722620" cy="3581400"/>
            <wp:effectExtent l="0" t="0" r="0" b="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9D7FF" w14:textId="77777777" w:rsidR="009B200A" w:rsidRDefault="00000000">
      <w:pPr>
        <w:jc w:val="both"/>
        <w:rPr>
          <w:rFonts w:asciiTheme="majorHAnsi" w:hAnsiTheme="majorHAnsi" w:cstheme="majorHAnsi"/>
          <w:color w:val="000000"/>
        </w:rPr>
      </w:pPr>
      <w:r>
        <w:rPr>
          <w:rFonts w:cstheme="majorHAnsi"/>
          <w:color w:val="000000"/>
        </w:rPr>
        <w:lastRenderedPageBreak/>
        <w:t xml:space="preserve">Figure S5. </w:t>
      </w:r>
      <w:r>
        <w:rPr>
          <w:rFonts w:cstheme="majorHAnsi"/>
          <w:b/>
          <w:bCs/>
          <w:color w:val="000000"/>
        </w:rPr>
        <w:t xml:space="preserve">Scatterplots of children's oral-motor feeding disorder scores in relation to parental psychopathology scores. </w:t>
      </w:r>
      <w:r>
        <w:rPr>
          <w:rFonts w:cstheme="majorHAnsi"/>
          <w:color w:val="000000"/>
        </w:rPr>
        <w:t xml:space="preserve">Maternal scores are shown in green and paternal scores in blue. </w:t>
      </w:r>
      <w:r>
        <w:rPr>
          <w:rFonts w:cstheme="majorHAnsi"/>
          <w:b/>
          <w:bCs/>
          <w:color w:val="000000"/>
        </w:rPr>
        <w:t xml:space="preserve"> </w:t>
      </w:r>
      <w:r>
        <w:rPr>
          <w:rFonts w:cstheme="majorHAnsi"/>
          <w:color w:val="000000"/>
        </w:rPr>
        <w:t>The estimated regression line is shown in red. The x- and y-axes represent the hypothetical range of variation for each variable. For each scatterplot, Pearson's correlation coefficient and the corresponding p-value are reported.</w:t>
      </w:r>
    </w:p>
    <w:p w14:paraId="37A01EE3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14CDCEB9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  <w:sectPr w:rsidR="009B200A">
          <w:pgSz w:w="11906" w:h="16838"/>
          <w:pgMar w:top="1440" w:right="1440" w:bottom="1440" w:left="1440" w:header="0" w:footer="0" w:gutter="0"/>
          <w:cols w:space="720"/>
          <w:formProt w:val="0"/>
          <w:docGrid w:linePitch="100"/>
        </w:sectPr>
      </w:pPr>
      <w:r>
        <w:rPr>
          <w:noProof/>
        </w:rPr>
        <w:drawing>
          <wp:inline distT="0" distB="0" distL="0" distR="0" wp14:anchorId="3B73E56F" wp14:editId="6835ABE3">
            <wp:extent cx="5722620" cy="3634740"/>
            <wp:effectExtent l="0" t="0" r="0" b="0"/>
            <wp:docPr id="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63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04408" w14:textId="77777777" w:rsidR="009B200A" w:rsidRDefault="00000000">
      <w:pPr>
        <w:jc w:val="both"/>
        <w:rPr>
          <w:rFonts w:asciiTheme="majorHAnsi" w:hAnsiTheme="majorHAnsi" w:cstheme="majorHAnsi"/>
          <w:color w:val="000000"/>
        </w:rPr>
      </w:pPr>
      <w:r>
        <w:rPr>
          <w:rFonts w:cstheme="majorHAnsi"/>
          <w:color w:val="000000"/>
        </w:rPr>
        <w:lastRenderedPageBreak/>
        <w:t xml:space="preserve">Figure S6. </w:t>
      </w:r>
      <w:r>
        <w:rPr>
          <w:rFonts w:cstheme="majorHAnsi"/>
          <w:b/>
          <w:bCs/>
          <w:color w:val="000000"/>
        </w:rPr>
        <w:t xml:space="preserve">Scatterplots of children's food approach scores in relation to parental psychopathology scores. </w:t>
      </w:r>
      <w:r>
        <w:rPr>
          <w:rFonts w:cstheme="majorHAnsi"/>
          <w:color w:val="000000"/>
        </w:rPr>
        <w:t xml:space="preserve">Maternal scores are shown in green and paternal scores in blue. </w:t>
      </w:r>
      <w:r>
        <w:rPr>
          <w:rFonts w:cstheme="majorHAnsi"/>
          <w:b/>
          <w:bCs/>
          <w:color w:val="000000"/>
        </w:rPr>
        <w:t xml:space="preserve"> </w:t>
      </w:r>
      <w:r>
        <w:rPr>
          <w:rFonts w:cstheme="majorHAnsi"/>
          <w:color w:val="000000"/>
        </w:rPr>
        <w:t>The estimated regression line is shown in red. The x- and y-axes represent the hypothetical range of variation for each variable. For each scatterplot, Pearson's correlation coefficient and the corresponding p-value are reported.</w:t>
      </w:r>
    </w:p>
    <w:p w14:paraId="71BEC2EA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3E488D4F" w14:textId="77777777" w:rsidR="009B200A" w:rsidRDefault="00000000">
      <w:pPr>
        <w:jc w:val="both"/>
        <w:rPr>
          <w:rFonts w:asciiTheme="majorHAnsi" w:eastAsia="Times New Roman" w:hAnsiTheme="majorHAnsi" w:cstheme="majorHAnsi"/>
          <w:color w:val="000000"/>
        </w:rPr>
      </w:pPr>
      <w:r>
        <w:rPr>
          <w:noProof/>
        </w:rPr>
        <w:drawing>
          <wp:inline distT="0" distB="0" distL="0" distR="0" wp14:anchorId="6E101820" wp14:editId="7A7A7CB5">
            <wp:extent cx="5722620" cy="3680460"/>
            <wp:effectExtent l="0" t="0" r="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68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61E4BF" w14:textId="77777777" w:rsidR="009B200A" w:rsidRDefault="009B200A">
      <w:pPr>
        <w:jc w:val="both"/>
        <w:rPr>
          <w:rFonts w:asciiTheme="majorHAnsi" w:eastAsia="Times New Roman" w:hAnsiTheme="majorHAnsi" w:cstheme="majorHAnsi"/>
          <w:color w:val="000000"/>
        </w:rPr>
      </w:pPr>
    </w:p>
    <w:p w14:paraId="46912D15" w14:textId="77777777" w:rsidR="009B200A" w:rsidRDefault="009B200A">
      <w:pPr>
        <w:jc w:val="both"/>
        <w:rPr>
          <w:lang w:val="it-IT"/>
        </w:rPr>
      </w:pPr>
    </w:p>
    <w:sectPr w:rsidR="009B200A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1"/>
    <w:family w:val="auto"/>
    <w:pitch w:val="variable"/>
    <w:embedRegular r:id="rId1" w:fontKey="{CEFD7DFF-422A-4964-9DE3-B1C825113E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1"/>
    <w:family w:val="swiss"/>
    <w:pitch w:val="default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682B20B-1A7C-4CB0-9D91-1B3BF155FBF2}"/>
    <w:embedBold r:id="rId3" w:fontKey="{8EC387C0-96D2-45A3-AFC4-3CED5825A347}"/>
    <w:embedItalic r:id="rId4" w:fontKey="{9620272A-F740-4F13-A7EF-325A84AFCD16}"/>
  </w:font>
  <w:font w:name="Play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embedRegular r:id="rId5" w:fontKey="{6C716C17-202E-4C9D-9F6C-B0805B8BE41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8124D21-4ECE-4EE4-9BCD-A57C23BE59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21D"/>
    <w:multiLevelType w:val="multilevel"/>
    <w:tmpl w:val="7CE004E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07410A2F"/>
    <w:multiLevelType w:val="multilevel"/>
    <w:tmpl w:val="A660430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1B194316"/>
    <w:multiLevelType w:val="multilevel"/>
    <w:tmpl w:val="C406D51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21950BF8"/>
    <w:multiLevelType w:val="multilevel"/>
    <w:tmpl w:val="A3241DA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4871898"/>
    <w:multiLevelType w:val="multilevel"/>
    <w:tmpl w:val="7CC869E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292B0042"/>
    <w:multiLevelType w:val="multilevel"/>
    <w:tmpl w:val="1A92ADF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2B43631D"/>
    <w:multiLevelType w:val="multilevel"/>
    <w:tmpl w:val="1D68A44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2BB154D0"/>
    <w:multiLevelType w:val="multilevel"/>
    <w:tmpl w:val="06A2C1D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30C002B0"/>
    <w:multiLevelType w:val="multilevel"/>
    <w:tmpl w:val="B8320C2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365A5B0E"/>
    <w:multiLevelType w:val="multilevel"/>
    <w:tmpl w:val="C12412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7EE69DF"/>
    <w:multiLevelType w:val="multilevel"/>
    <w:tmpl w:val="9C120D8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3D6E7060"/>
    <w:multiLevelType w:val="multilevel"/>
    <w:tmpl w:val="DF0E9E0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41732843"/>
    <w:multiLevelType w:val="multilevel"/>
    <w:tmpl w:val="A5E0FCA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42ED4C34"/>
    <w:multiLevelType w:val="multilevel"/>
    <w:tmpl w:val="698A64B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4" w15:restartNumberingAfterBreak="0">
    <w:nsid w:val="52426B04"/>
    <w:multiLevelType w:val="multilevel"/>
    <w:tmpl w:val="6AF4AE5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5" w15:restartNumberingAfterBreak="0">
    <w:nsid w:val="7F2F0305"/>
    <w:multiLevelType w:val="multilevel"/>
    <w:tmpl w:val="170A5C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 w15:restartNumberingAfterBreak="0">
    <w:nsid w:val="7F496AC9"/>
    <w:multiLevelType w:val="multilevel"/>
    <w:tmpl w:val="C6A65B0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1002587996">
    <w:abstractNumId w:val="0"/>
  </w:num>
  <w:num w:numId="2" w16cid:durableId="1746103024">
    <w:abstractNumId w:val="5"/>
  </w:num>
  <w:num w:numId="3" w16cid:durableId="375005554">
    <w:abstractNumId w:val="1"/>
  </w:num>
  <w:num w:numId="4" w16cid:durableId="719475766">
    <w:abstractNumId w:val="3"/>
  </w:num>
  <w:num w:numId="5" w16cid:durableId="1914075253">
    <w:abstractNumId w:val="2"/>
  </w:num>
  <w:num w:numId="6" w16cid:durableId="1572275549">
    <w:abstractNumId w:val="15"/>
  </w:num>
  <w:num w:numId="7" w16cid:durableId="1443527864">
    <w:abstractNumId w:val="6"/>
  </w:num>
  <w:num w:numId="8" w16cid:durableId="812329063">
    <w:abstractNumId w:val="8"/>
  </w:num>
  <w:num w:numId="9" w16cid:durableId="54207421">
    <w:abstractNumId w:val="11"/>
  </w:num>
  <w:num w:numId="10" w16cid:durableId="206188901">
    <w:abstractNumId w:val="10"/>
  </w:num>
  <w:num w:numId="11" w16cid:durableId="662314171">
    <w:abstractNumId w:val="16"/>
  </w:num>
  <w:num w:numId="12" w16cid:durableId="891162885">
    <w:abstractNumId w:val="12"/>
  </w:num>
  <w:num w:numId="13" w16cid:durableId="1124034258">
    <w:abstractNumId w:val="7"/>
  </w:num>
  <w:num w:numId="14" w16cid:durableId="1786925449">
    <w:abstractNumId w:val="4"/>
  </w:num>
  <w:num w:numId="15" w16cid:durableId="1059522229">
    <w:abstractNumId w:val="14"/>
  </w:num>
  <w:num w:numId="16" w16cid:durableId="1660889808">
    <w:abstractNumId w:val="13"/>
  </w:num>
  <w:num w:numId="17" w16cid:durableId="1942641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00A"/>
    <w:rsid w:val="002279C7"/>
    <w:rsid w:val="003C09AB"/>
    <w:rsid w:val="009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AB89D"/>
  <w15:docId w15:val="{83DBCCB4-2508-46E5-B8EE-3A3A7D3D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480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369D1"/>
    <w:rPr>
      <w:color w:val="0000FF" w:themeColor="hyperlink"/>
      <w:u w:val="single"/>
    </w:rPr>
  </w:style>
  <w:style w:type="paragraph" w:styleId="Titolo">
    <w:name w:val="Title"/>
    <w:basedOn w:val="Normale"/>
    <w:next w:val="Corpotesto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1283</Words>
  <Characters>6728</Characters>
  <Application>Microsoft Office Word</Application>
  <DocSecurity>0</DocSecurity>
  <Lines>160</Lines>
  <Paragraphs>100</Paragraphs>
  <ScaleCrop>false</ScaleCrop>
  <Company>CONAD SOCIETA' COOPERATIVA</Company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 Francesca</dc:creator>
  <dc:description/>
  <cp:lastModifiedBy>Fabris Giulio</cp:lastModifiedBy>
  <cp:revision>17</cp:revision>
  <dcterms:created xsi:type="dcterms:W3CDTF">2026-08-07T10:24:00Z</dcterms:created>
  <dcterms:modified xsi:type="dcterms:W3CDTF">2026-08-10T09:50:00Z</dcterms:modified>
  <dc:language>it-IT</dc:language>
</cp:coreProperties>
</file>