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adjustRightInd/>
        <w:snapToGrid/>
        <w:spacing w:before="0" w:after="0" w:line="240" w:lineRule="auto"/>
        <w:jc w:val="center"/>
        <w:rPr>
          <w:rFonts w:ascii="Times New Roman" w:hAnsi="Times New Roman"/>
          <w:lang w:val="en-GB"/>
        </w:rPr>
      </w:pPr>
      <w:r>
        <w:rPr>
          <w:rFonts w:hint="eastAsia" w:ascii="Times New Roman" w:hAnsi="Times New Roman"/>
          <w:lang w:val="en-GB"/>
        </w:rPr>
        <w:t>Supplementa</w:t>
      </w:r>
      <w:r>
        <w:rPr>
          <w:rFonts w:ascii="Times New Roman" w:hAnsi="Times New Roman"/>
          <w:lang w:val="en-GB"/>
        </w:rPr>
        <w:t>ry</w:t>
      </w:r>
      <w:r>
        <w:rPr>
          <w:rFonts w:hint="eastAsia" w:ascii="Times New Roman" w:hAnsi="Times New Roman"/>
          <w:lang w:val="en-GB"/>
        </w:rPr>
        <w:t xml:space="preserve"> Materials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beforeAutospacing="0" w:after="0" w:afterLines="0" w:afterAutospacing="0" w:line="576" w:lineRule="auto"/>
        <w:jc w:val="both"/>
        <w:textAlignment w:val="auto"/>
        <w:outlineLvl w:val="0"/>
        <w:rPr>
          <w:rFonts w:hint="default" w:ascii="Times New Roman" w:hAnsi="Times New Roman" w:eastAsia="宋体" w:cs="Times New Roman"/>
          <w:b/>
          <w:kern w:val="44"/>
          <w:sz w:val="30"/>
          <w:szCs w:val="30"/>
          <w:vertAlign w:val="baseline"/>
          <w:lang w:val="en-US" w:eastAsia="zh-CN" w:bidi="ar-SA"/>
        </w:rPr>
      </w:pPr>
      <w:r>
        <w:rPr>
          <w:rFonts w:hint="default" w:ascii="Times New Roman" w:hAnsi="Times New Roman" w:cs="Times New Roman"/>
          <w:b/>
          <w:sz w:val="30"/>
          <w:szCs w:val="30"/>
          <w:vertAlign w:val="baseline"/>
          <w:lang w:val="en-US" w:eastAsia="zh-CN"/>
        </w:rPr>
        <w:t xml:space="preserve">Effects of modification and co-aging with soils on Cd(II) adsorption behaviors and quantitative mechanisms </w:t>
      </w:r>
      <w:r>
        <w:rPr>
          <w:rFonts w:hint="eastAsia" w:ascii="Times New Roman" w:hAnsi="Times New Roman" w:cs="Times New Roman"/>
          <w:b/>
          <w:sz w:val="30"/>
          <w:szCs w:val="30"/>
          <w:vertAlign w:val="baseline"/>
          <w:lang w:val="en-US" w:eastAsia="zh-CN"/>
        </w:rPr>
        <w:t>by biochar</w:t>
      </w:r>
    </w:p>
    <w:p>
      <w:pPr>
        <w:widowControl w:val="0"/>
        <w:adjustRightInd/>
        <w:snapToGrid/>
        <w:spacing w:before="100" w:beforeAutospacing="1" w:after="0" w:line="240" w:lineRule="auto"/>
        <w:jc w:val="both"/>
        <w:rPr>
          <w:rFonts w:hint="default" w:ascii="Times New Roman" w:hAnsi="Times New Roman" w:eastAsia="宋体" w:cs="Times New Roman"/>
          <w:color w:val="000000"/>
          <w:kern w:val="2"/>
          <w:sz w:val="21"/>
          <w:vertAlign w:val="subscript"/>
          <w:lang w:val="en-US" w:eastAsia="zh-CN"/>
        </w:rPr>
      </w:pPr>
      <w:r>
        <w:rPr>
          <w:rFonts w:hint="eastAsia" w:ascii="Times New Roman" w:hAnsi="Times New Roman" w:eastAsia="宋体" w:cs="Times New Roman"/>
          <w:kern w:val="2"/>
          <w:sz w:val="21"/>
          <w:u w:val="single"/>
        </w:rPr>
        <w:t>Zhuowen Meng</w:t>
      </w:r>
      <w:r>
        <w:rPr>
          <w:rFonts w:hint="eastAsia" w:ascii="Times New Roman" w:hAnsi="Times New Roman" w:eastAsia="宋体" w:cs="Times New Roman"/>
          <w:kern w:val="2"/>
          <w:sz w:val="21"/>
          <w:u w:val="single"/>
          <w:vertAlign w:val="superscript"/>
        </w:rPr>
        <w:t>1</w:t>
      </w:r>
      <w:r>
        <w:rPr>
          <w:rFonts w:hint="eastAsia" w:ascii="Times New Roman" w:hAnsi="Times New Roman" w:eastAsia="宋体" w:cs="Times New Roman"/>
          <w:kern w:val="2"/>
          <w:sz w:val="21"/>
          <w:u w:val="single"/>
        </w:rPr>
        <w:t>, Shuang Huang</w:t>
      </w:r>
      <w:r>
        <w:rPr>
          <w:rFonts w:ascii="Times New Roman" w:hAnsi="Times New Roman" w:eastAsia="宋体" w:cs="Times New Roman"/>
          <w:kern w:val="2"/>
          <w:sz w:val="21"/>
          <w:u w:val="single"/>
          <w:vertAlign w:val="superscript"/>
        </w:rPr>
        <w:t>1*</w:t>
      </w:r>
      <w:r>
        <w:rPr>
          <w:rFonts w:hint="eastAsia" w:ascii="Times New Roman" w:hAnsi="Times New Roman" w:cs="Times New Roman"/>
          <w:sz w:val="21"/>
          <w:szCs w:val="21"/>
          <w:u w:val="single"/>
          <w:vertAlign w:val="baseline"/>
          <w:lang w:val="en-US" w:eastAsia="zh-CN"/>
        </w:rPr>
        <w:t>, Zhongbing Lin</w:t>
      </w:r>
      <w:r>
        <w:rPr>
          <w:rFonts w:hint="eastAsia" w:ascii="Times New Roman" w:hAnsi="Times New Roman" w:cs="Times New Roman"/>
          <w:sz w:val="21"/>
          <w:szCs w:val="21"/>
          <w:u w:val="single"/>
          <w:vertAlign w:val="superscript"/>
          <w:lang w:val="en-US" w:eastAsia="zh-CN"/>
        </w:rPr>
        <w:t>1</w:t>
      </w:r>
    </w:p>
    <w:p>
      <w:pPr>
        <w:widowControl w:val="0"/>
        <w:adjustRightInd/>
        <w:snapToGrid/>
        <w:spacing w:after="0" w:line="480" w:lineRule="auto"/>
        <w:jc w:val="both"/>
        <w:rPr>
          <w:rFonts w:ascii="Times New Roman" w:hAnsi="Times New Roman" w:eastAsia="宋体" w:cs="Times New Roman"/>
          <w:i/>
          <w:kern w:val="2"/>
          <w:sz w:val="18"/>
          <w:szCs w:val="18"/>
        </w:rPr>
      </w:pPr>
      <w:r>
        <w:rPr>
          <w:rFonts w:ascii="Times New Roman" w:hAnsi="Times New Roman" w:eastAsia="宋体" w:cs="Times New Roman"/>
          <w:i/>
          <w:kern w:val="2"/>
          <w:sz w:val="18"/>
          <w:szCs w:val="18"/>
          <w:vertAlign w:val="superscript"/>
        </w:rPr>
        <w:t xml:space="preserve">1 </w:t>
      </w:r>
      <w:r>
        <w:rPr>
          <w:rFonts w:ascii="Times New Roman" w:hAnsi="Times New Roman" w:eastAsia="宋体" w:cs="Times New Roman"/>
          <w:i/>
          <w:kern w:val="2"/>
          <w:sz w:val="18"/>
          <w:szCs w:val="18"/>
        </w:rPr>
        <w:t xml:space="preserve">State Key Laboratory of Water Resources and Hydropower Engineering Sciences, Wuhan University, Wuhan 430072, China (First author: </w:t>
      </w:r>
      <w:r>
        <w:rPr>
          <w:rFonts w:hint="eastAsia" w:ascii="Times New Roman" w:hAnsi="Times New Roman" w:eastAsia="宋体" w:cs="Times New Roman"/>
          <w:i/>
          <w:kern w:val="2"/>
          <w:sz w:val="18"/>
          <w:szCs w:val="18"/>
        </w:rPr>
        <w:t>2018202060124</w:t>
      </w:r>
      <w:r>
        <w:rPr>
          <w:rFonts w:ascii="Calibri" w:hAnsi="Calibri" w:eastAsia="宋体" w:cs="Times New Roman"/>
          <w:kern w:val="2"/>
          <w:sz w:val="21"/>
        </w:rPr>
        <w:fldChar w:fldCharType="begin"/>
      </w:r>
      <w:r>
        <w:rPr>
          <w:rFonts w:ascii="Calibri" w:hAnsi="Calibri" w:eastAsia="宋体" w:cs="Times New Roman"/>
          <w:kern w:val="2"/>
          <w:sz w:val="21"/>
        </w:rPr>
        <w:instrText xml:space="preserve"> HYPERLINK "mailto:2015202060129@whu.edu.com" </w:instrText>
      </w:r>
      <w:r>
        <w:rPr>
          <w:rFonts w:ascii="Calibri" w:hAnsi="Calibri" w:eastAsia="宋体" w:cs="Times New Roman"/>
          <w:kern w:val="2"/>
          <w:sz w:val="21"/>
        </w:rPr>
        <w:fldChar w:fldCharType="separate"/>
      </w:r>
      <w:r>
        <w:rPr>
          <w:rFonts w:ascii="Times New Roman" w:hAnsi="Times New Roman" w:eastAsia="宋体" w:cs="Times New Roman"/>
          <w:i/>
          <w:kern w:val="2"/>
          <w:sz w:val="18"/>
          <w:szCs w:val="18"/>
        </w:rPr>
        <w:t>@</w:t>
      </w:r>
      <w:r>
        <w:rPr>
          <w:rFonts w:ascii="Times New Roman" w:hAnsi="Times New Roman" w:eastAsia="宋体" w:cs="Times New Roman"/>
          <w:i/>
          <w:kern w:val="2"/>
          <w:sz w:val="18"/>
          <w:szCs w:val="18"/>
        </w:rPr>
        <w:fldChar w:fldCharType="end"/>
      </w:r>
      <w:r>
        <w:rPr>
          <w:rFonts w:ascii="Times New Roman" w:hAnsi="Times New Roman" w:eastAsia="宋体" w:cs="Times New Roman"/>
          <w:i/>
          <w:kern w:val="2"/>
          <w:sz w:val="18"/>
          <w:szCs w:val="18"/>
        </w:rPr>
        <w:t xml:space="preserve">whu.edu.cn; Corresponding author: </w:t>
      </w:r>
      <w:r>
        <w:rPr>
          <w:rFonts w:ascii="Calibri" w:hAnsi="Calibri" w:eastAsia="宋体" w:cs="Times New Roman"/>
          <w:kern w:val="2"/>
          <w:sz w:val="21"/>
        </w:rPr>
        <w:fldChar w:fldCharType="begin"/>
      </w:r>
      <w:r>
        <w:rPr>
          <w:rFonts w:ascii="Calibri" w:hAnsi="Calibri" w:eastAsia="宋体" w:cs="Times New Roman"/>
          <w:kern w:val="2"/>
          <w:sz w:val="21"/>
        </w:rPr>
        <w:instrText xml:space="preserve"> HYPERLINK "mailto:hsh5527@whu.edu.cn" </w:instrText>
      </w:r>
      <w:r>
        <w:rPr>
          <w:rFonts w:ascii="Calibri" w:hAnsi="Calibri" w:eastAsia="宋体" w:cs="Times New Roman"/>
          <w:kern w:val="2"/>
          <w:sz w:val="21"/>
        </w:rPr>
        <w:fldChar w:fldCharType="separate"/>
      </w:r>
      <w:r>
        <w:rPr>
          <w:rFonts w:ascii="Times New Roman" w:hAnsi="Times New Roman" w:eastAsia="宋体" w:cs="Times New Roman"/>
          <w:i/>
          <w:kern w:val="2"/>
          <w:sz w:val="18"/>
          <w:szCs w:val="18"/>
        </w:rPr>
        <w:t>hsh5527@whu.edu.cn</w:t>
      </w:r>
      <w:r>
        <w:rPr>
          <w:rFonts w:ascii="Times New Roman" w:hAnsi="Times New Roman" w:eastAsia="宋体" w:cs="Times New Roman"/>
          <w:i/>
          <w:kern w:val="2"/>
          <w:sz w:val="18"/>
          <w:szCs w:val="18"/>
        </w:rPr>
        <w:fldChar w:fldCharType="end"/>
      </w:r>
      <w:r>
        <w:rPr>
          <w:rFonts w:ascii="Times New Roman" w:hAnsi="Times New Roman" w:eastAsia="宋体" w:cs="Times New Roman"/>
          <w:i/>
          <w:kern w:val="2"/>
          <w:sz w:val="18"/>
          <w:szCs w:val="18"/>
        </w:rPr>
        <w:t>.)</w:t>
      </w:r>
    </w:p>
    <w:p>
      <w:pPr>
        <w:pStyle w:val="9"/>
        <w:rPr>
          <w:rFonts w:ascii="Times New Roman" w:hAnsi="Times New Roman" w:eastAsia="黑体" w:cs="Times New Roman"/>
          <w:b/>
          <w:szCs w:val="21"/>
          <w:lang w:val="en-GB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jc w:val="both"/>
        <w:textAlignment w:val="auto"/>
        <w:rPr>
          <w:rFonts w:ascii="Times New Roman" w:hAnsi="Times New Roman" w:eastAsia="宋体" w:cs="Times New Roman"/>
          <w:b/>
          <w:kern w:val="2"/>
          <w:sz w:val="21"/>
          <w:lang w:val="en-GB"/>
        </w:rPr>
      </w:pPr>
      <w:r>
        <w:rPr>
          <w:rFonts w:ascii="Times New Roman" w:hAnsi="Times New Roman" w:eastAsia="宋体" w:cs="Times New Roman"/>
          <w:b/>
          <w:kern w:val="2"/>
          <w:sz w:val="21"/>
          <w:lang w:val="en-GB"/>
        </w:rPr>
        <w:t xml:space="preserve">Number of pages = </w:t>
      </w:r>
      <w:r>
        <w:rPr>
          <w:rFonts w:hint="eastAsia" w:ascii="Times New Roman" w:hAnsi="Times New Roman" w:eastAsia="宋体" w:cs="Times New Roman"/>
          <w:b/>
          <w:kern w:val="2"/>
          <w:sz w:val="21"/>
          <w:lang w:val="en-US" w:eastAsia="zh-CN"/>
        </w:rPr>
        <w:t>5</w:t>
      </w:r>
      <w:r>
        <w:rPr>
          <w:rFonts w:ascii="Times New Roman" w:hAnsi="Times New Roman" w:eastAsia="宋体" w:cs="Times New Roman"/>
          <w:b/>
          <w:kern w:val="2"/>
          <w:sz w:val="21"/>
          <w:lang w:val="en-GB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480" w:lineRule="auto"/>
        <w:jc w:val="both"/>
        <w:textAlignment w:val="auto"/>
        <w:rPr>
          <w:rFonts w:hint="eastAsia" w:ascii="Times New Roman" w:hAnsi="Times New Roman" w:eastAsia="宋体" w:cs="Times New Roman"/>
          <w:b/>
          <w:kern w:val="2"/>
          <w:sz w:val="21"/>
          <w:lang w:val="en-US" w:eastAsia="zh-CN"/>
        </w:rPr>
      </w:pPr>
      <w:r>
        <w:rPr>
          <w:rFonts w:ascii="Times New Roman" w:hAnsi="Times New Roman" w:eastAsia="宋体" w:cs="Times New Roman"/>
          <w:b/>
          <w:kern w:val="2"/>
          <w:sz w:val="21"/>
          <w:lang w:val="en-GB"/>
        </w:rPr>
        <w:t xml:space="preserve">Number of </w:t>
      </w:r>
      <w:r>
        <w:rPr>
          <w:rFonts w:hint="eastAsia" w:ascii="Times New Roman" w:hAnsi="Times New Roman" w:eastAsia="宋体" w:cs="Times New Roman"/>
          <w:b/>
          <w:kern w:val="2"/>
          <w:sz w:val="21"/>
          <w:lang w:val="en-US" w:eastAsia="zh-CN"/>
        </w:rPr>
        <w:t>table</w:t>
      </w:r>
      <w:r>
        <w:rPr>
          <w:rFonts w:ascii="Times New Roman" w:hAnsi="Times New Roman" w:eastAsia="宋体" w:cs="Times New Roman"/>
          <w:b/>
          <w:kern w:val="2"/>
          <w:sz w:val="21"/>
          <w:lang w:val="en-GB"/>
        </w:rPr>
        <w:t xml:space="preserve"> =</w:t>
      </w:r>
      <w:r>
        <w:rPr>
          <w:rFonts w:hint="eastAsia" w:ascii="Times New Roman" w:hAnsi="Times New Roman" w:eastAsia="宋体" w:cs="Times New Roman"/>
          <w:b/>
          <w:kern w:val="2"/>
          <w:sz w:val="21"/>
          <w:lang w:val="en-US" w:eastAsia="zh-CN"/>
        </w:rPr>
        <w:t xml:space="preserve"> </w:t>
      </w:r>
      <w:r>
        <w:rPr>
          <w:rFonts w:ascii="Times New Roman" w:hAnsi="Times New Roman" w:eastAsia="宋体" w:cs="Times New Roman"/>
          <w:b/>
          <w:kern w:val="2"/>
          <w:sz w:val="21"/>
          <w:lang w:val="en-GB"/>
        </w:rPr>
        <w:t xml:space="preserve"> </w:t>
      </w:r>
      <w:r>
        <w:rPr>
          <w:rFonts w:hint="eastAsia" w:ascii="Times New Roman" w:hAnsi="Times New Roman" w:eastAsia="宋体" w:cs="Times New Roman"/>
          <w:b/>
          <w:kern w:val="2"/>
          <w:sz w:val="21"/>
          <w:lang w:val="en-US" w:eastAsia="zh-CN"/>
        </w:rPr>
        <w:t>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textAlignment w:val="auto"/>
        <w:rPr>
          <w:rFonts w:hint="eastAsia" w:ascii="Times New Roman" w:hAnsi="Times New Roman" w:eastAsia="宋体" w:cs="Times New Roman"/>
          <w:b/>
          <w:kern w:val="2"/>
          <w:sz w:val="21"/>
          <w:lang w:val="en-US" w:eastAsia="zh-CN"/>
        </w:rPr>
        <w:sectPr>
          <w:footerReference r:id="rId3" w:type="default"/>
          <w:pgSz w:w="11906" w:h="16838"/>
          <w:pgMar w:top="1440" w:right="1800" w:bottom="1440" w:left="1800" w:header="851" w:footer="992" w:gutter="0"/>
          <w:lnNumType w:countBy="1" w:restart="continuous"/>
          <w:cols w:space="720" w:num="1"/>
          <w:docGrid w:type="lines" w:linePitch="312" w:charSpace="0"/>
        </w:sectPr>
      </w:pPr>
      <w:r>
        <w:rPr>
          <w:rFonts w:ascii="Times New Roman" w:hAnsi="Times New Roman" w:eastAsia="宋体" w:cs="Times New Roman"/>
          <w:b/>
          <w:kern w:val="2"/>
          <w:sz w:val="21"/>
          <w:lang w:val="en-GB" w:eastAsia="en-US"/>
        </w:rPr>
        <w:t xml:space="preserve">Number of </w:t>
      </w:r>
      <w:r>
        <w:rPr>
          <w:rFonts w:ascii="Times New Roman" w:hAnsi="Times New Roman" w:eastAsia="宋体" w:cs="Times New Roman"/>
          <w:b/>
          <w:kern w:val="2"/>
          <w:sz w:val="21"/>
          <w:lang w:val="en-GB"/>
        </w:rPr>
        <w:t>figures</w:t>
      </w:r>
      <w:r>
        <w:rPr>
          <w:rFonts w:ascii="Times New Roman" w:hAnsi="Times New Roman" w:eastAsia="宋体" w:cs="Times New Roman"/>
          <w:b/>
          <w:kern w:val="2"/>
          <w:sz w:val="21"/>
          <w:lang w:val="en-GB" w:eastAsia="en-US"/>
        </w:rPr>
        <w:t xml:space="preserve"> </w:t>
      </w:r>
      <w:r>
        <w:rPr>
          <w:rFonts w:hint="eastAsia" w:ascii="Times New Roman" w:hAnsi="Times New Roman" w:eastAsia="宋体" w:cs="Times New Roman"/>
          <w:b/>
          <w:kern w:val="2"/>
          <w:sz w:val="21"/>
          <w:lang w:val="en-US" w:eastAsia="zh-CN"/>
        </w:rPr>
        <w:t>= 1</w:t>
      </w:r>
      <w:bookmarkStart w:id="0" w:name="_GoBack"/>
      <w:bookmarkEnd w:id="0"/>
    </w:p>
    <w:p>
      <w:pPr>
        <w:spacing w:line="480" w:lineRule="auto"/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</w:pPr>
      <w:r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  <w:t>The isotherm data of Cd</w:t>
      </w:r>
      <w:r>
        <w:rPr>
          <w:rFonts w:hint="eastAsia" w:ascii="Times New Roman" w:hAnsi="Times New Roman" w:cs="Times New Roman"/>
          <w:b w:val="0"/>
          <w:bCs/>
          <w:szCs w:val="22"/>
          <w:lang w:val="en-US" w:eastAsia="zh-CN"/>
        </w:rPr>
        <w:t>(II)</w:t>
      </w:r>
      <w:r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  <w:t xml:space="preserve"> adsorption on biochars w</w:t>
      </w:r>
      <w:r>
        <w:rPr>
          <w:rFonts w:hint="eastAsia" w:ascii="Times New Roman" w:hAnsi="Times New Roman" w:cs="Times New Roman"/>
          <w:b w:val="0"/>
          <w:bCs/>
          <w:szCs w:val="22"/>
          <w:lang w:val="en-US" w:eastAsia="zh-CN"/>
        </w:rPr>
        <w:t>ere</w:t>
      </w:r>
      <w:r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  <w:t xml:space="preserve"> fitted by the Langmuir (LM, Eq (</w:t>
      </w:r>
      <w:r>
        <w:rPr>
          <w:rFonts w:hint="eastAsia" w:ascii="Times New Roman" w:hAnsi="Times New Roman" w:cs="Times New Roman"/>
          <w:b w:val="0"/>
          <w:bCs/>
          <w:szCs w:val="22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  <w:t>)) and Freundlich model (FM, Eq (</w:t>
      </w:r>
      <w:r>
        <w:rPr>
          <w:rFonts w:hint="eastAsia" w:ascii="Times New Roman" w:hAnsi="Times New Roman" w:cs="Times New Roman"/>
          <w:b w:val="0"/>
          <w:bCs/>
          <w:szCs w:val="22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  <w:t>)):</w:t>
      </w:r>
    </w:p>
    <w:p>
      <w:pPr>
        <w:spacing w:line="480" w:lineRule="auto"/>
        <w:jc w:val="center"/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</w:pPr>
      <w:r>
        <w:rPr>
          <w:rFonts w:hint="eastAsia" w:ascii="Calibri" w:eastAsia="宋体"/>
          <w:position w:val="-30"/>
          <w:lang w:val="en-US" w:eastAsia="zh-CN"/>
        </w:rPr>
        <w:object>
          <v:shape id="_x0000_i1025" o:spt="75" type="#_x0000_t75" style="height:34pt;width:71pt;" o:ole="t" filled="f" o:preferrelative="t" stroked="f" coordsize="21600,21600">
            <v:path/>
            <v:fill on="f" focussize="0,0"/>
            <v:stroke on="f"/>
            <v:imagedata r:id="rId6" o:title=""/>
            <o:lock v:ext="edit" aspectratio="t"/>
            <w10:wrap type="none"/>
            <w10:anchorlock/>
          </v:shape>
          <o:OLEObject Type="Embed" ProgID="Equation.KSEE3" ShapeID="_x0000_i1025" DrawAspect="Content" ObjectID="_1468075725" r:id="rId5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                                                                                                </w:t>
      </w:r>
      <w:r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  <w:t>(</w:t>
      </w:r>
      <w:r>
        <w:rPr>
          <w:rFonts w:hint="eastAsia" w:ascii="Times New Roman" w:hAnsi="Times New Roman" w:cs="Times New Roman"/>
          <w:b w:val="0"/>
          <w:bCs/>
          <w:szCs w:val="22"/>
          <w:lang w:val="en-US" w:eastAsia="zh-CN"/>
        </w:rPr>
        <w:t>1</w:t>
      </w:r>
      <w:r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  <w:t>)</w:t>
      </w:r>
    </w:p>
    <w:p>
      <w:pPr>
        <w:spacing w:line="480" w:lineRule="auto"/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</w:pPr>
      <w:r>
        <w:rPr>
          <w:rFonts w:hint="default"/>
          <w:position w:val="-12"/>
          <w:lang w:val="en-US" w:eastAsia="zh-CN"/>
        </w:rPr>
        <w:object>
          <v:shape id="_x0000_i1026" o:spt="75" type="#_x0000_t75" style="height:19pt;width:56pt;" o:ole="t" filled="f" o:preferrelative="t" stroked="f" coordsize="21600,21600">
            <v:path/>
            <v:fill on="f" focussize="0,0"/>
            <v:stroke on="f"/>
            <v:imagedata r:id="rId8" o:title=""/>
            <o:lock v:ext="edit" aspectratio="t"/>
            <w10:wrap type="none"/>
            <w10:anchorlock/>
          </v:shape>
          <o:OLEObject Type="Embed" ProgID="Equation.KSEE3" ShapeID="_x0000_i1026" DrawAspect="Content" ObjectID="_1468075726" r:id="rId7">
            <o:LockedField>false</o:LockedField>
          </o:OLEObject>
        </w:object>
      </w:r>
      <w:r>
        <w:rPr>
          <w:rFonts w:hint="eastAsia"/>
          <w:lang w:val="en-US" w:eastAsia="zh-CN"/>
        </w:rPr>
        <w:t xml:space="preserve">                                                                                                     </w:t>
      </w:r>
      <w:r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  <w:t>(</w:t>
      </w:r>
      <w:r>
        <w:rPr>
          <w:rFonts w:hint="eastAsia" w:ascii="Times New Roman" w:hAnsi="Times New Roman" w:cs="Times New Roman"/>
          <w:b w:val="0"/>
          <w:bCs/>
          <w:szCs w:val="22"/>
          <w:lang w:val="en-US" w:eastAsia="zh-CN"/>
        </w:rPr>
        <w:t>2</w:t>
      </w:r>
      <w:r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  <w:t>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textAlignment w:val="auto"/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  <w:sectPr>
          <w:pgSz w:w="11906" w:h="16838"/>
          <w:pgMar w:top="1440" w:right="1800" w:bottom="1440" w:left="1800" w:header="851" w:footer="992" w:gutter="0"/>
          <w:lnNumType w:countBy="1" w:restart="continuous"/>
          <w:cols w:space="720" w:num="1"/>
          <w:docGrid w:type="lines" w:linePitch="312" w:charSpace="0"/>
        </w:sectPr>
      </w:pPr>
      <w:r>
        <w:rPr>
          <w:rFonts w:hint="eastAsia" w:ascii="Times New Roman" w:hAnsi="Times New Roman" w:cs="Times New Roman"/>
          <w:b w:val="0"/>
          <w:bCs/>
          <w:szCs w:val="22"/>
          <w:lang w:val="en-US" w:eastAsia="zh-CN"/>
        </w:rPr>
        <w:t>W</w:t>
      </w:r>
      <w:r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  <w:t>here C</w:t>
      </w:r>
      <w:r>
        <w:rPr>
          <w:rFonts w:hint="default" w:ascii="Times New Roman" w:hAnsi="Times New Roman" w:cs="Times New Roman"/>
          <w:b w:val="0"/>
          <w:bCs/>
          <w:szCs w:val="22"/>
          <w:vertAlign w:val="subscript"/>
          <w:lang w:val="en-US" w:eastAsia="zh-CN"/>
        </w:rPr>
        <w:t>e</w:t>
      </w:r>
      <w:r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  <w:t xml:space="preserve"> (mg·L</w:t>
      </w:r>
      <w:r>
        <w:rPr>
          <w:rFonts w:hint="default" w:ascii="Times New Roman" w:hAnsi="Times New Roman" w:cs="Times New Roman"/>
          <w:b w:val="0"/>
          <w:bCs/>
          <w:szCs w:val="22"/>
          <w:vertAlign w:val="superscript"/>
          <w:lang w:val="en-US" w:eastAsia="zh-CN"/>
        </w:rPr>
        <w:t>−1</w:t>
      </w:r>
      <w:r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  <w:t>) is the concentration of Cd</w:t>
      </w:r>
      <w:r>
        <w:rPr>
          <w:rFonts w:hint="eastAsia" w:ascii="Times New Roman" w:hAnsi="Times New Roman" w:cs="Times New Roman"/>
          <w:b w:val="0"/>
          <w:bCs/>
          <w:szCs w:val="22"/>
          <w:lang w:val="en-US" w:eastAsia="zh-CN"/>
        </w:rPr>
        <w:t>(II)</w:t>
      </w:r>
      <w:r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  <w:t xml:space="preserve"> in the solution after equilibration, Q</w:t>
      </w:r>
      <w:r>
        <w:rPr>
          <w:rFonts w:hint="default" w:ascii="Times New Roman" w:hAnsi="Times New Roman" w:cs="Times New Roman"/>
          <w:b w:val="0"/>
          <w:bCs/>
          <w:szCs w:val="22"/>
          <w:vertAlign w:val="subscript"/>
          <w:lang w:val="en-US" w:eastAsia="zh-CN"/>
        </w:rPr>
        <w:t>e</w:t>
      </w:r>
      <w:r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  <w:t xml:space="preserve"> (mg·g</w:t>
      </w:r>
      <w:r>
        <w:rPr>
          <w:rFonts w:hint="default" w:ascii="Times New Roman" w:hAnsi="Times New Roman" w:cs="Times New Roman"/>
          <w:b w:val="0"/>
          <w:bCs/>
          <w:szCs w:val="22"/>
          <w:vertAlign w:val="superscript"/>
          <w:lang w:val="en-US" w:eastAsia="zh-CN"/>
        </w:rPr>
        <w:t>−1</w:t>
      </w:r>
      <w:r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  <w:t>) is the adsorbed amount of Cd</w:t>
      </w:r>
      <w:r>
        <w:rPr>
          <w:rFonts w:hint="eastAsia" w:ascii="Times New Roman" w:hAnsi="Times New Roman" w:cs="Times New Roman"/>
          <w:b w:val="0"/>
          <w:bCs/>
          <w:szCs w:val="22"/>
          <w:lang w:val="en-US" w:eastAsia="zh-CN"/>
        </w:rPr>
        <w:t>(II)</w:t>
      </w:r>
      <w:r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  <w:t xml:space="preserve"> on the biochar after equilibration, Q</w:t>
      </w:r>
      <w:r>
        <w:rPr>
          <w:rFonts w:hint="default" w:ascii="Times New Roman" w:hAnsi="Times New Roman" w:cs="Times New Roman"/>
          <w:b w:val="0"/>
          <w:bCs/>
          <w:szCs w:val="22"/>
          <w:vertAlign w:val="subscript"/>
          <w:lang w:val="en-US" w:eastAsia="zh-CN"/>
        </w:rPr>
        <w:t>m</w:t>
      </w:r>
      <w:r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  <w:t xml:space="preserve"> (mg·g</w:t>
      </w:r>
      <w:r>
        <w:rPr>
          <w:rFonts w:hint="default" w:ascii="Times New Roman" w:hAnsi="Times New Roman" w:cs="Times New Roman"/>
          <w:b w:val="0"/>
          <w:bCs/>
          <w:szCs w:val="22"/>
          <w:vertAlign w:val="superscript"/>
          <w:lang w:val="en-US" w:eastAsia="zh-CN"/>
        </w:rPr>
        <w:t>−1</w:t>
      </w:r>
      <w:r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  <w:t>) is the maximum Cd</w:t>
      </w:r>
      <w:r>
        <w:rPr>
          <w:rFonts w:hint="eastAsia" w:ascii="Times New Roman" w:hAnsi="Times New Roman" w:cs="Times New Roman"/>
          <w:b w:val="0"/>
          <w:bCs/>
          <w:szCs w:val="22"/>
          <w:lang w:val="en-US" w:eastAsia="zh-CN"/>
        </w:rPr>
        <w:t>(II)</w:t>
      </w:r>
      <w:r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  <w:t xml:space="preserve"> adsorption capacity for the biochar, K</w:t>
      </w:r>
      <w:r>
        <w:rPr>
          <w:rFonts w:hint="default" w:ascii="Times New Roman" w:hAnsi="Times New Roman" w:cs="Times New Roman"/>
          <w:b w:val="0"/>
          <w:bCs/>
          <w:szCs w:val="22"/>
          <w:vertAlign w:val="subscript"/>
          <w:lang w:val="en-US" w:eastAsia="zh-CN"/>
        </w:rPr>
        <w:t>L</w:t>
      </w:r>
      <w:r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  <w:t xml:space="preserve"> (L·mg</w:t>
      </w:r>
      <w:r>
        <w:rPr>
          <w:rFonts w:hint="default" w:ascii="Times New Roman" w:hAnsi="Times New Roman" w:cs="Times New Roman"/>
          <w:b w:val="0"/>
          <w:bCs/>
          <w:szCs w:val="22"/>
          <w:vertAlign w:val="superscript"/>
          <w:lang w:val="en-US" w:eastAsia="zh-CN"/>
        </w:rPr>
        <w:t>−1</w:t>
      </w:r>
      <w:r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  <w:t>) and K</w:t>
      </w:r>
      <w:r>
        <w:rPr>
          <w:rFonts w:hint="default" w:ascii="Times New Roman" w:hAnsi="Times New Roman" w:cs="Times New Roman"/>
          <w:b w:val="0"/>
          <w:bCs/>
          <w:szCs w:val="22"/>
          <w:vertAlign w:val="subscript"/>
          <w:lang w:val="en-US" w:eastAsia="zh-CN"/>
        </w:rPr>
        <w:t>F</w:t>
      </w:r>
      <w:r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  <w:t xml:space="preserve"> (mg·g</w:t>
      </w:r>
      <w:r>
        <w:rPr>
          <w:rFonts w:hint="default" w:ascii="Times New Roman" w:hAnsi="Times New Roman" w:cs="Times New Roman"/>
          <w:b w:val="0"/>
          <w:bCs/>
          <w:szCs w:val="22"/>
          <w:vertAlign w:val="superscript"/>
          <w:lang w:val="en-US" w:eastAsia="zh-CN"/>
        </w:rPr>
        <w:t>−1</w:t>
      </w:r>
      <w:r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  <w:t>) (mg·L</w:t>
      </w:r>
      <w:r>
        <w:rPr>
          <w:rFonts w:hint="default" w:ascii="Times New Roman" w:hAnsi="Times New Roman" w:cs="Times New Roman"/>
          <w:b w:val="0"/>
          <w:bCs/>
          <w:szCs w:val="22"/>
          <w:vertAlign w:val="superscript"/>
          <w:lang w:val="en-US" w:eastAsia="zh-CN"/>
        </w:rPr>
        <w:t>−1</w:t>
      </w:r>
      <w:r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  <w:t>)</w:t>
      </w:r>
      <w:r>
        <w:rPr>
          <w:rFonts w:hint="default" w:ascii="Times New Roman" w:hAnsi="Times New Roman" w:cs="Times New Roman"/>
          <w:b w:val="0"/>
          <w:bCs/>
          <w:szCs w:val="22"/>
          <w:vertAlign w:val="superscript"/>
          <w:lang w:val="en-US" w:eastAsia="zh-CN"/>
        </w:rPr>
        <w:t>−n</w:t>
      </w:r>
      <w:r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  <w:t xml:space="preserve"> are the adsorption coefficients of the LM and FM, respectively, and n (dimensionless) is a constant fitted by the FM relevant to the adsorption heterogeneity of biochar surface.</w:t>
      </w:r>
    </w:p>
    <w:p>
      <w:pPr>
        <w:widowControl w:val="0"/>
        <w:adjustRightInd/>
        <w:snapToGrid/>
        <w:spacing w:after="0" w:line="240" w:lineRule="auto"/>
        <w:jc w:val="both"/>
        <w:rPr>
          <w:rFonts w:hint="eastAsia" w:ascii="Times New Roman" w:hAnsi="Times New Roman" w:eastAsia="微软雅黑" w:cs="Times New Roman"/>
          <w:b/>
          <w:kern w:val="0"/>
          <w:sz w:val="21"/>
          <w:szCs w:val="21"/>
          <w:lang w:val="en-US" w:eastAsia="zh-CN" w:bidi="ar"/>
        </w:rPr>
      </w:pPr>
      <w:r>
        <w:rPr>
          <w:rFonts w:hint="eastAsia" w:ascii="Times New Roman" w:hAnsi="Times New Roman" w:eastAsia="微软雅黑" w:cs="Times New Roman"/>
          <w:b/>
          <w:kern w:val="0"/>
          <w:sz w:val="21"/>
          <w:szCs w:val="21"/>
          <w:lang w:val="en-US" w:eastAsia="zh-CN" w:bidi="ar"/>
        </w:rPr>
        <w:t xml:space="preserve">Table </w:t>
      </w:r>
      <w:r>
        <w:rPr>
          <w:rFonts w:hint="eastAsia" w:ascii="Times New Roman" w:hAnsi="Times New Roman" w:cs="Times New Roman"/>
          <w:b/>
          <w:kern w:val="0"/>
          <w:sz w:val="21"/>
          <w:szCs w:val="21"/>
          <w:lang w:val="en-US" w:eastAsia="zh-CN" w:bidi="ar"/>
        </w:rPr>
        <w:t>S1</w:t>
      </w:r>
      <w:r>
        <w:rPr>
          <w:rFonts w:hint="eastAsia" w:ascii="Times New Roman" w:hAnsi="Times New Roman" w:eastAsia="微软雅黑" w:cs="Times New Roman"/>
          <w:b/>
          <w:kern w:val="0"/>
          <w:sz w:val="21"/>
          <w:szCs w:val="21"/>
          <w:lang w:val="en-US" w:eastAsia="zh-CN" w:bidi="ar"/>
        </w:rPr>
        <w:t xml:space="preserve"> Parameters of Cd(II) adsorption on biochars obtained from Langmuir and Freundlich isotherm models.</w:t>
      </w:r>
    </w:p>
    <w:tbl>
      <w:tblPr>
        <w:tblStyle w:val="6"/>
        <w:tblW w:w="4998" w:type="pct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40"/>
        <w:gridCol w:w="1351"/>
        <w:gridCol w:w="1383"/>
        <w:gridCol w:w="776"/>
        <w:gridCol w:w="2026"/>
        <w:gridCol w:w="766"/>
        <w:gridCol w:w="78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" w:hRule="atLeast"/>
        </w:trPr>
        <w:tc>
          <w:tcPr>
            <w:tcW w:w="744" w:type="pct"/>
            <w:vMerge w:val="restart"/>
            <w:tcBorders>
              <w:top w:val="single" w:color="auto" w:sz="4" w:space="0"/>
              <w:left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Biochar</w:t>
            </w:r>
          </w:p>
        </w:tc>
        <w:tc>
          <w:tcPr>
            <w:tcW w:w="2107" w:type="pct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3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Langmuir model</w:t>
            </w:r>
          </w:p>
        </w:tc>
        <w:tc>
          <w:tcPr>
            <w:tcW w:w="2147" w:type="pct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tabs>
                <w:tab w:val="left" w:pos="434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  <w:t>Freundlich model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744" w:type="pct"/>
            <w:vMerge w:val="continue"/>
            <w:tcBorders>
              <w:left w:val="nil"/>
              <w:bottom w:val="single" w:color="auto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</w:pPr>
          </w:p>
        </w:tc>
        <w:tc>
          <w:tcPr>
            <w:tcW w:w="811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Q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subscript"/>
                <w:lang w:val="en-US" w:eastAsia="zh-CN"/>
              </w:rPr>
              <w:t>m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subscript"/>
                <w:lang w:val="en-US" w:eastAsia="zh-CN"/>
              </w:rPr>
              <w:t>L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(mg·g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superscript"/>
                <w:lang w:val="en-US" w:eastAsia="zh-CN"/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K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subscript"/>
                <w:lang w:val="en-US" w:eastAsia="zh-CN"/>
              </w:rPr>
              <w:t>L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(L·mg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superscript"/>
                <w:lang w:val="en-US" w:eastAsia="zh-CN"/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)</w:t>
            </w:r>
          </w:p>
        </w:tc>
        <w:tc>
          <w:tcPr>
            <w:tcW w:w="466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1216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K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subscript"/>
                <w:lang w:val="en-US" w:eastAsia="zh-CN"/>
              </w:rPr>
              <w:t>F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(mg·g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vertAlign w:val="superscript"/>
                <w:lang w:val="en-US" w:eastAsia="zh-CN" w:bidi="ar"/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)·(mg·L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vertAlign w:val="superscript"/>
                <w:lang w:val="en-US" w:eastAsia="zh-CN" w:bidi="ar"/>
              </w:rPr>
              <w:t>-1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)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vertAlign w:val="superscript"/>
                <w:lang w:val="en-US" w:eastAsia="zh-CN" w:bidi="ar"/>
              </w:rPr>
              <w:t>-n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  <w:t>n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auto" w:sz="4" w:space="0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R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44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BC</w:t>
            </w:r>
          </w:p>
        </w:tc>
        <w:tc>
          <w:tcPr>
            <w:tcW w:w="811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54.26</w:t>
            </w:r>
          </w:p>
        </w:tc>
        <w:tc>
          <w:tcPr>
            <w:tcW w:w="830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1.68</w:t>
            </w:r>
          </w:p>
        </w:tc>
        <w:tc>
          <w:tcPr>
            <w:tcW w:w="466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0.996</w:t>
            </w:r>
          </w:p>
        </w:tc>
        <w:tc>
          <w:tcPr>
            <w:tcW w:w="1216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26.82</w:t>
            </w:r>
          </w:p>
        </w:tc>
        <w:tc>
          <w:tcPr>
            <w:tcW w:w="460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0.17</w:t>
            </w:r>
          </w:p>
        </w:tc>
        <w:tc>
          <w:tcPr>
            <w:tcW w:w="470" w:type="pct"/>
            <w:tcBorders>
              <w:top w:val="single" w:color="auto" w:sz="4" w:space="0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0.835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MBC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117.33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2.79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0.969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59.72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0.19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0.821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O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BC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60.52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4.15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0.965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35.39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0.14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0.920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BC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48.16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0.56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0.916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21.50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0.19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0.943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PM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BC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105.27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0.10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0.927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21.14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0.35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0.992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A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BC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47.28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0.01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0.978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2.01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0.55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0.941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A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BC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210.81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0.01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0.954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2.96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0.70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 w:val="0"/>
              <w:adjustRightInd/>
              <w:snapToGrid/>
              <w:spacing w:after="0" w:line="240" w:lineRule="auto"/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0.972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B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BC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65.78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0.01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0.964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1.72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0.61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0.960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BM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BC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503.62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0.01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0.970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1.41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0.85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0.976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C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BC</w:t>
            </w:r>
          </w:p>
        </w:tc>
        <w:tc>
          <w:tcPr>
            <w:tcW w:w="811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88.79</w:t>
            </w:r>
          </w:p>
        </w:tc>
        <w:tc>
          <w:tcPr>
            <w:tcW w:w="83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0.02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0.887</w:t>
            </w:r>
          </w:p>
        </w:tc>
        <w:tc>
          <w:tcPr>
            <w:tcW w:w="1216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7.54</w:t>
            </w:r>
          </w:p>
        </w:tc>
        <w:tc>
          <w:tcPr>
            <w:tcW w:w="46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0.44</w:t>
            </w:r>
          </w:p>
        </w:tc>
        <w:tc>
          <w:tcPr>
            <w:tcW w:w="470" w:type="pct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0.944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8" w:hRule="atLeast"/>
        </w:trPr>
        <w:tc>
          <w:tcPr>
            <w:tcW w:w="744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CM</w:t>
            </w:r>
            <w:r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/>
              </w:rPr>
              <w:t>BC</w:t>
            </w:r>
          </w:p>
        </w:tc>
        <w:tc>
          <w:tcPr>
            <w:tcW w:w="811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82.38</w:t>
            </w:r>
          </w:p>
        </w:tc>
        <w:tc>
          <w:tcPr>
            <w:tcW w:w="830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0.09</w:t>
            </w:r>
          </w:p>
        </w:tc>
        <w:tc>
          <w:tcPr>
            <w:tcW w:w="466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0.893</w:t>
            </w:r>
          </w:p>
        </w:tc>
        <w:tc>
          <w:tcPr>
            <w:tcW w:w="1216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19.10</w:t>
            </w:r>
          </w:p>
        </w:tc>
        <w:tc>
          <w:tcPr>
            <w:tcW w:w="460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0.31</w:t>
            </w:r>
          </w:p>
        </w:tc>
        <w:tc>
          <w:tcPr>
            <w:tcW w:w="470" w:type="pct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 w:lef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2"/>
                <w:sz w:val="21"/>
                <w:szCs w:val="21"/>
                <w:lang w:val="en-US" w:eastAsia="zh-CN" w:bidi="ar-SA"/>
              </w:rPr>
              <w:t>0.988</w:t>
            </w: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1" w:beforeLines="100" w:after="200" w:line="260" w:lineRule="auto"/>
        <w:jc w:val="both"/>
        <w:textAlignment w:val="auto"/>
        <w:rPr>
          <w:rFonts w:hint="eastAsia" w:ascii="Times New Roman" w:hAnsi="Times New Roman" w:eastAsia="微软雅黑" w:cs="Times New Roman"/>
          <w:b w:val="0"/>
          <w:bCs/>
          <w:kern w:val="0"/>
          <w:sz w:val="22"/>
          <w:szCs w:val="22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/>
          <w:kern w:val="0"/>
          <w:sz w:val="22"/>
          <w:szCs w:val="22"/>
          <w:lang w:val="en-US" w:eastAsia="zh-CN"/>
        </w:rPr>
        <w:t>Q</w:t>
      </w:r>
      <w:r>
        <w:rPr>
          <w:rFonts w:hint="default" w:ascii="Times New Roman" w:hAnsi="Times New Roman" w:eastAsia="微软雅黑" w:cs="Times New Roman"/>
          <w:b w:val="0"/>
          <w:bCs/>
          <w:kern w:val="0"/>
          <w:sz w:val="22"/>
          <w:szCs w:val="22"/>
          <w:vertAlign w:val="subscript"/>
          <w:lang w:val="en-US" w:eastAsia="zh-CN"/>
        </w:rPr>
        <w:t>m</w:t>
      </w:r>
      <w:r>
        <w:rPr>
          <w:rFonts w:hint="eastAsia" w:ascii="Times New Roman" w:hAnsi="Times New Roman" w:eastAsia="微软雅黑" w:cs="Times New Roman"/>
          <w:b w:val="0"/>
          <w:bCs/>
          <w:kern w:val="0"/>
          <w:sz w:val="22"/>
          <w:szCs w:val="22"/>
          <w:vertAlign w:val="subscript"/>
          <w:lang w:val="en-US" w:eastAsia="zh-CN"/>
        </w:rPr>
        <w:t>L</w:t>
      </w:r>
      <w:r>
        <w:rPr>
          <w:rFonts w:hint="default" w:ascii="Times New Roman" w:hAnsi="Times New Roman" w:eastAsia="微软雅黑" w:cs="Times New Roman"/>
          <w:b w:val="0"/>
          <w:bCs/>
          <w:kern w:val="0"/>
          <w:sz w:val="22"/>
          <w:szCs w:val="22"/>
          <w:lang w:val="en-US" w:eastAsia="zh-CN"/>
        </w:rPr>
        <w:t xml:space="preserve"> (mg·g</w:t>
      </w:r>
      <w:r>
        <w:rPr>
          <w:rFonts w:hint="default" w:ascii="Times New Roman" w:hAnsi="Times New Roman" w:eastAsia="微软雅黑" w:cs="Times New Roman"/>
          <w:b w:val="0"/>
          <w:bCs/>
          <w:kern w:val="0"/>
          <w:sz w:val="22"/>
          <w:szCs w:val="22"/>
          <w:vertAlign w:val="superscript"/>
          <w:lang w:val="en-US" w:eastAsia="zh-CN"/>
        </w:rPr>
        <w:t>−1</w:t>
      </w:r>
      <w:r>
        <w:rPr>
          <w:rFonts w:hint="default" w:ascii="Times New Roman" w:hAnsi="Times New Roman" w:eastAsia="微软雅黑" w:cs="Times New Roman"/>
          <w:b w:val="0"/>
          <w:bCs/>
          <w:kern w:val="0"/>
          <w:sz w:val="22"/>
          <w:szCs w:val="22"/>
          <w:lang w:val="en-US" w:eastAsia="zh-CN"/>
        </w:rPr>
        <w:t>) is the maximum adsorption capacity</w:t>
      </w:r>
      <w:r>
        <w:rPr>
          <w:rFonts w:hint="eastAsia" w:ascii="Times New Roman" w:hAnsi="Times New Roman" w:eastAsia="微软雅黑" w:cs="Times New Roman"/>
          <w:b w:val="0"/>
          <w:bCs/>
          <w:kern w:val="0"/>
          <w:sz w:val="22"/>
          <w:szCs w:val="22"/>
          <w:lang w:val="en-US" w:eastAsia="zh-CN"/>
        </w:rPr>
        <w:t xml:space="preserve"> of</w:t>
      </w:r>
      <w:r>
        <w:rPr>
          <w:rFonts w:hint="default" w:ascii="Times New Roman" w:hAnsi="Times New Roman" w:eastAsia="微软雅黑" w:cs="Times New Roman"/>
          <w:b w:val="0"/>
          <w:bCs/>
          <w:kern w:val="0"/>
          <w:sz w:val="22"/>
          <w:szCs w:val="22"/>
          <w:lang w:val="en-US" w:eastAsia="zh-CN"/>
        </w:rPr>
        <w:t xml:space="preserve"> Cd</w:t>
      </w:r>
      <w:r>
        <w:rPr>
          <w:rFonts w:hint="eastAsia" w:ascii="Times New Roman" w:hAnsi="Times New Roman" w:eastAsia="微软雅黑" w:cs="Times New Roman"/>
          <w:b w:val="0"/>
          <w:bCs/>
          <w:kern w:val="0"/>
          <w:sz w:val="22"/>
          <w:szCs w:val="22"/>
          <w:lang w:val="en-US" w:eastAsia="zh-CN"/>
        </w:rPr>
        <w:t>(II)</w:t>
      </w:r>
      <w:r>
        <w:rPr>
          <w:rFonts w:hint="default" w:ascii="Times New Roman" w:hAnsi="Times New Roman" w:eastAsia="微软雅黑" w:cs="Times New Roman"/>
          <w:b w:val="0"/>
          <w:bCs/>
          <w:kern w:val="0"/>
          <w:sz w:val="22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="微软雅黑" w:cs="Times New Roman"/>
          <w:b w:val="0"/>
          <w:bCs/>
          <w:kern w:val="0"/>
          <w:sz w:val="22"/>
          <w:szCs w:val="22"/>
          <w:lang w:val="en-US" w:eastAsia="zh-CN"/>
        </w:rPr>
        <w:t>by</w:t>
      </w:r>
      <w:r>
        <w:rPr>
          <w:rFonts w:hint="default" w:ascii="Times New Roman" w:hAnsi="Times New Roman" w:eastAsia="微软雅黑" w:cs="Times New Roman"/>
          <w:b w:val="0"/>
          <w:bCs/>
          <w:kern w:val="0"/>
          <w:sz w:val="22"/>
          <w:szCs w:val="22"/>
          <w:lang w:val="en-US" w:eastAsia="zh-CN"/>
        </w:rPr>
        <w:t xml:space="preserve"> </w:t>
      </w:r>
      <w:r>
        <w:rPr>
          <w:rFonts w:hint="eastAsia" w:ascii="Times New Roman" w:hAnsi="Times New Roman" w:eastAsia="微软雅黑" w:cs="Times New Roman"/>
          <w:b w:val="0"/>
          <w:bCs/>
          <w:kern w:val="0"/>
          <w:sz w:val="22"/>
          <w:szCs w:val="22"/>
          <w:lang w:val="en-US" w:eastAsia="zh-CN"/>
        </w:rPr>
        <w:t>b</w:t>
      </w:r>
      <w:r>
        <w:rPr>
          <w:rFonts w:hint="default" w:ascii="Times New Roman" w:hAnsi="Times New Roman" w:eastAsia="微软雅黑" w:cs="Times New Roman"/>
          <w:b w:val="0"/>
          <w:bCs/>
          <w:kern w:val="0"/>
          <w:sz w:val="22"/>
          <w:szCs w:val="22"/>
          <w:lang w:val="en-US" w:eastAsia="zh-CN"/>
        </w:rPr>
        <w:t>iochar</w:t>
      </w:r>
      <w:r>
        <w:rPr>
          <w:rFonts w:hint="eastAsia" w:ascii="Times New Roman" w:hAnsi="Times New Roman" w:eastAsia="微软雅黑" w:cs="Times New Roman"/>
          <w:b w:val="0"/>
          <w:bCs/>
          <w:kern w:val="0"/>
          <w:sz w:val="22"/>
          <w:szCs w:val="22"/>
          <w:lang w:val="en-US" w:eastAsia="zh-CN"/>
        </w:rPr>
        <w:t>s fitted by Langmuir isotherm model;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61" w:beforeLines="100" w:after="200" w:line="260" w:lineRule="auto"/>
        <w:jc w:val="both"/>
        <w:textAlignment w:val="auto"/>
        <w:rPr>
          <w:rFonts w:hint="default" w:ascii="Times New Roman" w:hAnsi="Times New Roman" w:eastAsia="微软雅黑" w:cs="Times New Roman"/>
          <w:b w:val="0"/>
          <w:bCs/>
          <w:kern w:val="0"/>
          <w:sz w:val="22"/>
          <w:szCs w:val="22"/>
          <w:lang w:val="en-US" w:eastAsia="zh-CN"/>
        </w:rPr>
      </w:pPr>
      <w:r>
        <w:rPr>
          <w:rFonts w:hint="default" w:ascii="Times New Roman" w:hAnsi="Times New Roman" w:eastAsia="微软雅黑" w:cs="Times New Roman"/>
          <w:b w:val="0"/>
          <w:bCs/>
          <w:kern w:val="0"/>
          <w:sz w:val="22"/>
          <w:szCs w:val="22"/>
          <w:lang w:val="en-US" w:eastAsia="zh-CN"/>
        </w:rPr>
        <w:t>K</w:t>
      </w:r>
      <w:r>
        <w:rPr>
          <w:rFonts w:hint="default" w:ascii="Times New Roman" w:hAnsi="Times New Roman" w:eastAsia="微软雅黑" w:cs="Times New Roman"/>
          <w:b w:val="0"/>
          <w:bCs/>
          <w:kern w:val="0"/>
          <w:sz w:val="22"/>
          <w:szCs w:val="22"/>
          <w:vertAlign w:val="subscript"/>
          <w:lang w:val="en-US" w:eastAsia="zh-CN"/>
        </w:rPr>
        <w:t>L</w:t>
      </w:r>
      <w:r>
        <w:rPr>
          <w:rFonts w:hint="default" w:ascii="Times New Roman" w:hAnsi="Times New Roman" w:eastAsia="微软雅黑" w:cs="Times New Roman"/>
          <w:b w:val="0"/>
          <w:bCs/>
          <w:kern w:val="0"/>
          <w:sz w:val="22"/>
          <w:szCs w:val="22"/>
          <w:lang w:val="en-US" w:eastAsia="zh-CN"/>
        </w:rPr>
        <w:t xml:space="preserve"> (L·mg</w:t>
      </w:r>
      <w:r>
        <w:rPr>
          <w:rFonts w:hint="default" w:ascii="Times New Roman" w:hAnsi="Times New Roman" w:eastAsia="微软雅黑" w:cs="Times New Roman"/>
          <w:b w:val="0"/>
          <w:bCs/>
          <w:kern w:val="0"/>
          <w:sz w:val="22"/>
          <w:szCs w:val="22"/>
          <w:vertAlign w:val="superscript"/>
          <w:lang w:val="en-US" w:eastAsia="zh-CN"/>
        </w:rPr>
        <w:t>−1</w:t>
      </w:r>
      <w:r>
        <w:rPr>
          <w:rFonts w:hint="default" w:ascii="Times New Roman" w:hAnsi="Times New Roman" w:eastAsia="微软雅黑" w:cs="Times New Roman"/>
          <w:b w:val="0"/>
          <w:bCs/>
          <w:kern w:val="0"/>
          <w:sz w:val="22"/>
          <w:szCs w:val="22"/>
          <w:lang w:val="en-US" w:eastAsia="zh-CN"/>
        </w:rPr>
        <w:t>) and K</w:t>
      </w:r>
      <w:r>
        <w:rPr>
          <w:rFonts w:hint="default" w:ascii="Times New Roman" w:hAnsi="Times New Roman" w:eastAsia="微软雅黑" w:cs="Times New Roman"/>
          <w:b w:val="0"/>
          <w:bCs/>
          <w:kern w:val="0"/>
          <w:sz w:val="22"/>
          <w:szCs w:val="22"/>
          <w:vertAlign w:val="subscript"/>
          <w:lang w:val="en-US" w:eastAsia="zh-CN"/>
        </w:rPr>
        <w:t>F</w:t>
      </w:r>
      <w:r>
        <w:rPr>
          <w:rFonts w:hint="default" w:ascii="Times New Roman" w:hAnsi="Times New Roman" w:eastAsia="微软雅黑" w:cs="Times New Roman"/>
          <w:b w:val="0"/>
          <w:bCs/>
          <w:kern w:val="0"/>
          <w:sz w:val="22"/>
          <w:szCs w:val="22"/>
          <w:lang w:val="en-US" w:eastAsia="zh-CN"/>
        </w:rPr>
        <w:t xml:space="preserve"> (mg·g</w:t>
      </w:r>
      <w:r>
        <w:rPr>
          <w:rFonts w:hint="default" w:ascii="Times New Roman" w:hAnsi="Times New Roman" w:eastAsia="微软雅黑" w:cs="Times New Roman"/>
          <w:b w:val="0"/>
          <w:bCs/>
          <w:kern w:val="0"/>
          <w:sz w:val="22"/>
          <w:szCs w:val="22"/>
          <w:vertAlign w:val="superscript"/>
          <w:lang w:val="en-US" w:eastAsia="zh-CN"/>
        </w:rPr>
        <w:t>−1</w:t>
      </w:r>
      <w:r>
        <w:rPr>
          <w:rFonts w:hint="default" w:ascii="Times New Roman" w:hAnsi="Times New Roman" w:eastAsia="微软雅黑" w:cs="Times New Roman"/>
          <w:b w:val="0"/>
          <w:bCs/>
          <w:kern w:val="0"/>
          <w:sz w:val="22"/>
          <w:szCs w:val="22"/>
          <w:lang w:val="en-US" w:eastAsia="zh-CN"/>
        </w:rPr>
        <w:t>) (mg·L</w:t>
      </w:r>
      <w:r>
        <w:rPr>
          <w:rFonts w:hint="default" w:ascii="Times New Roman" w:hAnsi="Times New Roman" w:eastAsia="微软雅黑" w:cs="Times New Roman"/>
          <w:b w:val="0"/>
          <w:bCs/>
          <w:kern w:val="0"/>
          <w:sz w:val="22"/>
          <w:szCs w:val="22"/>
          <w:vertAlign w:val="superscript"/>
          <w:lang w:val="en-US" w:eastAsia="zh-CN"/>
        </w:rPr>
        <w:t>−1</w:t>
      </w:r>
      <w:r>
        <w:rPr>
          <w:rFonts w:hint="default" w:ascii="Times New Roman" w:hAnsi="Times New Roman" w:eastAsia="微软雅黑" w:cs="Times New Roman"/>
          <w:b w:val="0"/>
          <w:bCs/>
          <w:kern w:val="0"/>
          <w:sz w:val="22"/>
          <w:szCs w:val="22"/>
          <w:lang w:val="en-US" w:eastAsia="zh-CN"/>
        </w:rPr>
        <w:t>)</w:t>
      </w:r>
      <w:r>
        <w:rPr>
          <w:rFonts w:hint="default" w:ascii="Times New Roman" w:hAnsi="Times New Roman" w:eastAsia="微软雅黑" w:cs="Times New Roman"/>
          <w:b w:val="0"/>
          <w:bCs/>
          <w:kern w:val="0"/>
          <w:sz w:val="22"/>
          <w:szCs w:val="22"/>
          <w:vertAlign w:val="superscript"/>
          <w:lang w:val="en-US" w:eastAsia="zh-CN"/>
        </w:rPr>
        <w:t>−n</w:t>
      </w:r>
      <w:r>
        <w:rPr>
          <w:rFonts w:hint="default" w:ascii="Times New Roman" w:hAnsi="Times New Roman" w:eastAsia="微软雅黑" w:cs="Times New Roman"/>
          <w:b w:val="0"/>
          <w:bCs/>
          <w:kern w:val="0"/>
          <w:sz w:val="22"/>
          <w:szCs w:val="22"/>
          <w:lang w:val="en-US" w:eastAsia="zh-CN"/>
        </w:rPr>
        <w:t xml:space="preserve"> are the adsorption coefficients of the LM and FM</w:t>
      </w:r>
      <w:r>
        <w:rPr>
          <w:rFonts w:hint="eastAsia" w:ascii="Times New Roman" w:hAnsi="Times New Roman" w:eastAsia="微软雅黑" w:cs="Times New Roman"/>
          <w:b w:val="0"/>
          <w:bCs/>
          <w:kern w:val="0"/>
          <w:sz w:val="22"/>
          <w:szCs w:val="22"/>
          <w:lang w:val="en-US" w:eastAsia="zh-CN"/>
        </w:rPr>
        <w:t>;</w:t>
      </w:r>
      <w:r>
        <w:rPr>
          <w:rFonts w:hint="default" w:ascii="Times New Roman" w:hAnsi="Times New Roman" w:eastAsia="微软雅黑" w:cs="Times New Roman"/>
          <w:b w:val="0"/>
          <w:bCs/>
          <w:kern w:val="0"/>
          <w:sz w:val="22"/>
          <w:szCs w:val="22"/>
          <w:lang w:val="en-US" w:eastAsia="zh-CN"/>
        </w:rPr>
        <w:t xml:space="preserve">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textAlignment w:val="auto"/>
        <w:rPr>
          <w:rFonts w:hint="default" w:ascii="Times New Roman" w:hAnsi="Times New Roman" w:cs="Times New Roman"/>
          <w:b w:val="0"/>
          <w:bCs/>
          <w:szCs w:val="22"/>
          <w:lang w:val="en-US" w:eastAsia="zh-CN"/>
        </w:rPr>
        <w:sectPr>
          <w:pgSz w:w="11906" w:h="16838"/>
          <w:pgMar w:top="1440" w:right="1800" w:bottom="1440" w:left="1800" w:header="851" w:footer="992" w:gutter="0"/>
          <w:lnNumType w:countBy="1" w:restart="continuous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微软雅黑" w:cs="Times New Roman"/>
          <w:b w:val="0"/>
          <w:bCs/>
          <w:kern w:val="0"/>
          <w:sz w:val="22"/>
          <w:szCs w:val="22"/>
          <w:lang w:val="en-US" w:eastAsia="zh-CN"/>
        </w:rPr>
        <w:t>n (dimensionless) is a constant fitted by the FM relevant to the adsorption heterogeneity of biochar surface.</w:t>
      </w:r>
      <w:r>
        <w:rPr>
          <w:rFonts w:hint="default" w:ascii="Times New Roman" w:hAnsi="Times New Roman" w:eastAsia="微软雅黑" w:cs="Times New Roman"/>
          <w:b/>
          <w:kern w:val="0"/>
          <w:sz w:val="21"/>
          <w:szCs w:val="21"/>
          <w:lang w:val="en-US" w:eastAsia="zh-CN" w:bidi="ar"/>
        </w:rPr>
        <w:br w:type="page"/>
      </w:r>
    </w:p>
    <w:p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1"/>
          <w:szCs w:val="21"/>
          <w:lang w:val="en-GB"/>
        </w:rPr>
        <w:t>Table 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2</w:t>
      </w:r>
      <w:r>
        <w:rPr>
          <w:rFonts w:ascii="Times New Roman" w:hAnsi="Times New Roman" w:cs="Times New Roman"/>
          <w:b/>
          <w:bCs/>
          <w:sz w:val="21"/>
          <w:szCs w:val="21"/>
          <w:lang w:val="en-GB"/>
        </w:rPr>
        <w:t xml:space="preserve"> Major cations released from and metals adsorbed on biochars during adsorption</w:t>
      </w:r>
    </w:p>
    <w:tbl>
      <w:tblPr>
        <w:tblStyle w:val="6"/>
        <w:tblW w:w="4998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single" w:color="auto" w:sz="4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48"/>
        <w:gridCol w:w="1057"/>
        <w:gridCol w:w="1060"/>
        <w:gridCol w:w="1060"/>
        <w:gridCol w:w="1060"/>
        <w:gridCol w:w="1734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95" w:type="pct"/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 xml:space="preserve">Element </w:t>
            </w:r>
            <w:r>
              <w:rPr>
                <w:rFonts w:ascii="Times New Roman" w:hAnsi="Times New Roman"/>
                <w:sz w:val="21"/>
                <w:szCs w:val="21"/>
                <w:lang w:val="en-GB"/>
              </w:rPr>
              <w:t>(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GB"/>
              </w:rPr>
              <w:t>m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>g·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GB"/>
              </w:rPr>
              <w:t>L</w:t>
            </w:r>
            <w:r>
              <w:rPr>
                <w:rFonts w:hint="default" w:ascii="Times New Roman" w:hAnsi="Times New Roman" w:cs="Times New Roman"/>
                <w:sz w:val="21"/>
                <w:szCs w:val="21"/>
                <w:vertAlign w:val="superscript"/>
                <w:lang w:val="en-GB"/>
              </w:rPr>
              <w:t>-1</w:t>
            </w:r>
            <w:r>
              <w:rPr>
                <w:rFonts w:ascii="Times New Roman" w:hAnsi="Times New Roman"/>
                <w:sz w:val="21"/>
                <w:szCs w:val="21"/>
                <w:lang w:val="en-GB"/>
              </w:rPr>
              <w:t>)</w:t>
            </w:r>
          </w:p>
        </w:tc>
        <w:tc>
          <w:tcPr>
            <w:tcW w:w="620" w:type="pct"/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GB"/>
              </w:rPr>
              <w:t>K</w:t>
            </w:r>
          </w:p>
        </w:tc>
        <w:tc>
          <w:tcPr>
            <w:tcW w:w="622" w:type="pct"/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N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GB"/>
              </w:rPr>
              <w:t>a</w:t>
            </w:r>
          </w:p>
        </w:tc>
        <w:tc>
          <w:tcPr>
            <w:tcW w:w="622" w:type="pct"/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C</w:t>
            </w: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GB"/>
              </w:rPr>
              <w:t>a</w:t>
            </w:r>
          </w:p>
        </w:tc>
        <w:tc>
          <w:tcPr>
            <w:tcW w:w="622" w:type="pct"/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GB"/>
              </w:rPr>
              <w:t>Mg</w:t>
            </w:r>
          </w:p>
        </w:tc>
        <w:tc>
          <w:tcPr>
            <w:tcW w:w="1017" w:type="pct"/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GB"/>
              </w:rPr>
            </w:pPr>
            <w:r>
              <w:rPr>
                <w:rFonts w:ascii="Times New Roman" w:hAnsi="Times New Roman" w:eastAsia="宋体" w:cs="Times New Roman"/>
                <w:kern w:val="2"/>
                <w:sz w:val="21"/>
                <w:szCs w:val="21"/>
                <w:lang w:val="en-GB"/>
              </w:rPr>
              <w:t>Sum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95" w:type="pct"/>
            <w:tcBorders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BC</w:t>
            </w:r>
          </w:p>
        </w:tc>
        <w:tc>
          <w:tcPr>
            <w:tcW w:w="620" w:type="pct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0.315</w:t>
            </w:r>
          </w:p>
        </w:tc>
        <w:tc>
          <w:tcPr>
            <w:tcW w:w="622" w:type="pct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2" w:type="pct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4.345</w:t>
            </w:r>
          </w:p>
        </w:tc>
        <w:tc>
          <w:tcPr>
            <w:tcW w:w="622" w:type="pct"/>
            <w:tcBorders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1.388</w:t>
            </w:r>
          </w:p>
        </w:tc>
        <w:tc>
          <w:tcPr>
            <w:tcW w:w="1017" w:type="pct"/>
            <w:tcBorders>
              <w:left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6.05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95" w:type="pct"/>
            <w:tcBorders>
              <w:top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MBC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0.502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3.104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2.864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6.48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95" w:type="pct"/>
            <w:tcBorders>
              <w:top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PBC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5.61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3.607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9.22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95" w:type="pct"/>
            <w:tcBorders>
              <w:top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PMBC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2.32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2.239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4.56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95" w:type="pct"/>
            <w:tcBorders>
              <w:top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ABC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0.644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0.64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95" w:type="pct"/>
            <w:tcBorders>
              <w:top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AMBC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3.51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0.125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3.63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95" w:type="pct"/>
            <w:tcBorders>
              <w:top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BBC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2.138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0.083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2.22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95" w:type="pct"/>
            <w:tcBorders>
              <w:top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BMBC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4.844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0.092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4.94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495" w:type="pct"/>
            <w:tcBorders>
              <w:top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CBC</w:t>
            </w:r>
          </w:p>
        </w:tc>
        <w:tc>
          <w:tcPr>
            <w:tcW w:w="6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017" w:type="pct"/>
            <w:tcBorders>
              <w:top w:val="nil"/>
              <w:left w:val="nil"/>
              <w:bottom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single" w:color="auto" w:sz="4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495" w:type="pct"/>
            <w:tcBorders>
              <w:top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CMBC</w:t>
            </w:r>
          </w:p>
        </w:tc>
        <w:tc>
          <w:tcPr>
            <w:tcW w:w="620" w:type="pc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2" w:type="pc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622" w:type="pc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0.819</w:t>
            </w:r>
          </w:p>
        </w:tc>
        <w:tc>
          <w:tcPr>
            <w:tcW w:w="622" w:type="pct"/>
            <w:tcBorders>
              <w:top w:val="nil"/>
              <w:left w:val="nil"/>
              <w:righ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1.005</w:t>
            </w:r>
          </w:p>
        </w:tc>
        <w:tc>
          <w:tcPr>
            <w:tcW w:w="1017" w:type="pct"/>
            <w:tcBorders>
              <w:top w:val="nil"/>
              <w:left w:val="nil"/>
            </w:tcBorders>
            <w:shd w:val="clear" w:color="auto" w:fill="auto"/>
            <w:noWrap w:val="0"/>
            <w:vAlign w:val="top"/>
          </w:tcPr>
          <w:p>
            <w:pPr>
              <w:widowControl w:val="0"/>
              <w:adjustRightInd/>
              <w:snapToGrid/>
              <w:spacing w:after="0" w:line="360" w:lineRule="auto"/>
              <w:jc w:val="center"/>
              <w:rPr>
                <w:rFonts w:hint="default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1"/>
                <w:lang w:val="en-US" w:eastAsia="zh-CN"/>
              </w:rPr>
              <w:t>1.82</w:t>
            </w: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hint="eastAsia" w:ascii="Times New Roman" w:hAnsi="Times New Roman" w:eastAsia="微软雅黑" w:cs="Times New Roman"/>
          <w:sz w:val="24"/>
          <w:szCs w:val="24"/>
          <w:lang w:eastAsia="zh-CN"/>
        </w:rPr>
      </w:pPr>
      <w:r>
        <w:rPr>
          <w:rFonts w:hint="eastAsia" w:ascii="Times New Roman" w:hAnsi="Times New Roman" w:eastAsia="微软雅黑" w:cs="Times New Roman"/>
          <w:sz w:val="24"/>
          <w:szCs w:val="24"/>
          <w:lang w:eastAsia="zh-CN"/>
        </w:rPr>
        <w:drawing>
          <wp:inline distT="0" distB="0" distL="114300" distR="114300">
            <wp:extent cx="5266690" cy="3580130"/>
            <wp:effectExtent l="0" t="0" r="10160" b="1270"/>
            <wp:docPr id="3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580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ascii="Times New Roman" w:hAnsi="Times New Roman" w:cs="Times New Roman"/>
          <w:b/>
          <w:bCs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Fig.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>S1 SEM-EDS images of the biochars (BC,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MBC,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O</w:t>
      </w:r>
      <w:r>
        <w:rPr>
          <w:rFonts w:ascii="Times New Roman" w:hAnsi="Times New Roman" w:cs="Times New Roman"/>
          <w:b/>
          <w:bCs/>
          <w:sz w:val="21"/>
          <w:szCs w:val="21"/>
        </w:rPr>
        <w:t>BC) after the adsorption of Cd(II)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spacing w:line="220" w:lineRule="atLeast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adjustRightInd/>
      <w:spacing w:after="0" w:line="240" w:lineRule="auto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10</w:t>
    </w:r>
    <w:r>
      <w:fldChar w:fldCharType="end"/>
    </w:r>
  </w:p>
  <w:p>
    <w:pPr>
      <w:pStyle w:val="5"/>
      <w:adjustRightInd/>
      <w:spacing w:after="0" w:line="240" w:lineRule="auto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26133"/>
    <w:rsid w:val="004358AB"/>
    <w:rsid w:val="00830D2C"/>
    <w:rsid w:val="008B7726"/>
    <w:rsid w:val="00BE3979"/>
    <w:rsid w:val="00D31D50"/>
    <w:rsid w:val="00E1457B"/>
    <w:rsid w:val="024E7652"/>
    <w:rsid w:val="0CAC7F14"/>
    <w:rsid w:val="137A4F3A"/>
    <w:rsid w:val="15EE1D1A"/>
    <w:rsid w:val="1B7B17CF"/>
    <w:rsid w:val="22F865F2"/>
    <w:rsid w:val="3E4D2C71"/>
    <w:rsid w:val="3E7F71F6"/>
    <w:rsid w:val="403578B5"/>
    <w:rsid w:val="4D8319D6"/>
    <w:rsid w:val="52FB12F3"/>
    <w:rsid w:val="5E686C07"/>
    <w:rsid w:val="63460C65"/>
    <w:rsid w:val="668C0409"/>
    <w:rsid w:val="6B491C5C"/>
    <w:rsid w:val="6D6005AF"/>
    <w:rsid w:val="6E94052F"/>
    <w:rsid w:val="6FEE54E7"/>
    <w:rsid w:val="74DE2BD6"/>
    <w:rsid w:val="7E04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next w:val="1"/>
    <w:qFormat/>
    <w:uiPriority w:val="9"/>
    <w:pPr>
      <w:keepNext/>
      <w:keepLines/>
      <w:widowControl w:val="0"/>
      <w:spacing w:before="340" w:after="330" w:line="578" w:lineRule="auto"/>
      <w:jc w:val="both"/>
      <w:outlineLvl w:val="0"/>
    </w:pPr>
    <w:rPr>
      <w:rFonts w:ascii="Calibri" w:hAnsi="Calibri" w:eastAsia="宋体" w:cs="Times New Roman"/>
      <w:b/>
      <w:bCs/>
      <w:kern w:val="44"/>
      <w:sz w:val="44"/>
      <w:szCs w:val="44"/>
      <w:lang w:val="en-US" w:eastAsia="zh-CN" w:bidi="ar-SA"/>
    </w:rPr>
  </w:style>
  <w:style w:type="paragraph" w:styleId="3">
    <w:name w:val="heading 2"/>
    <w:next w:val="1"/>
    <w:unhideWhenUsed/>
    <w:qFormat/>
    <w:uiPriority w:val="9"/>
    <w:pPr>
      <w:keepNext/>
      <w:keepLines/>
      <w:widowControl w:val="0"/>
      <w:spacing w:before="260" w:after="260" w:line="416" w:lineRule="auto"/>
      <w:jc w:val="both"/>
      <w:outlineLvl w:val="1"/>
    </w:pPr>
    <w:rPr>
      <w:rFonts w:ascii="Cambria" w:hAnsi="Cambria" w:eastAsia="宋体" w:cs="Times New Roman"/>
      <w:b/>
      <w:bCs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5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kern w:val="2"/>
      <w:sz w:val="18"/>
      <w:szCs w:val="18"/>
      <w:lang w:val="en-US" w:eastAsia="zh-CN" w:bidi="ar-SA"/>
    </w:rPr>
  </w:style>
  <w:style w:type="character" w:customStyle="1" w:styleId="8">
    <w:name w:val="批注框文本 Char"/>
    <w:basedOn w:val="7"/>
    <w:link w:val="4"/>
    <w:semiHidden/>
    <w:qFormat/>
    <w:uiPriority w:val="99"/>
    <w:rPr>
      <w:rFonts w:ascii="Tahoma" w:hAnsi="Tahoma"/>
      <w:sz w:val="18"/>
      <w:szCs w:val="18"/>
    </w:rPr>
  </w:style>
  <w:style w:type="paragraph" w:customStyle="1" w:styleId="9">
    <w:name w:val="正文2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wmf"/><Relationship Id="rId7" Type="http://schemas.openxmlformats.org/officeDocument/2006/relationships/oleObject" Target="embeddings/oleObject2.bin"/><Relationship Id="rId6" Type="http://schemas.openxmlformats.org/officeDocument/2006/relationships/image" Target="media/image1.wmf"/><Relationship Id="rId5" Type="http://schemas.openxmlformats.org/officeDocument/2006/relationships/oleObject" Target="embeddings/oleObject1.bin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327</Words>
  <Characters>1866</Characters>
  <Lines>15</Lines>
  <Paragraphs>4</Paragraphs>
  <TotalTime>0</TotalTime>
  <ScaleCrop>false</ScaleCrop>
  <LinksUpToDate>false</LinksUpToDate>
  <CharactersWithSpaces>2189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WIN</dc:creator>
  <cp:lastModifiedBy>哈哈哈</cp:lastModifiedBy>
  <dcterms:modified xsi:type="dcterms:W3CDTF">2021-11-13T02:42:29Z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