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12" w:lineRule="auto"/>
      </w:pPr>
      <w:r>
        <w:rPr>
          <w:rFonts w:ascii="Calibri" w:hAnsi="Calibri"/>
          <w:b/>
          <w:sz w:val="28"/>
        </w:rPr>
        <w:t>Supplementary file 3</w:t>
      </w:r>
    </w:p>
    <w:p>
      <w:pPr>
        <w:pStyle w:val="Heading1"/>
      </w:pPr>
      <w:r>
        <w:rPr>
          <w:rFonts w:ascii="Calibri" w:hAnsi="Calibri"/>
        </w:rPr>
        <w:t>Laboratory and imaging procedures</w:t>
      </w:r>
    </w:p>
    <w:p>
      <w:r>
        <w:rPr>
          <w:rFonts w:ascii="Calibri" w:hAnsi="Calibri"/>
        </w:rPr>
        <w:t>Trial: Adjunctive atorvastatin in moderate-to-severe thyroid eye disease (SEMAR-TED). Protocol version 1.0.</w:t>
      </w:r>
    </w:p>
    <w:p>
      <w:r>
        <w:rPr>
          <w:rFonts w:ascii="Calibri" w:hAnsi="Calibri"/>
        </w:rPr>
        <w:t>This file sets out the acquisition, processing and quality-control procedures referred to in the Methods section of the main manuscript.</w:t>
      </w:r>
    </w:p>
    <w:p>
      <w:pPr>
        <w:pStyle w:val="Heading1"/>
      </w:pPr>
      <w:r>
        <w:rPr>
          <w:rFonts w:ascii="Calibri" w:hAnsi="Calibri"/>
        </w:rPr>
        <w:t>1. Orbital computed tomography</w:t>
      </w:r>
    </w:p>
    <w:p>
      <w:pPr>
        <w:pStyle w:val="Heading2"/>
      </w:pPr>
      <w:r>
        <w:rPr>
          <w:rFonts w:ascii="Calibri" w:hAnsi="Calibri"/>
        </w:rPr>
        <w:t>1.1 Acquisition</w:t>
      </w:r>
    </w:p>
    <w:p>
      <w:r>
        <w:rPr>
          <w:rFonts w:ascii="Calibri" w:hAnsi="Calibri"/>
        </w:rPr>
        <w:t>Scans are obtained on a single multi-detector scanner for the duration of the trial, in the radiology department of Dr. Sardjito General Hospital. Scanner model, tube voltage, tube current and reconstruction kernel are fixed at the start of the trial and recorded in the trial master file.</w:t>
      </w:r>
    </w:p>
    <w:p>
      <w:r>
        <w:rPr>
          <w:rFonts w:ascii="Calibri" w:hAnsi="Calibri"/>
        </w:rPr>
        <w:t>For the coronal series used to measure the extraocular muscles, the gantry is angled perpendicular to the hard palate. Sequential coronal slices of 3 mm are taken from the glabella to the anterior clinoid process and of 4.5 mm from the anterior to the posterior clinoid process. Intravenous contrast is not given.</w:t>
      </w:r>
    </w:p>
    <w:p>
      <w:r>
        <w:rPr>
          <w:rFonts w:ascii="Calibri" w:hAnsi="Calibri"/>
        </w:rPr>
        <w:t>For the axial series used to measure proptosis and to segment orbital fat, the participant's head is positioned parallel to the Frankfort horizontal plane and contiguous 3 mm slices are obtained through the orbit.</w:t>
      </w:r>
    </w:p>
    <w:p>
      <w:r>
        <w:rPr>
          <w:rFonts w:ascii="Calibri" w:hAnsi="Calibri"/>
        </w:rPr>
        <w:t>Any departure from these settings is recorded on the case report form, and the scan is flagged for review before it enters the analysis dataset.</w:t>
      </w:r>
    </w:p>
    <w:p>
      <w:pPr>
        <w:pStyle w:val="Heading2"/>
      </w:pPr>
      <w:r>
        <w:rPr>
          <w:rFonts w:ascii="Calibri" w:hAnsi="Calibri"/>
        </w:rPr>
        <w:t>1.2 Measurement</w:t>
      </w:r>
    </w:p>
    <w:p>
      <w:r>
        <w:rPr>
          <w:rFonts w:ascii="Calibri" w:hAnsi="Calibri"/>
        </w:rPr>
        <w:t>All measurements are made with ITK-SNAP version 4.2.0 [1] by two readers working independently. Images are anonymised, stripped of study identifiers and visit labels, and presented in random order, so that neither reader knows the allocation or the sequence of visits for a given participant.</w:t>
      </w:r>
    </w:p>
    <w:tbl>
      <w:tblPr>
        <w:tblW w:type="dxa" w:w="9028"/>
        <w:jc w:val="center"/>
        <w:tblLayout w:type="fixed"/>
        <w:tblLook w:firstColumn="1" w:firstRow="1" w:lastColumn="0" w:lastRow="0" w:noHBand="0" w:noVBand="1" w:val="04A0"/>
      </w:tblPr>
      <w:tblGrid>
        <w:gridCol w:w="3010"/>
        <w:gridCol w:w="3010"/>
        <w:gridCol w:w="3010"/>
      </w:tblGrid>
      <w:tr>
        <w:trPr>
          <w:tblHeader w:val="true"/>
        </w:trPr>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Measure</w:t>
            </w:r>
          </w:p>
        </w:tc>
        <w:tc>
          <w:tcPr>
            <w:tcW w:type="dxa" w:w="223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Plane</w:t>
            </w:r>
          </w:p>
        </w:tc>
        <w:tc>
          <w:tcPr>
            <w:tcW w:type="dxa" w:w="4637"/>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Definition</w:t>
            </w:r>
          </w:p>
        </w:tc>
      </w:tr>
      <w:tr>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Rectus muscle diameter</w:t>
            </w:r>
          </w:p>
        </w:tc>
        <w:tc>
          <w:tcPr>
            <w:tcW w:type="dxa" w:w="223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Coronal, non-contrast</w:t>
            </w:r>
          </w:p>
        </w:tc>
        <w:tc>
          <w:tcPr>
            <w:tcW w:type="dxa" w:w="4637"/>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Maximal thickness of each of the superior, inferior, medial and lateral rectus muscles</w:t>
            </w:r>
          </w:p>
        </w:tc>
      </w:tr>
      <w:tr>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Total rectus muscle diameter</w:t>
            </w:r>
          </w:p>
        </w:tc>
        <w:tc>
          <w:tcPr>
            <w:tcW w:type="dxa" w:w="223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Coronal, non-contrast</w:t>
            </w:r>
          </w:p>
        </w:tc>
        <w:tc>
          <w:tcPr>
            <w:tcW w:type="dxa" w:w="4637"/>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Sum of the four maximal diameters in the same orbit</w:t>
            </w:r>
          </w:p>
        </w:tc>
      </w:tr>
      <w:tr>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Proptosis</w:t>
            </w:r>
          </w:p>
        </w:tc>
        <w:tc>
          <w:tcPr>
            <w:tcW w:type="dxa" w:w="223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Axial</w:t>
            </w:r>
          </w:p>
        </w:tc>
        <w:tc>
          <w:tcPr>
            <w:tcW w:type="dxa" w:w="4637"/>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Perpendicular distance from the interzygomatic line to the posterior corneal surface</w:t>
            </w:r>
          </w:p>
        </w:tc>
      </w:tr>
      <w:tr>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Orbital fat volume</w:t>
            </w:r>
          </w:p>
        </w:tc>
        <w:tc>
          <w:tcPr>
            <w:tcW w:type="dxa" w:w="223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Axial and coronal</w:t>
            </w:r>
          </w:p>
        </w:tc>
        <w:tc>
          <w:tcPr>
            <w:tcW w:type="dxa" w:w="4637"/>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Segmentation using a window of −200 to −30 Hounsfield units</w:t>
            </w:r>
          </w:p>
        </w:tc>
      </w:tr>
    </w:tbl>
    <w:p>
      <w:pPr>
        <w:pStyle w:val="Heading2"/>
      </w:pPr>
      <w:r>
        <w:rPr>
          <w:rFonts w:ascii="Calibri" w:hAnsi="Calibri"/>
        </w:rPr>
        <w:t>1.3 Reader calibration and agreement</w:t>
      </w:r>
    </w:p>
    <w:p>
      <w:r>
        <w:rPr>
          <w:rFonts w:ascii="Calibri" w:hAnsi="Calibri"/>
        </w:rPr>
        <w:t>Before the first participant is enrolled, the two readers independently measure 20 archived orbital scans from patients treated at this centre. The trial proceeds only if the intraclass correlation coefficient for total rectus muscle diameter exceeds 0.85.</w:t>
      </w:r>
    </w:p>
    <w:p>
      <w:r>
        <w:rPr>
          <w:rFonts w:ascii="Calibri" w:hAnsi="Calibri"/>
        </w:rPr>
        <w:t>During the trial, agreement between the two readers is reported for every measure as an intraclass correlation coefficient with a 95% confidence interval. Where their readings of total rectus muscle diameter in the study orbit differ by more than 1.0 mm, a third reader, also masked, measures the scan and that value is used. For the remaining measures, readings that differ by more than 10% of their mean are adjudicated in the same way.</w:t>
      </w:r>
    </w:p>
    <w:p>
      <w:pPr>
        <w:pStyle w:val="Heading1"/>
      </w:pPr>
      <w:r>
        <w:rPr>
          <w:rFonts w:ascii="Calibri" w:hAnsi="Calibri"/>
        </w:rPr>
        <w:t>2. Blood sampling and processing</w:t>
      </w:r>
    </w:p>
    <w:p>
      <w:r>
        <w:rPr>
          <w:rFonts w:ascii="Calibri" w:hAnsi="Calibri"/>
        </w:rPr>
        <w:t>Venous blood, 3 mL, is drawn into EDTA tubes at baseline and at weeks 12 and 24. Peripheral blood mononuclear cells are separated by density-gradient centrifugation within two hours of venepuncture; the interval is recorded on the case report form. Separated cells are stored at −70 °C until analysis.</w:t>
      </w:r>
    </w:p>
    <w:p>
      <w:pPr>
        <w:pStyle w:val="Heading1"/>
      </w:pPr>
      <w:r>
        <w:rPr>
          <w:rFonts w:ascii="Calibri" w:hAnsi="Calibri"/>
        </w:rPr>
        <w:t>3. RNA and microRNA isolation</w:t>
      </w:r>
    </w:p>
    <w:p>
      <w:r>
        <w:rPr>
          <w:rFonts w:ascii="Calibri" w:hAnsi="Calibri"/>
        </w:rPr>
        <w:t>Total RNA is isolated from peripheral blood mononuclear cells with the RNeasy Mini Kit (catalogue number 74104, Qiagen) and microRNA with the Hybrid-R miRNA kit, in each case according to the manufacturer's instructions.</w:t>
      </w:r>
    </w:p>
    <w:p>
      <w:r>
        <w:rPr>
          <w:rFonts w:ascii="Calibri" w:hAnsi="Calibri"/>
        </w:rPr>
        <w:t>Orbital tissue is a fragment of 5 to 10 mm taken from the deep medial or inferior orbital fat already excised during rehabilitative decompression. It is fixed in formalin, processed to paraffin, and RNA is isolated with the RNeasy FFPE Kit (catalogue number 73504, Qiagen).</w:t>
      </w:r>
    </w:p>
    <w:p>
      <w:pPr>
        <w:pStyle w:val="Heading1"/>
      </w:pPr>
      <w:r>
        <w:rPr>
          <w:rFonts w:ascii="Calibri" w:hAnsi="Calibri"/>
        </w:rPr>
        <w:t>4. Complementary DNA synthesis</w:t>
      </w:r>
    </w:p>
    <w:p>
      <w:r>
        <w:rPr>
          <w:rFonts w:ascii="Calibri" w:hAnsi="Calibri"/>
        </w:rPr>
        <w:t>Complementary DNA for the four messenger RNA targets is synthesised with a first-strand kit primed with oligo(dT) and random hexamers. Complementary DNA for the two microRNA targets is synthesised with the Universal cDNA Synthesis Kit II (catalogue number 203301, Exiqon). Both reactions are run on a Bio-Rad C1000 thermal cycler under the conditions below.</w:t>
      </w:r>
    </w:p>
    <w:tbl>
      <w:tblPr>
        <w:tblW w:type="dxa" w:w="9028"/>
        <w:jc w:val="center"/>
        <w:tblLayout w:type="fixed"/>
        <w:tblLook w:firstColumn="1" w:firstRow="1" w:lastColumn="0" w:lastRow="0" w:noHBand="0" w:noVBand="1" w:val="04A0"/>
      </w:tblPr>
      <w:tblGrid>
        <w:gridCol w:w="3010"/>
        <w:gridCol w:w="3010"/>
        <w:gridCol w:w="3010"/>
      </w:tblGrid>
      <w:tr>
        <w:trPr>
          <w:tblHeader w:val="true"/>
        </w:trPr>
        <w:tc>
          <w:tcPr>
            <w:tcW w:type="dxa" w:w="374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Step</w:t>
            </w:r>
          </w:p>
        </w:tc>
        <w:tc>
          <w:tcPr>
            <w:tcW w:type="dxa" w:w="2736"/>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Temperature</w:t>
            </w:r>
          </w:p>
        </w:tc>
        <w:tc>
          <w:tcPr>
            <w:tcW w:type="dxa" w:w="2549"/>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Duration</w:t>
            </w:r>
          </w:p>
        </w:tc>
      </w:tr>
      <w:tr>
        <w:tc>
          <w:tcPr>
            <w:tcW w:type="dxa" w:w="374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Reverse transcription</w:t>
            </w:r>
          </w:p>
        </w:tc>
        <w:tc>
          <w:tcPr>
            <w:tcW w:type="dxa" w:w="2736"/>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42 °C</w:t>
            </w:r>
          </w:p>
        </w:tc>
        <w:tc>
          <w:tcPr>
            <w:tcW w:type="dxa" w:w="2549"/>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60 min</w:t>
            </w:r>
          </w:p>
        </w:tc>
      </w:tr>
      <w:tr>
        <w:tc>
          <w:tcPr>
            <w:tcW w:type="dxa" w:w="374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Enzyme inactivation</w:t>
            </w:r>
          </w:p>
        </w:tc>
        <w:tc>
          <w:tcPr>
            <w:tcW w:type="dxa" w:w="2736"/>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95 °C</w:t>
            </w:r>
          </w:p>
        </w:tc>
        <w:tc>
          <w:tcPr>
            <w:tcW w:type="dxa" w:w="2549"/>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5 min</w:t>
            </w:r>
          </w:p>
        </w:tc>
      </w:tr>
      <w:tr>
        <w:tc>
          <w:tcPr>
            <w:tcW w:type="dxa" w:w="374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Cooling</w:t>
            </w:r>
          </w:p>
        </w:tc>
        <w:tc>
          <w:tcPr>
            <w:tcW w:type="dxa" w:w="2736"/>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 °C</w:t>
            </w:r>
          </w:p>
        </w:tc>
        <w:tc>
          <w:tcPr>
            <w:tcW w:type="dxa" w:w="2549"/>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hold</w:t>
            </w:r>
          </w:p>
        </w:tc>
      </w:tr>
    </w:tbl>
    <w:p>
      <w:pPr>
        <w:pStyle w:val="Heading1"/>
      </w:pPr>
      <w:r>
        <w:rPr>
          <w:rFonts w:ascii="Calibri" w:hAnsi="Calibri"/>
        </w:rPr>
        <w:t>5. Quantitative real-time polymerase chain reaction</w:t>
      </w:r>
    </w:p>
    <w:p>
      <w:r>
        <w:rPr>
          <w:rFonts w:ascii="Calibri" w:hAnsi="Calibri"/>
        </w:rPr>
        <w:t>Amplification uses the NEXTpro qRT-PCR Master Mix (SYBR) on a BIOER Quant Gene 9600 instrument. GAPDH is the reference gene for TSH receptor, IGF-1 receptor, PDGF receptor and PI3K/AKT; U6 small nuclear RNA is the reference for miR-146a and miR-155.</w:t>
      </w:r>
    </w:p>
    <w:p>
      <w:r>
        <w:rPr>
          <w:rFonts w:ascii="Calibri" w:hAnsi="Calibri"/>
        </w:rPr>
        <w:t>Primer sequences for GAPDH:</w:t>
      </w:r>
    </w:p>
    <w:p>
      <w:r>
        <w:rPr>
          <w:rFonts w:ascii="Calibri" w:hAnsi="Calibri"/>
        </w:rPr>
        <w:t>- forward 5′-CTC CTC CAC CTT TGA CGC TG-3′</w:t>
      </w:r>
    </w:p>
    <w:p>
      <w:r>
        <w:rPr>
          <w:rFonts w:ascii="Calibri" w:hAnsi="Calibri"/>
        </w:rPr>
        <w:t>- reverse 5′-CAT ACC AGG AAA TGA GCT TGA CAA-3′</w:t>
      </w:r>
    </w:p>
    <w:p>
      <w:r>
        <w:rPr>
          <w:rFonts w:ascii="Calibri" w:hAnsi="Calibri"/>
        </w:rPr>
        <w:t>Primers for the six target transcripts and for U6 are listed in the laboratory manual held in the trial master file, and will be published in full with the primary results.</w:t>
      </w:r>
    </w:p>
    <w:tbl>
      <w:tblPr>
        <w:tblW w:type="dxa" w:w="9028"/>
        <w:jc w:val="center"/>
        <w:tblLayout w:type="fixed"/>
        <w:tblLook w:firstColumn="1" w:firstRow="1" w:lastColumn="0" w:lastRow="0" w:noHBand="0" w:noVBand="1" w:val="04A0"/>
      </w:tblPr>
      <w:tblGrid>
        <w:gridCol w:w="2257"/>
        <w:gridCol w:w="2257"/>
        <w:gridCol w:w="2257"/>
        <w:gridCol w:w="2257"/>
      </w:tblGrid>
      <w:tr>
        <w:trPr>
          <w:tblHeader w:val="true"/>
        </w:trPr>
        <w:tc>
          <w:tcPr>
            <w:tcW w:type="dxa" w:w="316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Step</w:t>
            </w:r>
          </w:p>
        </w:tc>
        <w:tc>
          <w:tcPr>
            <w:tcW w:type="dxa" w:w="244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Temperature</w:t>
            </w:r>
          </w:p>
        </w:tc>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Duration</w:t>
            </w:r>
          </w:p>
        </w:tc>
        <w:tc>
          <w:tcPr>
            <w:tcW w:type="dxa" w:w="1253"/>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Cycles</w:t>
            </w:r>
          </w:p>
        </w:tc>
      </w:tr>
      <w:tr>
        <w:tc>
          <w:tcPr>
            <w:tcW w:type="dxa" w:w="316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Pre-denaturation</w:t>
            </w:r>
          </w:p>
        </w:tc>
        <w:tc>
          <w:tcPr>
            <w:tcW w:type="dxa" w:w="244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95 °C</w:t>
            </w:r>
          </w:p>
        </w:tc>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10 min</w:t>
            </w:r>
          </w:p>
        </w:tc>
        <w:tc>
          <w:tcPr>
            <w:tcW w:type="dxa" w:w="1253"/>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w:t>
            </w:r>
          </w:p>
        </w:tc>
      </w:tr>
      <w:tr>
        <w:tc>
          <w:tcPr>
            <w:tcW w:type="dxa" w:w="316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Denaturation</w:t>
            </w:r>
          </w:p>
        </w:tc>
        <w:tc>
          <w:tcPr>
            <w:tcW w:type="dxa" w:w="244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95 °C</w:t>
            </w:r>
          </w:p>
        </w:tc>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20 s</w:t>
            </w:r>
          </w:p>
        </w:tc>
        <w:tc>
          <w:tcPr>
            <w:tcW w:type="dxa" w:w="1253"/>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40</w:t>
            </w:r>
          </w:p>
        </w:tc>
      </w:tr>
      <w:tr>
        <w:tc>
          <w:tcPr>
            <w:tcW w:type="dxa" w:w="316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Annealing and extension</w:t>
            </w:r>
          </w:p>
        </w:tc>
        <w:tc>
          <w:tcPr>
            <w:tcW w:type="dxa" w:w="244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60 °C</w:t>
            </w:r>
          </w:p>
        </w:tc>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40 s</w:t>
            </w:r>
          </w:p>
        </w:tc>
        <w:tc>
          <w:tcPr>
            <w:tcW w:type="dxa" w:w="1253"/>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40</w:t>
            </w:r>
          </w:p>
        </w:tc>
      </w:tr>
      <w:tr>
        <w:tc>
          <w:tcPr>
            <w:tcW w:type="dxa" w:w="316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Melt curve</w:t>
            </w:r>
          </w:p>
        </w:tc>
        <w:tc>
          <w:tcPr>
            <w:tcW w:type="dxa" w:w="2448"/>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60 °C to 95 °C</w:t>
            </w:r>
          </w:p>
        </w:tc>
        <w:tc>
          <w:tcPr>
            <w:tcW w:type="dxa" w:w="216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continuous</w:t>
            </w:r>
          </w:p>
        </w:tc>
        <w:tc>
          <w:tcPr>
            <w:tcW w:type="dxa" w:w="1253"/>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w:t>
            </w:r>
          </w:p>
        </w:tc>
      </w:tr>
    </w:tbl>
    <w:p>
      <w:r>
        <w:rPr>
          <w:rFonts w:ascii="Calibri" w:hAnsi="Calibri"/>
        </w:rPr>
        <w:t>Relative expression is calculated by the comparative threshold cycle method [2].</w:t>
      </w:r>
    </w:p>
    <w:p>
      <w:pPr>
        <w:pStyle w:val="Heading1"/>
      </w:pPr>
      <w:r>
        <w:rPr>
          <w:rFonts w:ascii="Calibri" w:hAnsi="Calibri"/>
        </w:rPr>
        <w:t>6. Quality control</w:t>
      </w:r>
    </w:p>
    <w:p>
      <w:r>
        <w:rPr>
          <w:rFonts w:ascii="Calibri" w:hAnsi="Calibri"/>
        </w:rPr>
        <w:t>Every plate carries a no-template control. Samples are run in triplicate, and a coefficient of variation above 5% between replicates triggers a repeat of that sample. Laboratory staff receive coded specimens and do not know the allocation.</w:t>
      </w:r>
    </w:p>
    <w:p>
      <w:r>
        <w:rPr>
          <w:rFonts w:ascii="Calibri" w:hAnsi="Calibri"/>
        </w:rPr>
        <w:t>Reporting of the quantitative real-time PCR experiments will follow the MIQE guidelines [3].</w:t>
      </w:r>
    </w:p>
    <w:p>
      <w:pPr>
        <w:pStyle w:val="Heading1"/>
      </w:pPr>
      <w:r>
        <w:rPr>
          <w:rFonts w:ascii="Calibri" w:hAnsi="Calibri"/>
        </w:rPr>
        <w:t>References</w:t>
      </w:r>
    </w:p>
    <w:p>
      <w:pPr>
        <w:spacing w:after="80" w:line="276" w:lineRule="auto"/>
        <w:ind w:left="504" w:hanging="504"/>
      </w:pPr>
      <w:r>
        <w:rPr>
          <w:rFonts w:ascii="Calibri" w:hAnsi="Calibri"/>
          <w:sz w:val="22"/>
        </w:rPr>
        <w:t>1. Yushkevich PA, Piven J, Hazlett HC, Smith RG, Ho S, Gee JC, et al. User-guided 3D active contour segmentation of anatomical structures: significantly improved efficiency and reliability. Neuroimage. 2006;31(3):1116–28. doi:10.1016/j.neuroimage.2006.01.015.</w:t>
      </w:r>
    </w:p>
    <w:p>
      <w:pPr>
        <w:spacing w:after="80" w:line="276" w:lineRule="auto"/>
        <w:ind w:left="504" w:hanging="504"/>
      </w:pPr>
      <w:r>
        <w:rPr>
          <w:rFonts w:ascii="Calibri" w:hAnsi="Calibri"/>
          <w:sz w:val="22"/>
        </w:rPr>
        <w:t>2. Livak KJ, Schmittgen TD. Analysis of relative gene expression data using real-time quantitative PCR and the 2(-Delta Delta C(T)) method. Methods. 2001;25(4):402–8. doi:10.1006/meth.2001.1262.</w:t>
      </w:r>
    </w:p>
    <w:p>
      <w:pPr>
        <w:spacing w:after="80" w:line="276" w:lineRule="auto"/>
        <w:ind w:left="504" w:hanging="504"/>
      </w:pPr>
      <w:r>
        <w:rPr>
          <w:rFonts w:ascii="Calibri" w:hAnsi="Calibri"/>
          <w:sz w:val="22"/>
        </w:rPr>
        <w:t>3. Bustin SA, Benes V, Garson JA, Hellemans J, Huggett J, Kubista M, et al. The MIQE guidelines: minimum information for publication of quantitative real-time PCR experiments. Clin Chem. 2009;55(4):611–22. doi:10.1373/clinchem.2008.112797.</w:t>
      </w:r>
    </w:p>
    <w:sectPr w:rsidR="00FC693F" w:rsidRPr="0006063C" w:rsidSect="00034616">
      <w:footerReference w:type="default" r:id="rId9"/>
      <w:pgSz w:w="11909" w:h="16834"/>
      <w:pgMar w:top="1440" w:right="1440" w:bottom="1440" w:left="1440" w:header="720" w:footer="720" w:gutter="0"/>
      <w:lnNumType w:countBy="1" w:restart="continuous" w:distance="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Calibri" w:hAnsi="Calibri"/>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line="276" w:lineRule="auto"/>
      <w:outlineLvl w:val="0"/>
    </w:pPr>
    <w:rPr>
      <w:rFonts w:asciiTheme="majorHAnsi" w:eastAsiaTheme="majorEastAsia" w:hAnsiTheme="majorHAnsi" w:cstheme="majorBidi" w:ascii="Calibri" w:hAnsi="Calibri"/>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Calibri" w:hAnsi="Calibri"/>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line="276" w:lineRule="auto"/>
      <w:outlineLvl w:val="2"/>
    </w:pPr>
    <w:rPr>
      <w:rFonts w:asciiTheme="majorHAnsi" w:eastAsiaTheme="majorEastAsia" w:hAnsiTheme="majorHAnsi" w:cstheme="majorBidi" w:ascii="Calibri" w:hAnsi="Calibri"/>
      <w:b w:val="0"/>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3. Laboratory and imaging procedures</dc:title>
  <dc:subject/>
  <dc:creator>Dewi Fathin Romdhoniyyah</dc:creator>
  <cp:keywords/>
  <dc:description/>
  <cp:lastModifiedBy>Dewi Fathin Romdhoniyyah</cp:lastModifiedBy>
  <cp:revision>1</cp:revision>
  <dcterms:created xsi:type="dcterms:W3CDTF">2026-07-29T00:00:00Z</dcterms:created>
  <dcterms:modified xsi:type="dcterms:W3CDTF">2026-07-29T00:00:00Z</dcterms:modified>
  <cp:category/>
</cp:coreProperties>
</file>