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6371C">
      <w:pPr>
        <w:pStyle w:val="2"/>
        <w:numPr>
          <w:ilvl w:val="0"/>
          <w:numId w:val="0"/>
        </w:numPr>
        <w:spacing w:line="360" w:lineRule="auto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</w:rPr>
        <w:t>Witnessing Cyberbullying in Online Games Increases Reactive Aggression and State Hostility</w:t>
      </w:r>
    </w:p>
    <w:p w14:paraId="05010A85">
      <w:pPr>
        <w:jc w:val="center"/>
        <w:rPr>
          <w:rFonts w:hint="default" w:ascii="Times New Roman" w:hAnsi="Times New Roman" w:cs="Times New Roman"/>
          <w:vertAlign w:val="superscript"/>
          <w:lang w:val="en-US" w:eastAsia="zh-CN"/>
        </w:rPr>
      </w:pPr>
      <w:r>
        <w:rPr>
          <w:rFonts w:hint="default" w:ascii="Times New Roman" w:hAnsi="Times New Roman" w:cs="Times New Roman"/>
        </w:rPr>
        <w:t>Xiangyang He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</w:rPr>
        <w:t>, Keqian Li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</w:rPr>
        <w:t>, Yingying Liu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</w:rPr>
        <w:t>, Shunmin Zhang</w:t>
      </w:r>
      <w:r>
        <w:rPr>
          <w:rFonts w:hint="default" w:ascii="Times New Roman" w:hAnsi="Times New Roman" w:cs="Times New Roman"/>
          <w:vertAlign w:val="superscript"/>
          <w:lang w:val="en-US" w:eastAsia="zh-CN"/>
        </w:rPr>
        <w:t>1*</w:t>
      </w:r>
    </w:p>
    <w:p w14:paraId="579EFAC3">
      <w:pPr>
        <w:rPr>
          <w:rFonts w:hint="default" w:ascii="Times New Roman" w:hAnsi="Times New Roman" w:cs="Times New Roman"/>
        </w:rPr>
      </w:pPr>
    </w:p>
    <w:p w14:paraId="5C733E80">
      <w:pPr>
        <w:pStyle w:val="3"/>
        <w:rPr>
          <w:rFonts w:hint="default" w:ascii="Times New Roman" w:hAnsi="Times New Roman" w:cs="Times New Roman"/>
          <w:sz w:val="30"/>
          <w:szCs w:val="30"/>
          <w:lang w:val="en-US" w:eastAsia="zh-CN"/>
        </w:rPr>
      </w:pPr>
      <w:r>
        <w:rPr>
          <w:rFonts w:ascii="Times New Roman" w:hAnsi="Times New Roman"/>
        </w:rPr>
        <w:t>Author information</w:t>
      </w:r>
    </w:p>
    <w:p w14:paraId="1D8994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Department of Psychology and Behavioral Sciences, Zhejiang University, Hangzhou, China</w:t>
      </w:r>
    </w:p>
    <w:p w14:paraId="5D44C4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School of Psychology and Cognitive Science, East China Normal University, Shanghai, China</w:t>
      </w:r>
    </w:p>
    <w:p w14:paraId="74053F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: School of Business and Management, Shanghai International Studies University, Shanghai, China</w:t>
      </w:r>
    </w:p>
    <w:p w14:paraId="6A696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auto"/>
        <w:ind w:firstLine="42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hAnsi="Times New Roman"/>
          <w:sz w:val="21"/>
        </w:rPr>
        <w:t>*Correspondence and requests for materials should be addressed to S.Z. (email: shunmin@zju.edu.cn).</w:t>
      </w:r>
    </w:p>
    <w:p w14:paraId="19C4E0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0" w:line="360" w:lineRule="auto"/>
        <w:ind w:firstLine="480" w:firstLineChars="200"/>
        <w:jc w:val="left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Xiangyang He, ORCID: 0009-0008-2075-1553</w:t>
      </w:r>
    </w:p>
    <w:p w14:paraId="7220A728">
      <w:pPr>
        <w:spacing w:after="6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default" w:ascii="Times New Roman" w:hAnsi="Times New Roman" w:cs="Times New Roman"/>
          <w:b w:val="0"/>
          <w:sz w:val="21"/>
          <w:szCs w:val="24"/>
          <w:lang w:val="en-US" w:eastAsia="zh-CN"/>
        </w:rPr>
        <w:t>Shunmin Zhang, ORCID: 0000-0003-1616-4328</w:t>
      </w:r>
    </w:p>
    <w:p w14:paraId="785BE396">
      <w:pPr>
        <w:pStyle w:val="2"/>
        <w:numPr>
          <w:ilvl w:val="0"/>
          <w:numId w:val="0"/>
        </w:numPr>
        <w:bidi w:val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Supplementary Information</w:t>
      </w:r>
    </w:p>
    <w:p w14:paraId="08E0A7CB">
      <w:pPr>
        <w:rPr>
          <w:rFonts w:hint="default"/>
          <w:lang w:val="en-US" w:eastAsia="zh-CN"/>
        </w:rPr>
      </w:pPr>
    </w:p>
    <w:tbl>
      <w:tblPr>
        <w:tblStyle w:val="6"/>
        <w:tblW w:w="8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0"/>
        <w:gridCol w:w="650"/>
        <w:gridCol w:w="1450"/>
        <w:gridCol w:w="1450"/>
        <w:gridCol w:w="900"/>
        <w:gridCol w:w="1250"/>
      </w:tblGrid>
      <w:tr w14:paraId="4846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0" w:type="dxa"/>
            <w:gridSpan w:val="6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6C">
            <w:pPr>
              <w:pStyle w:val="10"/>
              <w:widowControl w:val="0"/>
              <w:snapToGrid w:val="0"/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Table S1. Descriptive statistics and paired-samples t tests for COG behaviors</w:t>
            </w:r>
          </w:p>
        </w:tc>
      </w:tr>
      <w:tr w14:paraId="48463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6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6E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Variables</w:t>
            </w:r>
          </w:p>
        </w:tc>
        <w:tc>
          <w:tcPr>
            <w:tcW w:w="6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6F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N</w:t>
            </w:r>
          </w:p>
        </w:tc>
        <w:tc>
          <w:tcPr>
            <w:tcW w:w="14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0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Direct experience</w:t>
            </w:r>
            <w:r>
              <w:rPr>
                <w:rFonts w:ascii="Times New Roman" w:hAnsi="Times New Roman"/>
                <w:b/>
                <w:sz w:val="17"/>
              </w:rPr>
              <w:br w:type="textWrapping"/>
            </w:r>
            <w:r>
              <w:rPr>
                <w:rFonts w:ascii="Times New Roman" w:hAnsi="Times New Roman"/>
                <w:b/>
                <w:sz w:val="17"/>
              </w:rPr>
              <w:t>M ± SD</w:t>
            </w:r>
          </w:p>
        </w:tc>
        <w:tc>
          <w:tcPr>
            <w:tcW w:w="14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1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Witnessed</w:t>
            </w:r>
            <w:r>
              <w:rPr>
                <w:rFonts w:ascii="Times New Roman" w:hAnsi="Times New Roman"/>
                <w:b/>
                <w:sz w:val="17"/>
              </w:rPr>
              <w:br w:type="textWrapping"/>
            </w:r>
            <w:r>
              <w:rPr>
                <w:rFonts w:ascii="Times New Roman" w:hAnsi="Times New Roman"/>
                <w:b/>
                <w:sz w:val="17"/>
              </w:rPr>
              <w:t>M ± SD</w:t>
            </w:r>
          </w:p>
        </w:tc>
        <w:tc>
          <w:tcPr>
            <w:tcW w:w="9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2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t</w:t>
            </w:r>
          </w:p>
        </w:tc>
        <w:tc>
          <w:tcPr>
            <w:tcW w:w="12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3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7"/>
              </w:rPr>
              <w:t>Cohen's d</w:t>
            </w:r>
          </w:p>
        </w:tc>
      </w:tr>
      <w:tr w14:paraId="48463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5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 w:val="17"/>
                <w:szCs w:val="21"/>
              </w:rPr>
              <w:t>Public Channel Verbal Harassment</w:t>
            </w:r>
          </w:p>
        </w:tc>
        <w:tc>
          <w:tcPr>
            <w:tcW w:w="6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6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860</w:t>
            </w:r>
          </w:p>
        </w:tc>
        <w:tc>
          <w:tcPr>
            <w:tcW w:w="14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7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1.67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1.05</w:t>
            </w:r>
          </w:p>
        </w:tc>
        <w:tc>
          <w:tcPr>
            <w:tcW w:w="14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8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2.00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1.22</w:t>
            </w:r>
          </w:p>
        </w:tc>
        <w:tc>
          <w:tcPr>
            <w:tcW w:w="9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9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9.21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  <w:vertAlign w:val="superscript"/>
              </w:rPr>
              <w:t>**</w:t>
            </w:r>
          </w:p>
        </w:tc>
        <w:tc>
          <w:tcPr>
            <w:tcW w:w="12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A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.29</w:t>
            </w:r>
          </w:p>
        </w:tc>
      </w:tr>
      <w:tr w14:paraId="48463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C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 w:val="17"/>
                <w:szCs w:val="21"/>
              </w:rPr>
              <w:t>Ganking or Bounty Hunting in Open World Maps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D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860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E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2.05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1.34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7F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2.40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1.33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0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9.89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  <w:vertAlign w:val="superscript"/>
              </w:rPr>
              <w:t>**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1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.26</w:t>
            </w:r>
          </w:p>
        </w:tc>
      </w:tr>
      <w:tr w14:paraId="48463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3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7"/>
              </w:rPr>
              <w:t>Class-based discrimination</w:t>
            </w:r>
          </w:p>
          <w:p w14:paraId="48463884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7"/>
                <w:szCs w:val="21"/>
              </w:rPr>
              <w:t>Discrimination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5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860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6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1.57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1.28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7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1.73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1.32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8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4.90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  <w:vertAlign w:val="superscript"/>
              </w:rPr>
              <w:t>**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9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.13</w:t>
            </w:r>
          </w:p>
        </w:tc>
      </w:tr>
      <w:tr w14:paraId="48463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B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 w:val="17"/>
                <w:szCs w:val="21"/>
              </w:rPr>
              <w:t>Malicious Kicking from Groups</w:t>
            </w: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C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860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D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1.77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1.29</w:t>
            </w: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E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1.88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1.27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8F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3.67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  <w:vertAlign w:val="superscript"/>
              </w:rPr>
              <w:t>**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0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hint="eastAsia" w:ascii="Times New Roman" w:hAnsi="Times New Roman" w:eastAsia="微软雅黑" w:cs="微软雅黑"/>
                <w:color w:val="000000"/>
                <w:sz w:val="17"/>
                <w:szCs w:val="21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.09</w:t>
            </w:r>
          </w:p>
        </w:tc>
      </w:tr>
      <w:tr w14:paraId="48463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2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sz w:val="17"/>
                <w:szCs w:val="21"/>
              </w:rPr>
              <w:t>Private Message Verbal Harassment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3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860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4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1.35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1.17</w:t>
            </w:r>
          </w:p>
        </w:tc>
        <w:tc>
          <w:tcPr>
            <w:tcW w:w="14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5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6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-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7">
            <w:pPr>
              <w:pStyle w:val="11"/>
              <w:widowControl w:val="0"/>
              <w:snapToGrid w:val="0"/>
              <w:spacing w:before="0" w:beforeLines="0" w:after="0" w:afterLines="0" w:line="240" w:lineRule="auto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7"/>
                <w:szCs w:val="21"/>
              </w:rPr>
              <w:t>-</w:t>
            </w:r>
          </w:p>
        </w:tc>
      </w:tr>
      <w:tr w14:paraId="484638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BD0AF3">
            <w:pPr>
              <w:widowControl/>
              <w:snapToGrid w:val="0"/>
              <w:spacing w:before="0" w:after="0"/>
              <w:jc w:val="center"/>
              <w:textAlignment w:val="bottom"/>
              <w:rPr>
                <w:rFonts w:ascii="Times New Roman" w:hAnsi="Times New Roman" w:eastAsia="仿宋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 w:val="17"/>
              </w:rPr>
              <w:t>*p &lt; .05; **p &lt; .01.</w:t>
            </w:r>
          </w:p>
        </w:tc>
      </w:tr>
    </w:tbl>
    <w:p w14:paraId="31FDD8DC"/>
    <w:tbl>
      <w:tblPr>
        <w:tblStyle w:val="5"/>
        <w:tblW w:w="83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00"/>
        <w:gridCol w:w="700"/>
        <w:gridCol w:w="700"/>
        <w:gridCol w:w="620"/>
        <w:gridCol w:w="620"/>
        <w:gridCol w:w="620"/>
        <w:gridCol w:w="620"/>
        <w:gridCol w:w="620"/>
        <w:gridCol w:w="620"/>
        <w:gridCol w:w="680"/>
      </w:tblGrid>
      <w:tr w14:paraId="7914E9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00" w:type="dxa"/>
            <w:gridSpan w:val="10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D0C517">
            <w:pPr>
              <w:pStyle w:val="10"/>
              <w:snapToGrid w:val="0"/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bCs/>
              </w:rPr>
            </w:pPr>
            <w:r>
              <w:rPr>
                <w:rFonts w:ascii="Times New Roman" w:hAnsi="Times New Roman"/>
                <w:b/>
                <w:sz w:val="16"/>
              </w:rPr>
              <w:t>Table S2. Descriptive statistics and correlations among COG exposure and aggressive tendencies</w:t>
            </w:r>
          </w:p>
          <w:p w14:paraId="34E82B15">
            <w:pPr>
              <w:pStyle w:val="10"/>
              <w:snapToGrid w:val="0"/>
              <w:spacing w:before="0"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16"/>
              </w:rPr>
              <w:t xml:space="preserve">Table </w:t>
            </w:r>
            <w:bookmarkStart w:id="0" w:name="_Toc19077"/>
            <w:bookmarkStart w:id="1" w:name="_Toc25020"/>
            <w:r>
              <w:rPr>
                <w:rFonts w:hint="eastAsia" w:ascii="Times New Roman" w:hAnsi="Times New Roman" w:cs="Times New Roman"/>
                <w:b/>
                <w:bCs w:val="0"/>
                <w:sz w:val="16"/>
                <w:lang w:val="en-US" w:eastAsia="zh-CN"/>
              </w:rPr>
              <w:t>S2</w:t>
            </w:r>
            <w:r>
              <w:rPr>
                <w:rFonts w:hint="default" w:ascii="Times New Roman" w:hAnsi="Times New Roman" w:cs="Times New Roman"/>
                <w:b w:val="0"/>
                <w:bCs/>
                <w:sz w:val="16"/>
              </w:rPr>
              <w:t xml:space="preserve"> </w:t>
            </w:r>
            <w:bookmarkEnd w:id="0"/>
            <w:bookmarkEnd w:id="1"/>
            <w:r>
              <w:rPr>
                <w:rFonts w:hint="default" w:ascii="Times New Roman" w:hAnsi="Times New Roman" w:cs="Times New Roman"/>
                <w:b w:val="0"/>
                <w:bCs/>
                <w:sz w:val="16"/>
              </w:rPr>
              <w:t>Descriptive Statistics and Correlation Analysis of</w:t>
            </w:r>
            <w:r>
              <w:rPr>
                <w:rFonts w:hint="eastAsia" w:ascii="Times New Roman" w:hAnsi="Times New Roman" w:cs="Times New Roman"/>
                <w:b w:val="0"/>
                <w:bCs/>
                <w:sz w:val="16"/>
                <w:lang w:val="en-US" w:eastAsia="zh-CN"/>
              </w:rPr>
              <w:t xml:space="preserve"> Experiencing /Witnessing </w:t>
            </w:r>
            <w:r>
              <w:rPr>
                <w:rFonts w:hint="default" w:ascii="Times New Roman" w:hAnsi="Times New Roman" w:cs="Times New Roman"/>
                <w:b w:val="0"/>
                <w:bCs/>
                <w:sz w:val="16"/>
              </w:rPr>
              <w:t>Cyberbullying in Online Games</w:t>
            </w:r>
            <w:r>
              <w:rPr>
                <w:rFonts w:hint="eastAsia" w:ascii="Times New Roman" w:hAnsi="Times New Roman" w:cs="Times New Roman"/>
                <w:b w:val="0"/>
                <w:bCs/>
                <w:sz w:val="16"/>
                <w:lang w:val="en-US" w:eastAsia="zh-CN"/>
              </w:rPr>
              <w:t xml:space="preserve"> and </w:t>
            </w:r>
            <w:r>
              <w:rPr>
                <w:rFonts w:hint="default" w:ascii="Times New Roman" w:hAnsi="Times New Roman" w:cs="Times New Roman"/>
                <w:b w:val="0"/>
                <w:bCs/>
                <w:sz w:val="16"/>
              </w:rPr>
              <w:t>Aggressive Tendencies</w:t>
            </w:r>
          </w:p>
        </w:tc>
      </w:tr>
      <w:tr w14:paraId="48009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25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C187C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6"/>
              </w:rPr>
              <w:t>Variables</w:t>
            </w:r>
          </w:p>
        </w:tc>
        <w:tc>
          <w:tcPr>
            <w:tcW w:w="7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1F9765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M</w:t>
            </w:r>
          </w:p>
        </w:tc>
        <w:tc>
          <w:tcPr>
            <w:tcW w:w="7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9A75F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SD</w:t>
            </w:r>
          </w:p>
        </w:tc>
        <w:tc>
          <w:tcPr>
            <w:tcW w:w="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4FEC4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1</w:t>
            </w:r>
          </w:p>
        </w:tc>
        <w:tc>
          <w:tcPr>
            <w:tcW w:w="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506A8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2</w:t>
            </w:r>
          </w:p>
        </w:tc>
        <w:tc>
          <w:tcPr>
            <w:tcW w:w="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66C772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3</w:t>
            </w:r>
          </w:p>
        </w:tc>
        <w:tc>
          <w:tcPr>
            <w:tcW w:w="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D2814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4</w:t>
            </w:r>
          </w:p>
        </w:tc>
        <w:tc>
          <w:tcPr>
            <w:tcW w:w="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5D3FA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5</w:t>
            </w:r>
          </w:p>
        </w:tc>
        <w:tc>
          <w:tcPr>
            <w:tcW w:w="62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9B17F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6</w:t>
            </w:r>
          </w:p>
        </w:tc>
        <w:tc>
          <w:tcPr>
            <w:tcW w:w="68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83138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7</w:t>
            </w:r>
          </w:p>
        </w:tc>
      </w:tr>
      <w:tr w14:paraId="2C0546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D1FA89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1. Experiencing COG</w:t>
            </w:r>
          </w:p>
        </w:tc>
        <w:tc>
          <w:tcPr>
            <w:tcW w:w="7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20C68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8.02</w:t>
            </w:r>
          </w:p>
        </w:tc>
        <w:tc>
          <w:tcPr>
            <w:tcW w:w="7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F2F35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4.48</w:t>
            </w:r>
          </w:p>
        </w:tc>
        <w:tc>
          <w:tcPr>
            <w:tcW w:w="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DD637B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  <w:tc>
          <w:tcPr>
            <w:tcW w:w="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1BDDEA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A3929B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6D37D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801C7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24F1C7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DB573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F675F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BE6361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2. Witnessing COG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9FCC2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8.41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0CBF55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3.95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AAA4A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.82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34ED1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2895EA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91FAD7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BE125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210FE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9406D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75E00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B1832D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3. Aggressive tendencies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F0FB7A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48.21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CE7CB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12.72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B7B64D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.45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73EA2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.47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4D9E6D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49D6C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9B540B5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D7332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7455D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6D28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F8DC430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4. Physical aggression tendencies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91EE65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11.34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1853BA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3.50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A7140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.32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970E4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.28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668E32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.73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5165BA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1A8F1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1590B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4D446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F810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F35F84C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5. Verbal aggression tendencies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4D315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9.26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0B314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3.10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EF7AF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.34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2EDA83B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.41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E16E7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.75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6675D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.39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527A8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F3E0F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C8690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BFEC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36BCF4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6. Anger tendencies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19C88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10.64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66CC2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3.64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E27DC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.35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E3911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.32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A6C39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.85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E618D8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.58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CD7052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.50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C20DB8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9DBB9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E1632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25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A269DC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7. Hostility tendencies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83735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16.97</w:t>
            </w:r>
          </w:p>
        </w:tc>
        <w:tc>
          <w:tcPr>
            <w:tcW w:w="70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B72ABB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5.36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1D2A8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.43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F27007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.47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6E629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.89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BE6CA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.46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17868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.61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2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9CEF1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.67</w:t>
            </w:r>
            <w:r>
              <w:rPr>
                <w:rFonts w:ascii="Times New Roman" w:hAnsi="Times New Roman" w:cs="Times New Roman"/>
                <w:sz w:val="16"/>
                <w:szCs w:val="21"/>
                <w:vertAlign w:val="superscript"/>
              </w:rPr>
              <w:t>**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1B99C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 w:val="16"/>
                <w:szCs w:val="21"/>
              </w:rPr>
              <w:t>-</w:t>
            </w:r>
          </w:p>
        </w:tc>
      </w:tr>
      <w:tr w14:paraId="5FCCE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3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CA3A97">
            <w:pPr>
              <w:pStyle w:val="11"/>
              <w:snapToGrid w:val="0"/>
              <w:spacing w:before="0" w:after="0"/>
              <w:jc w:val="center"/>
              <w:rPr>
                <w:rFonts w:hint="default" w:ascii="Times New Roman" w:hAnsi="Times New Roman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sz w:val="16"/>
              </w:rPr>
              <w:t>N = 860. *p &lt; .05; **p &lt; .01.</w:t>
            </w:r>
          </w:p>
        </w:tc>
      </w:tr>
    </w:tbl>
    <w:p w14:paraId="15C22E4C"/>
    <w:p w14:paraId="3D4CD189"/>
    <w:tbl>
      <w:tblPr>
        <w:tblStyle w:val="5"/>
        <w:tblW w:w="83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0"/>
        <w:gridCol w:w="975"/>
        <w:gridCol w:w="975"/>
        <w:gridCol w:w="975"/>
        <w:gridCol w:w="975"/>
        <w:gridCol w:w="975"/>
        <w:gridCol w:w="975"/>
      </w:tblGrid>
      <w:tr w14:paraId="48463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0" w:type="dxa"/>
            <w:gridSpan w:val="7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D">
            <w:pPr>
              <w:pStyle w:val="10"/>
              <w:snapToGrid w:val="0"/>
              <w:spacing w:before="0" w:after="0"/>
              <w:jc w:val="center"/>
              <w:rPr>
                <w:rFonts w:hint="default" w:ascii="Times New Roman" w:hAnsi="Times New Roman" w:cs="Times New Roman"/>
                <w:b w:val="0"/>
                <w:color w:val="000000"/>
                <w:szCs w:val="21"/>
              </w:rPr>
            </w:pPr>
            <w:r>
              <w:rPr>
                <w:rFonts w:ascii="Times New Roman" w:hAnsi="Times New Roman"/>
                <w:b/>
                <w:sz w:val="16"/>
              </w:rPr>
              <w:t>Table S3. Correlations of direct and witnessed COG exposure with aggressive tendencies across waves</w:t>
            </w:r>
          </w:p>
        </w:tc>
      </w:tr>
      <w:tr w14:paraId="48463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9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Variables</w:t>
            </w:r>
          </w:p>
        </w:tc>
        <w:tc>
          <w:tcPr>
            <w:tcW w:w="2925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Experiencing COG</w:t>
            </w:r>
          </w:p>
        </w:tc>
        <w:tc>
          <w:tcPr>
            <w:tcW w:w="2925" w:type="dxa"/>
            <w:gridSpan w:val="3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Witnessing COG</w:t>
            </w:r>
          </w:p>
        </w:tc>
      </w:tr>
      <w:tr w14:paraId="48463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4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3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T1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5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T2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T3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7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T1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T2</w:t>
            </w:r>
          </w:p>
        </w:tc>
        <w:tc>
          <w:tcPr>
            <w:tcW w:w="975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T3</w:t>
            </w:r>
          </w:p>
        </w:tc>
      </w:tr>
      <w:tr w14:paraId="484638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B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T1</w:t>
            </w:r>
            <w:r>
              <w:rPr>
                <w:rFonts w:hint="eastAsia" w:ascii="Times New Roman" w:hAnsi="Times New Roman" w:cs="Times New Roman"/>
                <w:color w:val="000000"/>
                <w:sz w:val="16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Aggressive Tendencies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.51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.51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.44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A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.51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.41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.39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</w:tr>
      <w:tr w14:paraId="48463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3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T2</w:t>
            </w:r>
            <w:r>
              <w:rPr>
                <w:rFonts w:hint="eastAsia" w:ascii="Times New Roman" w:hAnsi="Times New Roman" w:cs="Times New Roman"/>
                <w:color w:val="000000"/>
                <w:sz w:val="16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Aggressive Tendencies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4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.45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5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.45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.49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7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.45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.49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.43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</w:tr>
      <w:tr w14:paraId="484638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B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T3</w:t>
            </w:r>
            <w:r>
              <w:rPr>
                <w:rFonts w:hint="eastAsia" w:ascii="Times New Roman" w:hAnsi="Times New Roman" w:cs="Times New Roman"/>
                <w:color w:val="000000"/>
                <w:sz w:val="16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Aggressive Tendencies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.45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.46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.50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B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.46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.47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21"/>
              </w:rPr>
              <w:t>.47</w:t>
            </w:r>
            <w:r>
              <w:rPr>
                <w:rFonts w:ascii="Times New Roman" w:hAnsi="Times New Roman" w:cs="Times New Roman"/>
                <w:color w:val="000000"/>
                <w:sz w:val="16"/>
                <w:szCs w:val="21"/>
                <w:vertAlign w:val="superscript"/>
              </w:rPr>
              <w:t>***</w:t>
            </w:r>
          </w:p>
        </w:tc>
      </w:tr>
      <w:tr w14:paraId="484638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sz w:val="16"/>
              </w:rPr>
              <w:t>*p &lt; .05; **p &lt; .01; ***p &lt; .001.</w:t>
            </w:r>
          </w:p>
        </w:tc>
      </w:tr>
    </w:tbl>
    <w:p w14:paraId="4077D3F3"/>
    <w:tbl>
      <w:tblPr>
        <w:tblStyle w:val="5"/>
        <w:tblW w:w="83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0"/>
        <w:gridCol w:w="1900"/>
        <w:gridCol w:w="1900"/>
        <w:gridCol w:w="850"/>
        <w:gridCol w:w="1100"/>
      </w:tblGrid>
      <w:tr w14:paraId="48463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0" w:type="dxa"/>
            <w:gridSpan w:val="5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7">
            <w:pPr>
              <w:pStyle w:val="10"/>
              <w:snapToGrid w:val="0"/>
              <w:spacing w:before="0" w:after="0"/>
              <w:jc w:val="center"/>
              <w:rPr>
                <w:rFonts w:hint="default"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17"/>
              </w:rPr>
              <w:t>Table S4. Age, baseline aggression, and message comprehensibility by COG exposure condition</w:t>
            </w:r>
          </w:p>
        </w:tc>
      </w:tr>
      <w:tr w14:paraId="48463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25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17"/>
              </w:rPr>
              <w:t>Variables</w:t>
            </w:r>
          </w:p>
        </w:tc>
        <w:tc>
          <w:tcPr>
            <w:tcW w:w="19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A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17"/>
              </w:rPr>
              <w:t>Higher exposure</w:t>
            </w:r>
          </w:p>
        </w:tc>
        <w:tc>
          <w:tcPr>
            <w:tcW w:w="19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B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17"/>
              </w:rPr>
              <w:t>Lower exposure</w:t>
            </w:r>
          </w:p>
        </w:tc>
        <w:tc>
          <w:tcPr>
            <w:tcW w:w="85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17"/>
              </w:rPr>
              <w:t>t</w:t>
            </w:r>
          </w:p>
        </w:tc>
        <w:tc>
          <w:tcPr>
            <w:tcW w:w="1100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  <w:sz w:val="17"/>
              </w:rPr>
              <w:t>Cohen's d</w:t>
            </w:r>
          </w:p>
        </w:tc>
      </w:tr>
      <w:tr w14:paraId="48463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CF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Age</w:t>
            </w:r>
          </w:p>
        </w:tc>
        <w:tc>
          <w:tcPr>
            <w:tcW w:w="19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0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21.53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sz w:val="17"/>
              </w:rPr>
              <w:t>2.69</w:t>
            </w:r>
          </w:p>
        </w:tc>
        <w:tc>
          <w:tcPr>
            <w:tcW w:w="19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21.97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sz w:val="17"/>
              </w:rPr>
              <w:t>2.75</w:t>
            </w:r>
          </w:p>
        </w:tc>
        <w:tc>
          <w:tcPr>
            <w:tcW w:w="85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2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微软雅黑" w:cs="微软雅黑"/>
                <w:b w:val="0"/>
                <w:bCs w:val="0"/>
                <w:color w:val="000000" w:themeColor="text1"/>
                <w:sz w:val="17"/>
                <w:szCs w:val="21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default" w:ascii="Times New Roman" w:hAnsi="Times New Roman" w:cs="Times New Roman"/>
                <w:sz w:val="17"/>
              </w:rPr>
              <w:t>.94</w:t>
            </w:r>
          </w:p>
        </w:tc>
        <w:tc>
          <w:tcPr>
            <w:tcW w:w="1100" w:type="dxa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3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color w:val="000000" w:themeColor="text1"/>
                <w:sz w:val="17"/>
                <w:szCs w:val="21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default" w:ascii="Times New Roman" w:hAnsi="Times New Roman" w:cs="Times New Roman"/>
                <w:sz w:val="17"/>
              </w:rPr>
              <w:t>.16</w:t>
            </w:r>
            <w:r>
              <w:rPr>
                <w:rFonts w:ascii="Times New Roman" w:hAnsi="Times New Roman" w:cs="Times New Roman"/>
                <w:sz w:val="17"/>
              </w:rPr>
              <w:t xml:space="preserve"> </w:t>
            </w:r>
          </w:p>
        </w:tc>
      </w:tr>
      <w:tr w14:paraId="48463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  <w:tl2br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5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 w:val="17"/>
                <w:szCs w:val="21"/>
                <w:lang w:val="en-US" w:eastAsia="zh-CN"/>
              </w:rPr>
              <w:t>Ba</w:t>
            </w:r>
            <w:r>
              <w:rPr>
                <w:rFonts w:ascii="Times New Roman" w:hAnsi="Times New Roman" w:cs="Times New Roman"/>
                <w:sz w:val="17"/>
                <w:szCs w:val="21"/>
              </w:rPr>
              <w:t>seline Aggression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6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47.39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sz w:val="17"/>
              </w:rPr>
              <w:t>11.91</w:t>
            </w: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7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44.17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sz w:val="17"/>
              </w:rPr>
              <w:t>11.48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8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1.59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9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.28</w:t>
            </w:r>
          </w:p>
        </w:tc>
      </w:tr>
      <w:tr w14:paraId="48463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B">
            <w:pPr>
              <w:pStyle w:val="11"/>
              <w:snapToGrid w:val="0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17"/>
              </w:rPr>
              <w:t>Message comprehensibility</w:t>
            </w:r>
            <w:bookmarkStart w:id="2" w:name="_GoBack"/>
            <w:bookmarkEnd w:id="2"/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C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4.27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sz w:val="17"/>
              </w:rPr>
              <w:t>0.67</w:t>
            </w:r>
          </w:p>
        </w:tc>
        <w:tc>
          <w:tcPr>
            <w:tcW w:w="19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D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7"/>
              </w:rPr>
              <w:t>4.37</w:t>
            </w:r>
            <w:r>
              <w:rPr>
                <w:rFonts w:ascii="Times New Roman" w:hAnsi="Times New Roman" w:eastAsia="微软雅黑" w:cs="Times New Roman"/>
                <w:sz w:val="17"/>
              </w:rPr>
              <w:t>±</w:t>
            </w:r>
            <w:r>
              <w:rPr>
                <w:rFonts w:ascii="Times New Roman" w:hAnsi="Times New Roman" w:cs="Times New Roman"/>
                <w:sz w:val="17"/>
              </w:rPr>
              <w:t>0.79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E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color w:val="000000" w:themeColor="text1"/>
                <w:sz w:val="17"/>
                <w:szCs w:val="21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default" w:ascii="Times New Roman" w:hAnsi="Times New Roman" w:cs="Times New Roman"/>
                <w:sz w:val="17"/>
              </w:rPr>
              <w:t>.75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DF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color w:val="000000" w:themeColor="text1"/>
                <w:sz w:val="17"/>
                <w:szCs w:val="21"/>
                <w14:textFill>
                  <w14:solidFill>
                    <w14:schemeClr w14:val="tx1"/>
                  </w14:solidFill>
                </w14:textFill>
              </w:rPr>
              <w:t>–</w:t>
            </w:r>
            <w:r>
              <w:rPr>
                <w:rFonts w:hint="default" w:ascii="Times New Roman" w:hAnsi="Times New Roman" w:cs="Times New Roman"/>
                <w:sz w:val="17"/>
              </w:rPr>
              <w:t>.13</w:t>
            </w:r>
            <w:r>
              <w:rPr>
                <w:rFonts w:ascii="Times New Roman" w:hAnsi="Times New Roman" w:cs="Times New Roman"/>
                <w:sz w:val="17"/>
              </w:rPr>
              <w:t xml:space="preserve"> </w:t>
            </w:r>
          </w:p>
        </w:tc>
      </w:tr>
      <w:tr w14:paraId="48463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00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4638E1">
            <w:pPr>
              <w:pStyle w:val="11"/>
              <w:snapToGrid w:val="0"/>
              <w:spacing w:before="0"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17"/>
              </w:rPr>
              <w:t>Values are M ± SD. *p &lt; .05; **p &lt; .01.</w:t>
            </w:r>
          </w:p>
        </w:tc>
      </w:tr>
    </w:tbl>
    <w:p w14:paraId="28505360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BEC80B">
    <w:pPr>
      <w:jc w:val="center"/>
    </w:pPr>
    <w:r>
      <w:rPr>
        <w:rFonts w:ascii="Times New Roman" w:hAnsi="Times New Roman"/>
        <w:sz w:val="18"/>
      </w:rPr>
      <w:fldChar w:fldCharType="begin"/>
    </w:r>
    <w:r>
      <w:rPr>
        <w:rFonts w:ascii="Times New Roman" w:hAnsi="Times New Roman"/>
        <w:sz w:val="18"/>
      </w:rPr>
      <w:instrText xml:space="preserve"> PAGE </w:instrText>
    </w:r>
    <w:r>
      <w:rPr>
        <w:rFonts w:ascii="Times New Roman" w:hAnsi="Times New Roman"/>
        <w:sz w:val="18"/>
      </w:rPr>
      <w:fldChar w:fldCharType="separate"/>
    </w:r>
    <w:r>
      <w:rPr>
        <w:rFonts w:ascii="Times New Roman" w:hAnsi="Times New Roman"/>
        <w:sz w:val="18"/>
      </w:rPr>
      <w:t>1</w:t>
    </w:r>
    <w:r>
      <w:rPr>
        <w:rFonts w:ascii="Times New Roman" w:hAnsi="Times New Roman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F42467"/>
    <w:multiLevelType w:val="singleLevel"/>
    <w:tmpl w:val="04F42467"/>
    <w:lvl w:ilvl="0" w:tentative="0">
      <w:start w:val="1"/>
      <w:numFmt w:val="decimal"/>
      <w:pStyle w:val="2"/>
      <w:suff w:val="space"/>
      <w:lvlText w:val="第%1章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D07EDE"/>
    <w:rsid w:val="026F0A44"/>
    <w:rsid w:val="0467279C"/>
    <w:rsid w:val="2E9C43C4"/>
    <w:rsid w:val="3B0F37A0"/>
    <w:rsid w:val="4142763E"/>
    <w:rsid w:val="48711A69"/>
    <w:rsid w:val="4B6776B0"/>
    <w:rsid w:val="52D07EDE"/>
    <w:rsid w:val="5A315128"/>
    <w:rsid w:val="5C6361E3"/>
    <w:rsid w:val="7BFC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left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480" w:beforeLines="0" w:after="360" w:afterLines="0" w:line="400" w:lineRule="exact"/>
      <w:jc w:val="center"/>
      <w:outlineLvl w:val="0"/>
    </w:pPr>
    <w:rPr>
      <w:rFonts w:ascii="Times New Roman" w:hAnsi="Times New Roman" w:eastAsia="黑体" w:cs="Times New Roman"/>
      <w:b/>
      <w:kern w:val="44"/>
      <w:sz w:val="32"/>
      <w:szCs w:val="32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table" w:styleId="6">
    <w:name w:val="Table Grid"/>
    <w:basedOn w:val="5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styleId="9">
    <w:name w:val="annotation reference"/>
    <w:basedOn w:val="7"/>
    <w:qFormat/>
    <w:uiPriority w:val="0"/>
    <w:rPr>
      <w:sz w:val="21"/>
      <w:szCs w:val="21"/>
    </w:rPr>
  </w:style>
  <w:style w:type="paragraph" w:customStyle="1" w:styleId="10">
    <w:name w:val="表格题目"/>
    <w:next w:val="1"/>
    <w:qFormat/>
    <w:uiPriority w:val="0"/>
    <w:pPr>
      <w:keepNext/>
      <w:spacing w:after="200" w:line="276" w:lineRule="auto"/>
      <w:jc w:val="center"/>
    </w:pPr>
    <w:rPr>
      <w:rFonts w:hint="eastAsia" w:eastAsia="仿宋" w:asciiTheme="minorHAnsi" w:hAnsiTheme="minorHAnsi" w:cstheme="minorBidi"/>
      <w:b/>
      <w:sz w:val="21"/>
      <w:szCs w:val="28"/>
      <w:lang w:val="en-US" w:eastAsia="zh-CN" w:bidi="ar-SA"/>
    </w:rPr>
  </w:style>
  <w:style w:type="paragraph" w:customStyle="1" w:styleId="11">
    <w:name w:val="表格文字"/>
    <w:qFormat/>
    <w:uiPriority w:val="0"/>
    <w:pPr>
      <w:spacing w:before="20" w:beforeLines="20" w:after="20" w:afterLines="20" w:line="276" w:lineRule="auto"/>
      <w:jc w:val="center"/>
    </w:pPr>
    <w:rPr>
      <w:rFonts w:eastAsia="仿宋" w:asciiTheme="minorHAnsi" w:hAnsiTheme="minorHAnsi" w:cstheme="minorBidi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380</Words>
  <Characters>2202</Characters>
  <Lines>0</Lines>
  <Paragraphs>0</Paragraphs>
  <TotalTime>0</TotalTime>
  <ScaleCrop>false</ScaleCrop>
  <LinksUpToDate>false</LinksUpToDate>
  <CharactersWithSpaces>2417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2025-11-14T01:24:00Z</dcterms:created>
  <dc:creator>何向洋</dc:creator>
  <cp:lastModifiedBy>何向洋</cp:lastModifiedBy>
  <dcterms:modified xsi:type="dcterms:W3CDTF">2026-08-26T18:18:03Z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A61CDA3EAAA9425F99E31C10C8705632_13</vt:lpwstr>
  </property>
  <property fmtid="{D5CDD505-2E9C-101B-9397-08002B2CF9AE}" pid="4" name="KSOTemplateDocerSaveRecord">
    <vt:lpwstr>eyJoZGlkIjoiMjcxZWZmNzJlMTYxMTI5MGJhMTMwYTQzZTgxZWI2MDQiLCJ1c2VySWQiOiI1MzEzNTE0NjgifQ==</vt:lpwstr>
  </property>
</Properties>
</file>