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C00A8">
      <w:pPr>
        <w:jc w:val="center"/>
        <w:rPr>
          <w:rFonts w:ascii="Times New Roman" w:hAnsi="Times New Roman" w:eastAsia="宋体" w:cs="Times New Roman"/>
          <w:sz w:val="15"/>
          <w:szCs w:val="15"/>
        </w:rPr>
      </w:pPr>
      <w:r>
        <w:rPr>
          <w:rFonts w:ascii="Times New Roman" w:hAnsi="Times New Roman" w:eastAsia="宋体" w:cs="Times New Roman"/>
          <w:b/>
          <w:bCs/>
          <w:sz w:val="15"/>
          <w:szCs w:val="15"/>
        </w:rPr>
        <w:t xml:space="preserve">Table 2 </w:t>
      </w:r>
      <w:r>
        <w:rPr>
          <w:rFonts w:ascii="Times New Roman" w:hAnsi="Times New Roman" w:eastAsia="宋体" w:cs="Times New Roman"/>
          <w:sz w:val="15"/>
          <w:szCs w:val="15"/>
        </w:rPr>
        <w:t>Model Parameters</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72"/>
        <w:gridCol w:w="1134"/>
        <w:gridCol w:w="1559"/>
        <w:gridCol w:w="2363"/>
      </w:tblGrid>
      <w:tr w14:paraId="2D379F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tcBorders>
              <w:top w:val="single" w:color="auto" w:sz="4" w:space="0"/>
              <w:bottom w:val="single" w:color="auto" w:sz="4" w:space="0"/>
            </w:tcBorders>
            <w:vAlign w:val="center"/>
          </w:tcPr>
          <w:p w14:paraId="7D92242A">
            <w:pPr>
              <w:adjustRightInd w:val="0"/>
              <w:snapToGrid w:val="0"/>
              <w:jc w:val="center"/>
              <w:rPr>
                <w:rFonts w:ascii="Times New Roman" w:hAnsi="Times New Roman" w:cs="Times New Roman"/>
                <w:b/>
                <w:bCs/>
                <w:sz w:val="15"/>
                <w:szCs w:val="15"/>
              </w:rPr>
            </w:pPr>
            <w:r>
              <w:rPr>
                <w:rFonts w:ascii="Times New Roman" w:hAnsi="Times New Roman" w:eastAsia="Times New Roman" w:cs="Times New Roman"/>
                <w:b/>
                <w:bCs/>
                <w:sz w:val="15"/>
                <w:szCs w:val="15"/>
              </w:rPr>
              <w:t>Parameter</w:t>
            </w:r>
          </w:p>
        </w:tc>
        <w:tc>
          <w:tcPr>
            <w:tcW w:w="1134" w:type="dxa"/>
            <w:tcBorders>
              <w:top w:val="single" w:color="auto" w:sz="4" w:space="0"/>
              <w:bottom w:val="single" w:color="auto" w:sz="4" w:space="0"/>
            </w:tcBorders>
            <w:vAlign w:val="center"/>
          </w:tcPr>
          <w:p w14:paraId="6A825844">
            <w:pPr>
              <w:adjustRightInd w:val="0"/>
              <w:snapToGrid w:val="0"/>
              <w:jc w:val="center"/>
              <w:rPr>
                <w:rFonts w:ascii="Times New Roman" w:hAnsi="Times New Roman" w:eastAsia="Times New Roman" w:cs="Times New Roman"/>
                <w:b/>
                <w:bCs/>
                <w:sz w:val="15"/>
                <w:szCs w:val="15"/>
              </w:rPr>
            </w:pPr>
            <w:r>
              <w:rPr>
                <w:rFonts w:ascii="Times New Roman" w:hAnsi="Times New Roman" w:eastAsia="Times New Roman" w:cs="Times New Roman"/>
                <w:b/>
                <w:bCs/>
                <w:sz w:val="15"/>
                <w:szCs w:val="15"/>
              </w:rPr>
              <w:t>Based value</w:t>
            </w:r>
          </w:p>
        </w:tc>
        <w:tc>
          <w:tcPr>
            <w:tcW w:w="1559" w:type="dxa"/>
            <w:tcBorders>
              <w:top w:val="single" w:color="auto" w:sz="4" w:space="0"/>
              <w:bottom w:val="single" w:color="auto" w:sz="4" w:space="0"/>
            </w:tcBorders>
            <w:vAlign w:val="center"/>
          </w:tcPr>
          <w:p w14:paraId="25811008">
            <w:pPr>
              <w:adjustRightInd w:val="0"/>
              <w:snapToGrid w:val="0"/>
              <w:jc w:val="center"/>
              <w:rPr>
                <w:rFonts w:ascii="Times New Roman" w:hAnsi="Times New Roman" w:eastAsia="Times New Roman" w:cs="Times New Roman"/>
                <w:b/>
                <w:bCs/>
                <w:sz w:val="15"/>
                <w:szCs w:val="15"/>
              </w:rPr>
            </w:pPr>
            <w:r>
              <w:rPr>
                <w:rFonts w:ascii="Times New Roman" w:hAnsi="Times New Roman" w:eastAsia="Times New Roman" w:cs="Times New Roman"/>
                <w:b/>
                <w:bCs/>
                <w:sz w:val="15"/>
                <w:szCs w:val="15"/>
              </w:rPr>
              <w:t>Uncertainty range</w:t>
            </w:r>
          </w:p>
        </w:tc>
        <w:tc>
          <w:tcPr>
            <w:tcW w:w="2363" w:type="dxa"/>
            <w:tcBorders>
              <w:top w:val="single" w:color="auto" w:sz="4" w:space="0"/>
              <w:bottom w:val="single" w:color="auto" w:sz="4" w:space="0"/>
            </w:tcBorders>
            <w:vAlign w:val="center"/>
          </w:tcPr>
          <w:p w14:paraId="6350C8E3">
            <w:pPr>
              <w:adjustRightInd w:val="0"/>
              <w:snapToGrid w:val="0"/>
              <w:jc w:val="center"/>
              <w:rPr>
                <w:rFonts w:ascii="Times New Roman" w:hAnsi="Times New Roman" w:eastAsia="Times New Roman" w:cs="Times New Roman"/>
                <w:b/>
                <w:bCs/>
                <w:sz w:val="15"/>
                <w:szCs w:val="15"/>
              </w:rPr>
            </w:pPr>
            <w:r>
              <w:rPr>
                <w:rFonts w:ascii="Times New Roman" w:hAnsi="Times New Roman" w:eastAsia="Times New Roman" w:cs="Times New Roman"/>
                <w:b/>
                <w:bCs/>
                <w:sz w:val="15"/>
                <w:szCs w:val="15"/>
              </w:rPr>
              <w:t>Source</w:t>
            </w:r>
          </w:p>
        </w:tc>
      </w:tr>
      <w:tr w14:paraId="0CD99D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tcBorders>
              <w:top w:val="single" w:color="auto" w:sz="4" w:space="0"/>
            </w:tcBorders>
            <w:vAlign w:val="center"/>
          </w:tcPr>
          <w:p w14:paraId="49E844D0">
            <w:pPr>
              <w:adjustRightInd w:val="0"/>
              <w:snapToGrid w:val="0"/>
              <w:jc w:val="left"/>
              <w:rPr>
                <w:rFonts w:ascii="Times New Roman" w:hAnsi="Times New Roman" w:eastAsia="Times New Roman" w:cs="Times New Roman"/>
                <w:b/>
                <w:bCs/>
                <w:sz w:val="15"/>
                <w:szCs w:val="15"/>
              </w:rPr>
            </w:pPr>
            <w:r>
              <w:rPr>
                <w:rFonts w:ascii="Times New Roman" w:hAnsi="Times New Roman" w:eastAsia="Times New Roman" w:cs="Times New Roman"/>
                <w:b/>
                <w:bCs/>
                <w:sz w:val="15"/>
                <w:szCs w:val="15"/>
              </w:rPr>
              <w:t>Transition Probability</w:t>
            </w:r>
          </w:p>
        </w:tc>
        <w:tc>
          <w:tcPr>
            <w:tcW w:w="1134" w:type="dxa"/>
            <w:tcBorders>
              <w:top w:val="single" w:color="auto" w:sz="4" w:space="0"/>
            </w:tcBorders>
            <w:vAlign w:val="center"/>
          </w:tcPr>
          <w:p w14:paraId="6EA4BD98">
            <w:pPr>
              <w:adjustRightInd w:val="0"/>
              <w:snapToGrid w:val="0"/>
              <w:jc w:val="center"/>
              <w:rPr>
                <w:rFonts w:ascii="Times New Roman" w:hAnsi="Times New Roman" w:eastAsia="Times New Roman" w:cs="Times New Roman"/>
                <w:sz w:val="15"/>
                <w:szCs w:val="15"/>
              </w:rPr>
            </w:pPr>
          </w:p>
        </w:tc>
        <w:tc>
          <w:tcPr>
            <w:tcW w:w="1559" w:type="dxa"/>
            <w:tcBorders>
              <w:top w:val="single" w:color="auto" w:sz="4" w:space="0"/>
            </w:tcBorders>
            <w:vAlign w:val="center"/>
          </w:tcPr>
          <w:p w14:paraId="410A6ED9">
            <w:pPr>
              <w:adjustRightInd w:val="0"/>
              <w:snapToGrid w:val="0"/>
              <w:jc w:val="center"/>
              <w:rPr>
                <w:rFonts w:ascii="Times New Roman" w:hAnsi="Times New Roman" w:eastAsia="Times New Roman" w:cs="Times New Roman"/>
                <w:sz w:val="15"/>
                <w:szCs w:val="15"/>
              </w:rPr>
            </w:pPr>
          </w:p>
        </w:tc>
        <w:tc>
          <w:tcPr>
            <w:tcW w:w="2363" w:type="dxa"/>
            <w:tcBorders>
              <w:top w:val="single" w:color="auto" w:sz="4" w:space="0"/>
            </w:tcBorders>
            <w:vAlign w:val="center"/>
          </w:tcPr>
          <w:p w14:paraId="484B53C6">
            <w:pPr>
              <w:adjustRightInd w:val="0"/>
              <w:snapToGrid w:val="0"/>
              <w:jc w:val="center"/>
              <w:rPr>
                <w:rFonts w:ascii="Times New Roman" w:hAnsi="Times New Roman" w:eastAsia="Times New Roman" w:cs="Times New Roman"/>
                <w:sz w:val="15"/>
                <w:szCs w:val="15"/>
              </w:rPr>
            </w:pPr>
          </w:p>
        </w:tc>
      </w:tr>
      <w:tr w14:paraId="385D0B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13840D3C">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 xml:space="preserve">Prevalence of </w:t>
            </w:r>
            <w:r>
              <w:rPr>
                <w:rFonts w:hint="eastAsia" w:ascii="Times New Roman" w:hAnsi="Times New Roman" w:cs="Times New Roman"/>
                <w:sz w:val="15"/>
                <w:szCs w:val="15"/>
              </w:rPr>
              <w:t>sTB</w:t>
            </w:r>
            <w:r>
              <w:rPr>
                <w:rFonts w:ascii="Times New Roman" w:hAnsi="Times New Roman" w:eastAsia="Times New Roman" w:cs="Times New Roman"/>
                <w:sz w:val="15"/>
                <w:szCs w:val="15"/>
              </w:rPr>
              <w:t xml:space="preserve"> among close contacts</w:t>
            </w:r>
          </w:p>
        </w:tc>
        <w:tc>
          <w:tcPr>
            <w:tcW w:w="1134" w:type="dxa"/>
            <w:vAlign w:val="center"/>
          </w:tcPr>
          <w:p w14:paraId="4BFC8087">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1.69%</w:t>
            </w:r>
          </w:p>
        </w:tc>
        <w:tc>
          <w:tcPr>
            <w:tcW w:w="1559" w:type="dxa"/>
            <w:vAlign w:val="center"/>
          </w:tcPr>
          <w:p w14:paraId="30DB8AB1">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1.51</w:t>
            </w:r>
            <w:r>
              <w:rPr>
                <w:rFonts w:hint="eastAsia" w:ascii="Times New Roman" w:hAnsi="Times New Roman" w:cs="Times New Roman"/>
                <w:sz w:val="15"/>
                <w:szCs w:val="15"/>
              </w:rPr>
              <w:t>%</w:t>
            </w:r>
            <w:r>
              <w:rPr>
                <w:rFonts w:hint="eastAsia" w:ascii="Times New Roman" w:hAnsi="Times New Roman" w:eastAsia="Times New Roman" w:cs="Times New Roman"/>
                <w:sz w:val="15"/>
                <w:szCs w:val="15"/>
              </w:rPr>
              <w:t xml:space="preserve">, </w:t>
            </w:r>
            <w:r>
              <w:rPr>
                <w:rFonts w:ascii="Times New Roman" w:hAnsi="Times New Roman" w:eastAsia="Times New Roman" w:cs="Times New Roman"/>
                <w:sz w:val="15"/>
                <w:szCs w:val="15"/>
              </w:rPr>
              <w:t>1.87%</w:t>
            </w:r>
          </w:p>
        </w:tc>
        <w:tc>
          <w:tcPr>
            <w:tcW w:w="2363" w:type="dxa"/>
            <w:vAlign w:val="center"/>
          </w:tcPr>
          <w:p w14:paraId="7164855C">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Bohlbro</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{"citationID":"jTJllYjz","properties":{"unsorted":false,"formattedCitation":"\\super [12]\\nosupersub{}","plainCitation":"[12]","noteIndex":0},"citationItems":[{"id":707,"uris":["http://zotero.org/users/17236044/items/AUVK2JLR"],"itemData":{"id":707,"type":"article-journal","abstract":"BACKGROUND: The World Health Organization (WHO) recommends active case-finding (ACF) of tuberculosis (TB) in certain high-risk groups; however, more evidence is  needed to elucidate the scope of ACF beyond the current recommendations. In this  study we aimed to systematically review yields (the prevalence of active TB) of  studies on ACF in general populations and at-risk groups. METHODS: A literature  search in PubMed, Embase and the Cochrane Central Library (CENTRAL) was performed  for studies concluded after 31 December 1999 and published before 1 September  2020. Screening yields were estimated and yield/prevalence ratios (ratio between  yield of study and WHO estimated prevalence of TB) were calculated to assess  which groups might especially benefit from ACF. Finally, risk of bias was  assessed and heterogeneity was investigated using meta-regression and sensitivity  analyses. RESULTS: We included 197 studies, with a total of 12 372 530 screened  and 53 158 cases found. Yields were high among drug users, close contacts, the  poor and marginalised, people living with HIV, and prison inmates across  incidence strata, and estimated yield/prevalence ratios in screenings of general  populations tended to be &gt;1 with an overall ratio of 1.4 and ranging between 1.0  and 1.5. Sensitivity analyses suggested that inclusion of studies at high risk of  bias contributed to underestimation of yields. CONCLUSION: Despite many studies  using insensitive screening methods, these results suggest that more at-risk  groups should be considered for inclusion in future screening recommendations and  that screening of general populations may outperform current case-finding  practices, providing evidence for extending ACF beyond the current  recommendations.","container-title":"The European respiratory journal","DOI":"10.1183/13993003.00090-2021","ISSN":"1399-3003 0903-1936","issue":"4","journalAbbreviation":"Eur Respir J","language":"eng","license":"Copyright </w:instrText>
            </w:r>
            <w:r>
              <w:rPr>
                <w:rFonts w:hint="eastAsia" w:ascii="Times New Roman" w:hAnsi="Times New Roman" w:eastAsia="Times New Roman" w:cs="Times New Roman"/>
                <w:sz w:val="15"/>
                <w:szCs w:val="15"/>
              </w:rPr>
              <w:instrText xml:space="preserve">©</w:instrText>
            </w:r>
            <w:r>
              <w:rPr>
                <w:rFonts w:ascii="Times New Roman" w:hAnsi="Times New Roman" w:eastAsia="Times New Roman" w:cs="Times New Roman"/>
                <w:sz w:val="15"/>
                <w:szCs w:val="15"/>
              </w:rPr>
              <w:instrText xml:space="preserve">The authors 2021. For reproduction rights and permissions contact permissions@ersnet.org.","page":"2100090","PMID":"33766950","publisher-place":"England","title":"Active case-finding of tuberculosis in general populations and at-risk groups: a systematic review and meta-analysis.","volume":"58","author":[{"family":"Bohlbro","given":"Anders Solitander"},{"family":"Hvingelby","given":"Victor Schwartz"},{"family":"Rudolf","given":"Frauke"},{"family":"Wejse","given":"Christian"},{"family":"Patsche","given":"Cecilie Blenstrup"}],"issued":{"date-parts":[["2021",10]]}}}],"schema":"https://github.com/citation-style-language/schema/raw/master/csl-citation.json"}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[12]</w:t>
            </w:r>
            <w:r>
              <w:rPr>
                <w:rFonts w:ascii="Times New Roman" w:hAnsi="Times New Roman" w:eastAsia="Times New Roman" w:cs="Times New Roman"/>
                <w:sz w:val="15"/>
                <w:szCs w:val="15"/>
              </w:rPr>
              <w:fldChar w:fldCharType="end"/>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ZOTERO_TEMP </w:instrText>
            </w:r>
            <w:r>
              <w:rPr>
                <w:rFonts w:ascii="Times New Roman" w:hAnsi="Times New Roman" w:eastAsia="Times New Roman" w:cs="Times New Roman"/>
                <w:sz w:val="15"/>
                <w:szCs w:val="15"/>
              </w:rPr>
              <w:fldChar w:fldCharType="separate"/>
            </w:r>
            <w:r>
              <w:rPr>
                <w:rFonts w:ascii="Times New Roman" w:hAnsi="Times New Roman" w:eastAsia="Times New Roman" w:cs="Times New Roman"/>
                <w:sz w:val="15"/>
                <w:szCs w:val="15"/>
              </w:rPr>
              <w:fldChar w:fldCharType="end"/>
            </w:r>
          </w:p>
        </w:tc>
      </w:tr>
      <w:tr w14:paraId="68321B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64831883">
            <w:pPr>
              <w:adjustRightInd w:val="0"/>
              <w:snapToGrid w:val="0"/>
              <w:ind w:left="172" w:leftChars="82"/>
              <w:jc w:val="left"/>
              <w:rPr>
                <w:rFonts w:ascii="Times New Roman" w:hAnsi="Times New Roman" w:cs="Times New Roman"/>
                <w:sz w:val="15"/>
                <w:szCs w:val="15"/>
              </w:rPr>
            </w:pPr>
            <w:r>
              <w:rPr>
                <w:rFonts w:ascii="Times New Roman" w:hAnsi="Times New Roman" w:cs="Times New Roman"/>
                <w:sz w:val="15"/>
                <w:szCs w:val="15"/>
              </w:rPr>
              <w:t xml:space="preserve">Prevalence of </w:t>
            </w:r>
            <w:r>
              <w:rPr>
                <w:rFonts w:hint="eastAsia" w:ascii="Times New Roman" w:hAnsi="Times New Roman" w:cs="Times New Roman"/>
                <w:sz w:val="15"/>
                <w:szCs w:val="15"/>
              </w:rPr>
              <w:t>LTBI</w:t>
            </w:r>
            <w:r>
              <w:rPr>
                <w:rFonts w:ascii="Times New Roman" w:hAnsi="Times New Roman" w:cs="Times New Roman"/>
                <w:sz w:val="15"/>
                <w:szCs w:val="15"/>
              </w:rPr>
              <w:t xml:space="preserve"> among close contacts</w:t>
            </w:r>
          </w:p>
        </w:tc>
        <w:tc>
          <w:tcPr>
            <w:tcW w:w="1134" w:type="dxa"/>
            <w:vAlign w:val="center"/>
          </w:tcPr>
          <w:p w14:paraId="14503EE5">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40.83%</w:t>
            </w:r>
          </w:p>
        </w:tc>
        <w:tc>
          <w:tcPr>
            <w:tcW w:w="1559" w:type="dxa"/>
            <w:vAlign w:val="center"/>
          </w:tcPr>
          <w:p w14:paraId="6589A0D8">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38.94%, 42.72%</w:t>
            </w:r>
          </w:p>
        </w:tc>
        <w:tc>
          <w:tcPr>
            <w:tcW w:w="2363" w:type="dxa"/>
            <w:vAlign w:val="center"/>
          </w:tcPr>
          <w:p w14:paraId="6BEC6D83">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Zhang</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{"citationID":"kPzFVN5L","properties":{"unsorted":false,"formattedCitation":"\\super [13]\\nosupersub{}","plainCitation":"[13]","noteIndex":0},"citationItems":[{"id":708,"uris":["http://zotero.org/users/17236044/items/357LK3QY"],"itemData":{"id":708,"type":"article-journal","abstract":"OBJECTIVES: Limited information is currently available on the prevalence of and risk factors for tuberculosis infection (TBI) among close contacts of patients  with pulmonary TB (PTB) in China. In this study, we estimated the burden of TBI  among close contacts using QuantiFERON-TB Gold In-Tube assay (QFT) and identified  factors associated with TB transmission among this high-risk population. METHODS:  From January 1, 2018 to August 31, 2020, we identified laboratory-confirmed  patients with PTB from a population-based, multicentered, cluster-randomized  control trial for tuberculosis preventive treatment. Close contacts of these  patients were identified, interviewed, and tested using the QFT assay. We  estimated TBI prevalence and calculated ORs and 95% CIs for TBI risk factors.  RESULTS: A total of 3138 index cases and 8117 close contacts were identified. Of  these contacts, 36 had PTB (a prevalence of 443.51 cases/100 000 population).  Among the remaining 7986 close contacts; 3124 (39.12%) reported a positive QFT  result. QFT positivity was significantly associated with older age (adjusted OR,  1.77; [95% CI, 1.27-2.47], 2.20; [95% CI, 1.59-3.05], and 2.74; [95% CI,  1.96-3.82]) for age groups: 35-44, 45-54, and 55-64, respectively) when compared  with a younger age group: 5-14; longer contact duration (adjusted OR, 1.44; 95%  CI, 1.22-1.69); and sharing of a bedroom (adjusted OR, 1.39; 95% CI, 1.18-1.65).  DISCUSSION: Our findings indicate a high TBI burden among the close contacts of  PTB. The results also highlighted that contact tracing and investigation for TBI  are necessary and beneficial, particularly for those who are older, have had a  longer contact duration, and share a bedroom.","container-title":"Clinical Microbiology and Infection : The Official Publication of The European Society Of Clinical Microbiology And Infectious Diseases","DOI":"10.1016/j.cmi.2024.06.003","ISSN":"1469-0691 1198-743X","issue":"9","journalAbbreviatio</w:instrText>
            </w:r>
            <w:r>
              <w:rPr>
                <w:rFonts w:hint="eastAsia" w:ascii="Times New Roman" w:hAnsi="Times New Roman" w:cs="Times New Roman"/>
                <w:sz w:val="15"/>
                <w:szCs w:val="15"/>
              </w:rPr>
              <w:instrText xml:space="preserve">n":"Clin Microbiol Infect","language":"eng","license":"Copyright © 2024 The Authors. Published by Elsevier Ltd.. All rights reserved.","note":"JCR分区: Q1\n中科院分区升级版: 医学2区\n影响因子: 8.5\n5年影响因子: 8.2\n南农高质量: A","page":"1176-1182","PMID":"38851427","publisher-pla</w:instrText>
            </w:r>
            <w:r>
              <w:rPr>
                <w:rFonts w:ascii="Times New Roman" w:hAnsi="Times New Roman" w:cs="Times New Roman"/>
                <w:sz w:val="15"/>
                <w:szCs w:val="15"/>
              </w:rPr>
              <w:instrText xml:space="preserve">ce":"England","source":"DOI.org (Crossref)","title":"Tuberculosis infection among close contacts of patients with pulmonary tuberculosis in China: A population-based, multicentered study.","title-short":"Tuberculosis infection among close contacts of patients with pulmonary tuberculosis in China","volume":"30","author":[{"family":"Zhang","given":"Canyou"},{"family":"Liu","given":"Yushu"},{"family":"Yao","given":"Yuxia"},{"family":"Gong","given":"Dehua"},{"family":"Lei","given":"Rongrong"},{"family":"Xia","given":"Yinyin"},{"family":"Xu","given":"Caihong"},{"family":"Chen","given":"Hui"},{"family":"Cheng","given":"Jun"},{"family":"Zhang","given":"Hui"}],"issued":{"date-parts":[["2024",9]]}}}],"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[13]</w:t>
            </w:r>
            <w:r>
              <w:rPr>
                <w:rFonts w:ascii="Times New Roman" w:hAnsi="Times New Roman" w:cs="Times New Roman"/>
                <w:sz w:val="15"/>
                <w:szCs w:val="15"/>
              </w:rPr>
              <w:fldChar w:fldCharType="end"/>
            </w:r>
            <w:r>
              <w:rPr>
                <w:rFonts w:hint="eastAsia" w:ascii="Times New Roman" w:hAnsi="Times New Roman" w:cs="Times New Roman"/>
                <w:sz w:val="15"/>
                <w:szCs w:val="15"/>
              </w:rPr>
              <w:t>, Lei</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{"citationID":"uaasFiVM","properties":{"unsorted":false,"formattedCitation":"\\super [14]\\nosupersub{}","plainCitation":"[14]","noteIndex":0},"citationItems":[{"id":709,"uris":["http://zotero.org/users/17236044/items/A6V75U98"],"itemData":{"id":709,"type":"article-journal","container-title":"Chinese Journal of Infection Control","DOI":"10.12138/j.issn.1671-9638.20244977","issue":"3","page":"265-270","title":"Latent tuberculosis infection among close contacts of positive etiology pul-monary tuberculosis in Chongqing","volume":"23","author":[{"literal":"Lei Rongrong"},{"literal":"Long Hongxia"},{"literal":"Luo Cuihong"},{"literal":"Yi Benju"},{"literal":"Zhu Xiaoling"},{"literal":"Wang Qingya"},{"literal":"Zhang Ting"},{"literal":"Wu Chengguo"},{"literal":"Zhong Jiyuan"}],"issued":{"date-parts":[["2024"]]}}}],"schema":"https://github.com/citation-style-language/schema/raw/master/csl-citation.json"}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[14]</w:t>
            </w:r>
            <w:r>
              <w:rPr>
                <w:rFonts w:ascii="Times New Roman" w:hAnsi="Times New Roman" w:cs="Times New Roman"/>
                <w:sz w:val="15"/>
                <w:szCs w:val="15"/>
              </w:rPr>
              <w:fldChar w:fldCharType="end"/>
            </w:r>
          </w:p>
        </w:tc>
      </w:tr>
      <w:tr w14:paraId="29441B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65604508">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Prevalence of a</w:t>
            </w:r>
            <w:r>
              <w:rPr>
                <w:rFonts w:hint="eastAsia" w:ascii="Times New Roman" w:hAnsi="Times New Roman" w:cs="Times New Roman"/>
                <w:sz w:val="15"/>
                <w:szCs w:val="15"/>
              </w:rPr>
              <w:t>TB</w:t>
            </w:r>
            <w:r>
              <w:rPr>
                <w:rFonts w:ascii="Times New Roman" w:hAnsi="Times New Roman" w:eastAsia="Times New Roman" w:cs="Times New Roman"/>
                <w:sz w:val="15"/>
                <w:szCs w:val="15"/>
              </w:rPr>
              <w:t xml:space="preserve"> among close contacts</w:t>
            </w:r>
          </w:p>
        </w:tc>
        <w:tc>
          <w:tcPr>
            <w:tcW w:w="1134" w:type="dxa"/>
            <w:vAlign w:val="center"/>
          </w:tcPr>
          <w:p w14:paraId="39453666">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4.90%</w:t>
            </w:r>
          </w:p>
        </w:tc>
        <w:tc>
          <w:tcPr>
            <w:tcW w:w="1559" w:type="dxa"/>
            <w:vAlign w:val="center"/>
          </w:tcPr>
          <w:p w14:paraId="2F44AF83">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3.55%, 6.26%</w:t>
            </w:r>
          </w:p>
        </w:tc>
        <w:tc>
          <w:tcPr>
            <w:tcW w:w="2363" w:type="dxa"/>
            <w:vAlign w:val="center"/>
          </w:tcPr>
          <w:p w14:paraId="790E00DD">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Mendelsohn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{"citationID":"h5XVW3Hq","properties":{"unsorted":false,"formattedCitation":"\\super [15]\\nosupersub{}","plainCitation":"[15]","noteIndex":0},"citationItems":[{"id":710,"uris":["http://zotero.org/users/17236044/items/7JRT8SPU"],"itemData":{"id":710,"type":"article","abstract":"BACKGROUND: More than half of tuberculosis (TB) detected by community prevalence surveys is classified as asymptomatic. We evaluated yield of symptom and chest  radiograph (CXR) screening of TB-exposed household contacts (HHC) in South  Africa. METHODS: Adult volunteers (</w:instrText>
            </w:r>
            <w:r>
              <w:rPr>
                <w:rFonts w:hint="eastAsia" w:ascii="Times New Roman" w:hAnsi="Times New Roman" w:eastAsia="Times New Roman" w:cs="Times New Roman"/>
                <w:sz w:val="15"/>
                <w:szCs w:val="15"/>
              </w:rPr>
              <w:instrText xml:space="preserve">≥</w:instrText>
            </w:r>
            <w:r>
              <w:rPr>
                <w:rFonts w:ascii="Times New Roman" w:hAnsi="Times New Roman" w:eastAsia="Times New Roman" w:cs="Times New Roman"/>
                <w:sz w:val="15"/>
                <w:szCs w:val="15"/>
              </w:rPr>
              <w:instrText xml:space="preserve">18 years) with household exposure to  pulmonary TB patients were enrolled at three sites. Systematic screening of TB  symptoms (any duration), CXR (any abnormality), and sputum microscopy, Xpert  Ultra, and liquid culture were performed. Serum C-reactive protein (CRP) was  measured by multiplex bead array. Prevalent TB was microbiologically-confirmed  (Xpert Ultra or culture). Symptomatic and asymptomatic TB were defined as  prevalent TB with and without reported symptoms, respectively. RESULTS: Between  March 2021 - December 2022, 979 HHC were enrolled; 185 (18.9%) living with HIV  and 187 (19.1%) with previous TB. Prevalent TB occurred in 51 (5.2%) and was  asymptomatic in 42/51 (82.4%). Only 13/42 (31.0%) asymptomatic TB cases were  smear-positive [8/13 (61.5%) graded scanty or 1+]. CRP did not discriminate  healthy HHC from those with asymptomatic TB (AUC 0.60; 95%CI 0.47-0.73). An  abnormal CXR was observed in 23/41 asymptomatic (sensitivity 56.1%, 95%CI  41.0-70.1%) versus 8/9 symptomatic (sensitivity 88.9%, 95%CI 56.5-98.0%) TB  cases. Sensitivity of CXR in combination with symptom screening was 64.0% (32/50,  95%CI 50.1-75.9%) for all prevalent TB. CONCLUSIONS: More than 80% of confirmed  TB cases among HHC were asymptomatic. CXR screening missed more than 40% of these  asymptomatic cases. Community prevalence surveys reliant on symptom- and  CXR-based approaches may significantly underestimate the prevalence of  asymptomatic TB in endemic countries. FUNDING: Supported by RePORT South Africa  through funding from the U.S. National Institutes of Health, CRDF Global, and the  South African Medical Research Council. RESEARCH IN CONTEXT: Evidence before this  study: World Health Organisation (WHO) guidelines for systematic tuberculosis  (TB) screening recommend symptom screening and chest radiography (CXR), based on  a Cochrane meta-analysis reporting 70.6% sensitivity (any TB symptom) and 94.7%  sensitivity (any CXR abnormality) for bacteriologically-confirmed pulmonary TB.  National TB prevalence surveys rely on a positive symptom screen or abnormal CXR  to trigger diagnostic sputum testing. This approach to community screening would,  by definition, miss asymptomatic TB cases without CXR evidence of disease. We  reviewed the reference list of the aforementioned meta-analysis for active  case-finding studies of adolescents and adults aged 15 years and older in  community and contact-tracing settings. We performed forward citation-tracking  and searched reference lists, including studies published in English between Jan  1, 1980, and November 1, 2024. We excluded studies that included children &lt;15  years; or that exclusively enrolled people with additional risk factors (HIV;  diabetes; latent TB infection; prior TB). We found 28 studies that performed  universal sputum testing for bacteriologically-confirmed pulmonary TB and  reported 51.8% (95%CI 49.9-53.7%; I (2) = 89.2%) pooled sensitivity for symptom  screening (any symptom; 24 studies, 2,969 TB cases) and 62.4% (95%CI 59.3-65.3%;  I (2) = 88.3%) pooled sensitivity for CXR (any abnormality; 10 studies, 1,123 TB  cases). Only four studies (145 TB cases) reported accuracy of symptom screening  in parallel with chest radiography (pooled sensitivity 67.3%, 95%CI 57.3-75.9%; I  (2) = 87.1%), but these studies did not disaggregate symptomatic and asymptomatic  disease. Added value of this study: We performed systematic screening using  universal sputum microbiological testing of 978 household contacts of pulmonary  TB patients in three South African communities and compared symptom (any  duration) and CXR (any abnormality) screening approaches against a  microbiological reference standard. We detected confirmed pulmonary TB in 5.2% of  household contacts, and 82.4% of these TB cases reported no TB symptoms.  Asymptomatic TB in household contacts was pauci-bacillary and associated with low  serum CRP levels that were indistinguishable from healthy controls, but distinct  from symptomatic TB in a comparator group of clinic attendees. Sensitivity of CXR  screening for asymptomatic TB was only 56.1%; sensitivity of combined symptom and  CXR screening for all TB was marginally higher at 64.0%.Implications of all the  available evidence: Our findings from household contacts suggest that symptom-  and CXR-based approaches are inadequate for community TB screening in South  Africa and do not meet the WHO Target Product Profile for a TB screening test  (minimum 90% sensitivity; 70% specificity). National TB Prevalence Surveys that  omit universal sputum microbiological testing may significantly underestimate the  prevalence of asymptomatic TB in high-burden countries.","DOI":"10.1101/2025.01.20.25320843","language":"eng","note":"journalAbbreviation: medRxiv\npage: 2025.01.20.25320843\ncontainer-title: medRxiv : the preprint server for health sciences\nPMID: 39974049 \nPMCID: PMC11838980","publisher-place":"United States","title":"Screening for asymptomatic tuberculosis among adults with household exposure to a patient with pulmonary tuberculosis.","author":[{"family":"Mendelsohn","given":"Simon C."},{"family":"Mulenga","given":"Humphrey"},{"family":"Tameris","given":"Michele"},{"family":"Moloantoa","given":"Tumelo"},{"family":"Malherbe","given":"Stephanus T."},{"family":"Katona","given":"Austin"},{"family":"Maruri","given":"Fernanda"},{"family":"Noor","given":"Firdows"},{"family":"Panchia","given":"Ravindre"},{"family":"Hlongwane","given":"Khuthadzo"},{"family":"Stanley","given":"Kim"},{"family":"Heijden","given":"Yuri F.","non-dropping-particle":"van der"},{"family":"Hadley","given":"Katie"},{"family":"Ariefdien","given":"Dominique T."},{"family":"Chegou","given":"Novel N."},{"family":"Walzl","given":"Gerhard"},{"family":"Scriba","given":"Thomas J."},{"family":"Sterling","given":"Timothy R."},{"family":"Hatherill","given":"Mark"}],"issued":{"date-parts":[["2025",1,20]]}}}],"schema":"https://github.com/citation-style-language/schema/raw/master/csl-citation.json"}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[15]</w:t>
            </w:r>
            <w:r>
              <w:rPr>
                <w:rFonts w:ascii="Times New Roman" w:hAnsi="Times New Roman" w:eastAsia="Times New Roman" w:cs="Times New Roman"/>
                <w:sz w:val="15"/>
                <w:szCs w:val="15"/>
              </w:rPr>
              <w:fldChar w:fldCharType="end"/>
            </w:r>
          </w:p>
        </w:tc>
      </w:tr>
      <w:tr w14:paraId="1206CC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34CE391B">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Proportion of sTB patients who self-present for care under the PCF strategy</w:t>
            </w:r>
          </w:p>
        </w:tc>
        <w:tc>
          <w:tcPr>
            <w:tcW w:w="1134" w:type="dxa"/>
            <w:vAlign w:val="center"/>
          </w:tcPr>
          <w:p w14:paraId="66719EEB">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46.8%</w:t>
            </w:r>
          </w:p>
        </w:tc>
        <w:tc>
          <w:tcPr>
            <w:tcW w:w="1559" w:type="dxa"/>
            <w:vAlign w:val="center"/>
          </w:tcPr>
          <w:p w14:paraId="2FEA7C9B">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44.1%, 49.5%</w:t>
            </w:r>
          </w:p>
        </w:tc>
        <w:tc>
          <w:tcPr>
            <w:tcW w:w="2363" w:type="dxa"/>
            <w:vAlign w:val="center"/>
          </w:tcPr>
          <w:p w14:paraId="51BB1AFA">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Professional Branch of Tuberculosis Control, Chinese Anti-Tuberculosis Association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{"citationID":"z3XgJT2k","properties":{"unsorted":false,"formattedCitation":"\\super [16]\\nosupersub{}","plainCitation":"[16]","noteIndex":0},"citationItems":[{"id":711,"uris":["http://zotero.org/users/17236044/items/3DUITKVK"],"itemData":{"id":711,"type":"article-journal","container-title":"Chinese Journal of Antituberculosis","issue":"10","page":"987-997","title":"Evidence-based guidelines for active screening of pulmonary tuberculosis in Chinese communities","volume":"44","author":[{"literal":"Professional Branch of Tuberculosis Control, Chinese Anti-Tuberculosis Association"},{"literal":"Professional Branch of Geriatric Tuberculosis Prevention and Control, Chinese Anti-Tuberculosis Association"},{"literal":"Editorial Board of the Chinese Journal of Antituberculosis"}],"issued":{"date-parts":[["2022"]]}}}],"schema":"https://github.com/citation-style-language/schema/raw/master/csl-citation.json"}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[16]</w:t>
            </w:r>
            <w:r>
              <w:rPr>
                <w:rFonts w:ascii="Times New Roman" w:hAnsi="Times New Roman" w:eastAsia="Times New Roman" w:cs="Times New Roman"/>
                <w:sz w:val="15"/>
                <w:szCs w:val="15"/>
              </w:rPr>
              <w:fldChar w:fldCharType="end"/>
            </w:r>
          </w:p>
        </w:tc>
      </w:tr>
      <w:tr w14:paraId="005E41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29DC4E41">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Sensitivity of chest radiography with human interpretation</w:t>
            </w:r>
          </w:p>
        </w:tc>
        <w:tc>
          <w:tcPr>
            <w:tcW w:w="1134" w:type="dxa"/>
            <w:vAlign w:val="center"/>
          </w:tcPr>
          <w:p w14:paraId="03B2EE5B">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61.0%</w:t>
            </w:r>
          </w:p>
        </w:tc>
        <w:tc>
          <w:tcPr>
            <w:tcW w:w="1559" w:type="dxa"/>
            <w:vAlign w:val="center"/>
          </w:tcPr>
          <w:p w14:paraId="026ECB44">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45.1%, 70.4%</w:t>
            </w:r>
          </w:p>
        </w:tc>
        <w:tc>
          <w:tcPr>
            <w:tcW w:w="2363" w:type="dxa"/>
            <w:vAlign w:val="center"/>
          </w:tcPr>
          <w:p w14:paraId="6F7897A3">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Macpherson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{"citationID":"IiOm2m6Y","properties":{"unsorted":false,"formattedCitation":"\\super [17]\\nosupersub{}","plainCitation":"[17]","noteIndex":0},"citationItems":[{"id":712,"uris":["http://zotero.org/users/17236044/items/F3RJBTTY"],"itemData":{"id":712,"type":"article-journal","abstract":"BACKGROUND: World Health Organization (WHO) tuberculosis (TB) screening guidelines recommend computer-aided detection (CAD) software for chest radiograph  (CXR) interpretation. However, studies evaluating their diagnostic and prognostic  accuracy are limited. METHODS: We conducted a prospective cohort study of  household contacts of rifampicin-resistant TB in South Africa. Participants  underwent baseline CXR and sputum investigation (routine [single spontaneous] and  enhanced [additionally 2-3 induced]) for prevalent TB and follow-up for incident  TB. Three CXR-CAD software products (CAD4TBv7.0, qXRv3.0.0, and Lunit INSIGHT  v3.1.4.111) were compared. We evaluated their performance to detect routine and  enhanced prevalent and incident TB, comparing performance with blood tests (Xpert  MTB host-response, erythrocyte sedimentation rate, C-reactive protein,  QuantiFERON) in a subgroup. RESULTS: 483 participants were followed up for 4.6  years (median). There were 23 prevalent (7 routinely diagnosed) and 38 incident  TB cases. The AUC ROCs (95% CIs) to identify prevalent TB for CAD4TBv7.0,  qXRv3.0.0, and Lunit INSIGHT v3.1.4.111 were .87 (.77-.96), .88 (.79-.97), and  .91 (.83-.99), respectively. More than 30% with scores above recommended CAD  thresholds who were bacteriologically negative on routine baseline sputum were  subsequently diagnosed by enhanced sputum investigation or during follow-up. The  AUC performance of baseline CAD to identify incident cases ranged between .60 and  .65. Diagnostic performance of CAD for prevalent TB was superior to blood  testing. CONCLUSIONS: Our findings suggest that the potential of CAD-CXR  screening for TB is not maximized as a high proportion of those above current  thresholds, but with a negative routine confirmatory sputum, have true TB disease  that may benefit intervention.","container-title":"Clinical infectious diseases : an official publication of the Infectious Diseases Society of America","DOI":"10.1093/cid/ciae528","ISSN":"1537-6591 1058-4838","issue":"3","journalAbbreviation":"Clin Infect Dis","language":"eng","license":"© The Author(s) 2024. Published by Oxford University Press on behalf of Infectious Diseases Society of America.","page":"626-636","PMID":"39692469","PMCID":"PMC11912973","publisher-place":"United States","title":"Diagnostic accuracy of chest X-ray computer-aided detection software for detection of prevalent and incident tuberculosis in household contacts.","volume":"80","author":[{"family":"Macpherson","given":"Liana"},{"family":"Kik","given":"Sandra V."},{"family":"Quartagno","given":"Matteo"},{"family":"Lakay","given":"Francisco"},{"family":"Jaftha","given":"Marche"},{"family":"Yende","given":"Nombuso"},{"family":"Galant","given":"Shireen"},{"family":"Aziz","given":"Saalikha"},{"family":"Daroowala","given":"Remy"},{"family":"Court","given":"Richard"},{"family":"Taliep","given":"Arshad"},{"family":"Serole","given":"Keboile"},{"family":"Goliath","given":"Rene T."},{"family":"Davies","given":"Nashreen Omar"},{"family":"Jackson","given":"Amanda"},{"family":"Douglass","given":"Emily"},{"family":"Sossen","given":"Bianca"},{"family":"Mukasa","given":"Sandra"},{"family":"Thienemann","given":"Friedrich"},{"family":"Song","given":"Taeksun"},{"family":"Ruhwald","given":"Morten"},{"family":"Wilkinson","given":"Robert J."},{"family":"Coussens","given":"Anna K."},{"family":"Esmail","given":"Hanif"}],"issued":{"date-parts":[["2025",3,17]]}}}],"schema":"https://github.com/citation-style-language/schema/raw/master/csl-citation.json"}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[17]</w:t>
            </w:r>
            <w:r>
              <w:rPr>
                <w:rFonts w:ascii="Times New Roman" w:hAnsi="Times New Roman" w:eastAsia="Times New Roman" w:cs="Times New Roman"/>
                <w:sz w:val="15"/>
                <w:szCs w:val="15"/>
              </w:rPr>
              <w:fldChar w:fldCharType="end"/>
            </w:r>
          </w:p>
        </w:tc>
      </w:tr>
      <w:tr w14:paraId="25F028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3AFC05E8">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Specificity of chest radiography with human interpretation</w:t>
            </w:r>
          </w:p>
        </w:tc>
        <w:tc>
          <w:tcPr>
            <w:tcW w:w="1134" w:type="dxa"/>
            <w:vAlign w:val="center"/>
          </w:tcPr>
          <w:p w14:paraId="717B7470">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87.0%</w:t>
            </w:r>
          </w:p>
        </w:tc>
        <w:tc>
          <w:tcPr>
            <w:tcW w:w="1559" w:type="dxa"/>
            <w:vAlign w:val="center"/>
          </w:tcPr>
          <w:p w14:paraId="282EEF24">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80.3%, 93.8%</w:t>
            </w:r>
          </w:p>
        </w:tc>
        <w:tc>
          <w:tcPr>
            <w:tcW w:w="2363" w:type="dxa"/>
            <w:vAlign w:val="center"/>
          </w:tcPr>
          <w:p w14:paraId="2B98F4B2">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Macpherson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{"citationID":"B8TthU9J","properties":{"unsorted":false,"formattedCitation":"\\super [17]\\nosupersub{}","plainCitation":"[17]","noteIndex":0},"citationItems":[{"id":712,"uris":["http://zotero.org/users/17236044/items/F3RJBTTY"],"itemData":{"id":712,"type":"article-journal","abstract":"BACKGROUND: World Health Organization (WHO) tuberculosis (TB) screening guidelines recommend computer-aided detection (CAD) software for chest radiograph  (CXR) interpretation. However, studies evaluating their diagnostic and prognostic  accuracy are limited. METHODS: We conducted a prospective cohort study of  household contacts of rifampicin-resistant TB in South Africa. Participants  underwent baseline CXR and sputum investigation (routine [single spontaneous] and  enhanced [additionally 2-3 induced]) for prevalent TB and follow-up for incident  TB. Three CXR-CAD software products (CAD4TBv7.0, qXRv3.0.0, and Lunit INSIGHT  v3.1.4.111) were compared. We evaluated their performance to detect routine and  enhanced prevalent and incident TB, comparing performance with blood tests (Xpert  MTB host-response, erythrocyte sedimentation rate, C-reactive protein,  QuantiFERON) in a subgroup. RESULTS: 483 participants were followed up for 4.6  years (median). There were 23 prevalent (7 routinely diagnosed) and 38 incident  TB cases. The AUC ROCs (95% CIs) to identify prevalent TB for CAD4TBv7.0,  qXRv3.0.0, and Lunit INSIGHT v3.1.4.111 were .87 (.77-.96), .88 (.79-.97), and  .91 (.83-.99), respectively. More than 30% with scores above recommended CAD  thresholds who were bacteriologically negative on routine baseline sputum were  subsequently diagnosed by enhanced sputum investigation or during follow-up. The  AUC performance of baseline CAD to identify incident cases ranged between .60 and  .65. Diagnostic performance of CAD for prevalent TB was superior to blood  testing. CONCLUSIONS: Our findings suggest that the potential of CAD-CXR  screening for TB is not maximized as a high proportion of those above current  thresholds, but with a negative routine confirmatory sputum, have true TB disease  that may benefit intervention.","container-title":"Clinical infectious diseases : an official publication of the Infectious Diseases Society of America","DOI":"10.1093/cid/ciae528","ISSN":"1537-6591 1058-4838","issue":"3","journalAbbreviation":"Clin Infect Dis","language":"eng","license":"© The Author(s) 2024. Published by Oxford University Press on behalf of Infectious Diseases Society of America.","page":"626-636","PMID":"39692469","PMCID":"PMC11912973","publisher-place":"United States","title":"Diagnostic accuracy of chest X-ray computer-aided detection software for detection of prevalent and incident tuberculosis in household contacts.","volume":"80","author":[{"family":"Macpherson","given":"Liana"},{"family":"Kik","given":"Sandra V."},{"family":"Quartagno","given":"Matteo"},{"family":"Lakay","given":"Francisco"},{"family":"Jaftha","given":"Marche"},{"family":"Yende","given":"Nombuso"},{"family":"Galant","given":"Shireen"},{"family":"Aziz","given":"Saalikha"},{"family":"Daroowala","given":"Remy"},{"family":"Court","given":"Richard"},{"family":"Taliep","given":"Arshad"},{"family":"Serole","given":"Keboile"},{"family":"Goliath","given":"Rene T."},{"family":"Davies","given":"Nashreen Omar"},{"family":"Jackson","given":"Amanda"},{"family":"Douglass","given":"Emily"},{"family":"Sossen","given":"Bianca"},{"family":"Mukasa","given":"Sandra"},{"family":"Thienemann","given":"Friedrich"},{"family":"Song","given":"Taeksun"},{"family":"Ruhwald","given":"Morten"},{"family":"Wilkinson","given":"Robert J."},{"family":"Coussens","given":"Anna K."},{"family":"Esmail","given":"Hanif"}],"issued":{"date-parts":[["2025",3,17]]}}}],"schema":"https://github.com/citation-style-language/schema/raw/master/csl-citation.json"}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[17]</w:t>
            </w:r>
            <w:r>
              <w:rPr>
                <w:rFonts w:ascii="Times New Roman" w:hAnsi="Times New Roman" w:eastAsia="Times New Roman" w:cs="Times New Roman"/>
                <w:sz w:val="15"/>
                <w:szCs w:val="15"/>
              </w:rPr>
              <w:fldChar w:fldCharType="end"/>
            </w:r>
          </w:p>
        </w:tc>
      </w:tr>
      <w:tr w14:paraId="5DCEFB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094DCC08">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Sensitivity of chest radiography with CAD interpretation</w:t>
            </w:r>
          </w:p>
        </w:tc>
        <w:tc>
          <w:tcPr>
            <w:tcW w:w="1134" w:type="dxa"/>
            <w:vAlign w:val="center"/>
          </w:tcPr>
          <w:p w14:paraId="0898FE1D">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34.0%</w:t>
            </w:r>
          </w:p>
        </w:tc>
        <w:tc>
          <w:tcPr>
            <w:tcW w:w="1559" w:type="dxa"/>
            <w:vAlign w:val="center"/>
          </w:tcPr>
          <w:p w14:paraId="705962A4">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23.0%, 48.0%</w:t>
            </w:r>
          </w:p>
        </w:tc>
        <w:tc>
          <w:tcPr>
            <w:tcW w:w="2363" w:type="dxa"/>
            <w:vAlign w:val="center"/>
          </w:tcPr>
          <w:p w14:paraId="302A320D">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Macpherson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{"citationID":"eMSEYgR2","properties":{"unsorted":false,"formattedCitation":"\\super [17]\\nosupersub{}","plainCitation":"[17]","noteIndex":0},"citationItems":[{"id":712,"uris":["http://zotero.org/users/17236044/items/F3RJBTTY"],"itemData":{"id":712,"type":"article-journal","abstract":"BACKGROUND: World Health Organization (WHO) tuberculosis (TB) screening guidelines recommend computer-aided detection (CAD) software for chest radiograph  (CXR) interpretation. However, studies evaluating their diagnostic and prognostic  accuracy are limited. METHODS: We conducted a prospective cohort study of  household contacts of rifampicin-resistant TB in South Africa. Participants  underwent baseline CXR and sputum investigation (routine [single spontaneous] and  enhanced [additionally 2-3 induced]) for prevalent TB and follow-up for incident  TB. Three CXR-CAD software products (CAD4TBv7.0, qXRv3.0.0, and Lunit INSIGHT  v3.1.4.111) were compared. We evaluated their performance to detect routine and  enhanced prevalent and incident TB, comparing performance with blood tests (Xpert  MTB host-response, erythrocyte sedimentation rate, C-reactive protein,  QuantiFERON) in a subgroup. RESULTS: 483 participants were followed up for 4.6  years (median). There were 23 prevalent (7 routinely diagnosed) and 38 incident  TB cases. The AUC ROCs (95% CIs) to identify prevalent TB for CAD4TBv7.0,  qXRv3.0.0, and Lunit INSIGHT v3.1.4.111 were .87 (.77-.96), .88 (.79-.97), and  .91 (.83-.99), respectively. More than 30% with scores above recommended CAD  thresholds who were bacteriologically negative on routine baseline sputum were  subsequently diagnosed by enhanced sputum investigation or during follow-up. The  AUC performance of baseline CAD to identify incident cases ranged between .60 and  .65. Diagnostic performance of CAD for prevalent TB was superior to blood  testing. CONCLUSIONS: Our findings suggest that the potential of CAD-CXR  screening for TB is not maximized as a high proportion of those above current  thresholds, but with a negative routine confirmatory sputum, have true TB disease  that may benefit intervention.","container-title":"Clinical infectious diseases : an official publication of the Infectious Diseases Society of America","DOI":"10.1093/cid/ciae528","ISSN":"1537-6591 1058-4838","issue":"3","journalAbbreviation":"Clin Infect Dis","language":"eng","license":"© The Author(s) 2024. Published by Oxford University Press on behalf of Infectious Diseases Society of America.","page":"626-636","PMID":"39692469","PMCID":"PMC11912973","publisher-place":"United States","title":"Diagnostic accuracy of chest X-ray computer-aided detection software for detection of prevalent and incident tuberculosis in household contacts.","volume":"80","author":[{"family":"Macpherson","given":"Liana"},{"family":"Kik","given":"Sandra V."},{"family":"Quartagno","given":"Matteo"},{"family":"Lakay","given":"Francisco"},{"family":"Jaftha","given":"Marche"},{"family":"Yende","given":"Nombuso"},{"family":"Galant","given":"Shireen"},{"family":"Aziz","given":"Saalikha"},{"family":"Daroowala","given":"Remy"},{"family":"Court","given":"Richard"},{"family":"Taliep","given":"Arshad"},{"family":"Serole","given":"Keboile"},{"family":"Goliath","given":"Rene T."},{"family":"Davies","given":"Nashreen Omar"},{"family":"Jackson","given":"Amanda"},{"family":"Douglass","given":"Emily"},{"family":"Sossen","given":"Bianca"},{"family":"Mukasa","given":"Sandra"},{"family":"Thienemann","given":"Friedrich"},{"family":"Song","given":"Taeksun"},{"family":"Ruhwald","given":"Morten"},{"family":"Wilkinson","given":"Robert J."},{"family":"Coussens","given":"Anna K."},{"family":"Esmail","given":"Hanif"}],"issued":{"date-parts":[["2025",3,17]]}}}],"schema":"https://github.com/citation-style-language/schema/raw/master/csl-citation.json"}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[17]</w:t>
            </w:r>
            <w:r>
              <w:rPr>
                <w:rFonts w:ascii="Times New Roman" w:hAnsi="Times New Roman" w:eastAsia="Times New Roman" w:cs="Times New Roman"/>
                <w:sz w:val="15"/>
                <w:szCs w:val="15"/>
              </w:rPr>
              <w:fldChar w:fldCharType="end"/>
            </w:r>
          </w:p>
        </w:tc>
      </w:tr>
      <w:tr w14:paraId="35AAC9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68A4BAAC">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Specificity of chest radiography with CAD interpretation</w:t>
            </w:r>
          </w:p>
        </w:tc>
        <w:tc>
          <w:tcPr>
            <w:tcW w:w="1134" w:type="dxa"/>
            <w:vAlign w:val="center"/>
          </w:tcPr>
          <w:p w14:paraId="129A3C11">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94.0%</w:t>
            </w:r>
          </w:p>
        </w:tc>
        <w:tc>
          <w:tcPr>
            <w:tcW w:w="1559" w:type="dxa"/>
            <w:vAlign w:val="center"/>
          </w:tcPr>
          <w:p w14:paraId="41FF1B03">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91.0%, 96.0%</w:t>
            </w:r>
          </w:p>
        </w:tc>
        <w:tc>
          <w:tcPr>
            <w:tcW w:w="2363" w:type="dxa"/>
            <w:vAlign w:val="center"/>
          </w:tcPr>
          <w:p w14:paraId="72BC1CD3">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Macpherson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{"citationID":"G4tYtWHt","properties":{"unsorted":false,"formattedCitation":"\\super [17]\\nosupersub{}","plainCitation":"[17]","noteIndex":0},"citationItems":[{"id":712,"uris":["http://zotero.org/users/17236044/items/F3RJBTTY"],"itemData":{"id":712,"type":"article-journal","abstract":"BACKGROUND: World Health Organization (WHO) tuberculosis (TB) screening guidelines recommend computer-aided detection (CAD) software for chest radiograph  (CXR) interpretation. However, studies evaluating their diagnostic and prognostic  accuracy are limited. METHODS: We conducted a prospective cohort study of  household contacts of rifampicin-resistant TB in South Africa. Participants  underwent baseline CXR and sputum investigation (routine [single spontaneous] and  enhanced [additionally 2-3 induced]) for prevalent TB and follow-up for incident  TB. Three CXR-CAD software products (CAD4TBv7.0, qXRv3.0.0, and Lunit INSIGHT  v3.1.4.111) were compared. We evaluated their performance to detect routine and  enhanced prevalent and incident TB, comparing performance with blood tests (Xpert  MTB host-response, erythrocyte sedimentation rate, C-reactive protein,  QuantiFERON) in a subgroup. RESULTS: 483 participants were followed up for 4.6  years (median). There were 23 prevalent (7 routinely diagnosed) and 38 incident  TB cases. The AUC ROCs (95% CIs) to identify prevalent TB for CAD4TBv7.0,  qXRv3.0.0, and Lunit INSIGHT v3.1.4.111 were .87 (.77-.96), .88 (.79-.97), and  .91 (.83-.99), respectively. More than 30% with scores above recommended CAD  thresholds who were bacteriologically negative on routine baseline sputum were  subsequently diagnosed by enhanced sputum investigation or during follow-up. The  AUC performance of baseline CAD to identify incident cases ranged between .60 and  .65. Diagnostic performance of CAD for prevalent TB was superior to blood  testing. CONCLUSIONS: Our findings suggest that the potential of CAD-CXR  screening for TB is not maximized as a high proportion of those above current  thresholds, but with a negative routine confirmatory sputum, have true TB disease  that may benefit intervention.","container-title":"Clinical infectious diseases : an official publication of the Infectious Diseases Society of America","DOI":"10.1093/cid/ciae528","ISSN":"1537-6591 1058-4838","issue":"3","journalAbbreviation":"Clin Infect Dis","language":"eng","license":"© The Author(s) 2024. Published by Oxford University Press on behalf of Infectious Diseases Society of America.","page":"626-636","PMID":"39692469","PMCID":"PMC11912973","publisher-place":"United States","title":"Diagnostic accuracy of chest X-ray computer-aided detection software for detection of prevalent and incident tuberculosis in household contacts.","volume":"80","author":[{"family":"Macpherson","given":"Liana"},{"family":"Kik","given":"Sandra V."},{"family":"Quartagno","given":"Matteo"},{"family":"Lakay","given":"Francisco"},{"family":"Jaftha","given":"Marche"},{"family":"Yende","given":"Nombuso"},{"family":"Galant","given":"Shireen"},{"family":"Aziz","given":"Saalikha"},{"family":"Daroowala","given":"Remy"},{"family":"Court","given":"Richard"},{"family":"Taliep","given":"Arshad"},{"family":"Serole","given":"Keboile"},{"family":"Goliath","given":"Rene T."},{"family":"Davies","given":"Nashreen Omar"},{"family":"Jackson","given":"Amanda"},{"family":"Douglass","given":"Emily"},{"family":"Sossen","given":"Bianca"},{"family":"Mukasa","given":"Sandra"},{"family":"Thienemann","given":"Friedrich"},{"family":"Song","given":"Taeksun"},{"family":"Ruhwald","given":"Morten"},{"family":"Wilkinson","given":"Robert J."},{"family":"Coussens","given":"Anna K."},{"family":"Esmail","given":"Hanif"}],"issued":{"date-parts":[["2025",3,17]]}}}],"schema":"https://github.com/citation-style-language/schema/raw/master/csl-citation.json"}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[17]</w:t>
            </w:r>
            <w:r>
              <w:rPr>
                <w:rFonts w:ascii="Times New Roman" w:hAnsi="Times New Roman" w:eastAsia="Times New Roman" w:cs="Times New Roman"/>
                <w:sz w:val="15"/>
                <w:szCs w:val="15"/>
              </w:rPr>
              <w:fldChar w:fldCharType="end"/>
            </w:r>
          </w:p>
        </w:tc>
      </w:tr>
      <w:tr w14:paraId="1050A7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74042793">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Sensitivity of pooled GeneXpert testing</w:t>
            </w:r>
          </w:p>
        </w:tc>
        <w:tc>
          <w:tcPr>
            <w:tcW w:w="1134" w:type="dxa"/>
            <w:vAlign w:val="center"/>
          </w:tcPr>
          <w:p w14:paraId="5E6F396C">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72.0%</w:t>
            </w:r>
          </w:p>
        </w:tc>
        <w:tc>
          <w:tcPr>
            <w:tcW w:w="1559" w:type="dxa"/>
            <w:vAlign w:val="center"/>
          </w:tcPr>
          <w:p w14:paraId="6BFACA5C">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63.0%, 81.0%</w:t>
            </w:r>
          </w:p>
        </w:tc>
        <w:tc>
          <w:tcPr>
            <w:tcW w:w="2363" w:type="dxa"/>
            <w:vAlign w:val="center"/>
          </w:tcPr>
          <w:p w14:paraId="0F321B5E">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Cuevas</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{"citationID":"iMik2Pkj","properties":{"unsorted":false,"formattedCitation":"\\super [18]\\nosupersub{}","plainCitation":"[18]","noteIndex":0},"citationItems":[{"id":713,"uris":["http://zotero.org/users/17236044/items/K3WLI9P4"],"itemData":{"id":713,"type":"article-journal","abstract":"GeneXpert-based testing with Xpert MTB/RIF or Ultra assays is essential for tuberculosis diagnosis. However, testing may be affected by cartridge and staff  shortages. More efficient testing strategies could help, especially during the  coronavirus disease pandemic. We searched the literature to systematically review  whether GeneXpert-based testing of pooled sputum samples achieves sensitivity and  specificity similar to testing individual samples; this method could potentially  save time and preserve the limited supply of cartridges. From 6 publications, we  found 2-sample pools using Xpert MTB/RIF had 87.5% and 96.0% sensitivity (average  sensitivity 94%; 95% CI 89.0%-98.0%) (2 studies). Four-sample pools averaged 91%  sensitivity with Xpert MTB/RIF (2 studies) and 98% with Ultra (2 studies);  combining &gt;4 samples resulted in lower sensitivity. Two studies reported that  pooling achieved 99%-100% specificity and 27%-31% in cartridge savings. Our  results show that pooling may improve efficiency of GeneXpert-based testing.","container-title":"Emerging infectious diseases","DOI":"10.3201/eid2703.204090","ISSN":"1080-6059 1080-6040","issue":"3","journalAbbreviation":"Emerg Infect Dis","language":"eng","note":"JCR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2</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7.9\n5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6.5\n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A","page":"719-727","PMID":"33622482","PMCID":"PMC7920689","publisher-place":"United States","title":"Systematic review of pooling sputum as an efficient method for xpert MTB/RIF tuberculosis testing during the COVID-19 pandemic.","volume":"27","author":[{"family":"Cuevas","given":"Luis E."},{"family":"Santos","given":"Victor S."},{"family":"Lima","given":"Shirley Verônica Melo Almeida"},{"family":"Kontogianni","given":"Konstantina"},{"family":"Bimba","given":"John S."},{"family":"Iem","given":"Vibol"},{"family":"Dominguez","given":"Jose"},{"family":"Adams","given":"Emily"},{"family":"Atienzar","given":"Ana Cubas"},{"family":"Edwards","given":"Thomas"},{"family":"Squire","given":"S. Bertel"},{"family":"Hall","given":"Patricia J."},{"family":"Creswell","given":"Jacob"}],"issued":{"date-parts":[["2021",3]]}}}],"schema":"https://github.com/citation-style-language/schema/raw/master/csl-citation.json"}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[18]</w:t>
            </w:r>
            <w:r>
              <w:rPr>
                <w:rFonts w:ascii="Times New Roman" w:hAnsi="Times New Roman" w:eastAsia="Times New Roman" w:cs="Times New Roman"/>
                <w:sz w:val="15"/>
                <w:szCs w:val="15"/>
              </w:rPr>
              <w:fldChar w:fldCharType="end"/>
            </w:r>
          </w:p>
        </w:tc>
      </w:tr>
      <w:tr w14:paraId="5338BB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0123EAF8">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Specificity of pooled GeneXpert testing</w:t>
            </w:r>
          </w:p>
        </w:tc>
        <w:tc>
          <w:tcPr>
            <w:tcW w:w="1134" w:type="dxa"/>
            <w:vAlign w:val="center"/>
          </w:tcPr>
          <w:p w14:paraId="59F9ED81">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100.0%</w:t>
            </w:r>
          </w:p>
        </w:tc>
        <w:tc>
          <w:tcPr>
            <w:tcW w:w="1559" w:type="dxa"/>
            <w:vAlign w:val="center"/>
          </w:tcPr>
          <w:p w14:paraId="64195DA8">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96.0%, 100.0%</w:t>
            </w:r>
          </w:p>
        </w:tc>
        <w:tc>
          <w:tcPr>
            <w:tcW w:w="2363" w:type="dxa"/>
            <w:vAlign w:val="center"/>
          </w:tcPr>
          <w:p w14:paraId="3C2ADBA2">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Cuevas</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{"citationID":"ns7AXCON","properties":{"unsorted":false,"formattedCitation":"\\super [18]\\nosupersub{}","plainCitation":"[18]","noteIndex":0},"citationItems":[{"id":713,"uris":["http://zotero.org/users/17236044/items/K3WLI9P4"],"itemData":{"id":713,"type":"article-journal","abstract":"GeneXpert-based testing with Xpert MTB/RIF or Ultra assays is essential for tuberculosis diagnosis. However, testing may be affected by cartridge and staff  shortages. More efficient testing strategies could help, especially during the  coronavirus disease pandemic. We searched the literature to systematically review  whether GeneXpert-based testing of pooled sputum samples achieves sensitivity and  specificity similar to testing individual samples; this method could potentially  save time and preserve the limited supply of cartridges. From 6 publications, we  found 2-sample pools using Xpert MTB/RIF had 87.5% and 96.0% sensitivity (average  sensitivity 94%; 95% CI 89.0%-98.0%) (2 studies). Four-sample pools averaged 91%  sensitivity with Xpert MTB/RIF (2 studies) and 98% with Ultra (2 studies);  combining &gt;4 samples resulted in lower sensitivity. Two studies reported that  pooling achieved 99%-100% specificity and 27%-31% in cartridge savings. Our  results show that pooling may improve efficiency of GeneXpert-based testing.","container-title":"Emerging infectious diseases","DOI":"10.3201/eid2703.204090","ISSN":"1080-6059 1080-6040","issue":"3","journalAbbreviation":"Emerg Infect Dis","language":"eng","note":"JCR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2</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7.9\n5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6.5\n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A","page":"719-727","PMID":"33622482","PMCID":"PMC7920689","publisher-place":"United States","title":"Systematic review of pooling sputum as an efficient method for xpert MTB/RIF tuberculosis testing during the COVID-19 pandemic.","volume":"27","author":[{"family":"Cuevas","given":"Luis E."},{"family":"Santos","given":"Victor S."},{"family":"Lima","given":"Shirley Verônica Melo Almeida"},{"family":"Kontogianni","given":"Konstantina"},{"family":"Bimba","given":"John S."},{"family":"Iem","given":"Vibol"},{"family":"Dominguez","given":"Jose"},{"family":"Adams","given":"Emily"},{"family":"Atienzar","given":"Ana Cubas"},{"family":"Edwards","given":"Thomas"},{"family":"Squire","given":"S. Bertel"},{"family":"Hall","given":"Patricia J."},{"family":"Creswell","given":"Jacob"}],"issued":{"date-parts":[["2021",3]]}}}],"schema":"https://github.com/citation-style-language/schema/raw/master/csl-citation.json"}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[18]</w:t>
            </w:r>
            <w:r>
              <w:rPr>
                <w:rFonts w:ascii="Times New Roman" w:hAnsi="Times New Roman" w:eastAsia="Times New Roman" w:cs="Times New Roman"/>
                <w:sz w:val="15"/>
                <w:szCs w:val="15"/>
              </w:rPr>
              <w:fldChar w:fldCharType="end"/>
            </w:r>
          </w:p>
        </w:tc>
      </w:tr>
      <w:tr w14:paraId="037B5D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427956CC">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Sensitivity of TBST</w:t>
            </w:r>
          </w:p>
        </w:tc>
        <w:tc>
          <w:tcPr>
            <w:tcW w:w="1134" w:type="dxa"/>
            <w:vAlign w:val="center"/>
          </w:tcPr>
          <w:p w14:paraId="4403B2CA">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78.7%</w:t>
            </w:r>
          </w:p>
        </w:tc>
        <w:tc>
          <w:tcPr>
            <w:tcW w:w="1559" w:type="dxa"/>
            <w:vAlign w:val="center"/>
          </w:tcPr>
          <w:p w14:paraId="5CEED1B0">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68.0%, 88.0%</w:t>
            </w:r>
          </w:p>
        </w:tc>
        <w:tc>
          <w:tcPr>
            <w:tcW w:w="2363" w:type="dxa"/>
            <w:vAlign w:val="center"/>
          </w:tcPr>
          <w:p w14:paraId="50EF32C4">
            <w:pPr>
              <w:adjustRightInd w:val="0"/>
              <w:snapToGrid w:val="0"/>
              <w:jc w:val="center"/>
              <w:rPr>
                <w:rFonts w:ascii="Times New Roman" w:hAnsi="Times New Roman" w:eastAsia="Times New Roman" w:cs="Times New Roman"/>
                <w:sz w:val="15"/>
                <w:szCs w:val="15"/>
              </w:rPr>
            </w:pPr>
            <w:r>
              <w:rPr>
                <w:rFonts w:hint="eastAsia" w:ascii="Times New Roman" w:hAnsi="Times New Roman" w:cs="Times New Roman"/>
                <w:sz w:val="15"/>
                <w:szCs w:val="15"/>
              </w:rPr>
              <w:t>Peng</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{"citationID":"UFKEZGFN","properties":{"unsorted":false,"formattedCitation":"\\super [19]\\nosupersub{}","plainCitation":"[19]","noteIndex":0},"citationItems":[{"id":389,"uris":["http://zotero.org/users/17236044/items/ZBYLX4IZ"],"itemData":{"id":389,"type":"article-journal","abstract":"The aim of this study was to evaluate the diagnostic accuracy of the IGRA, TST, and TBST by combining diagnostic test accuracy (DTA) analysis and network meta-analysis (NMA) to increase the reliability and accuracy of diagnostic methods and promote the eradication of TB. An electronic search of the PubMed, Embase, and Cochrane databases was conducted, from the date of establishment to September 30, 2024. Data were synthesized with frequentist random-effects network meta-analyses, a single-group rate meta-analysis algorithm, and a bivariate mixed-effects logistic regression model. Summarized receiver operating characteristic curves and Fagan nomograms were used to assess diagnostic accuracy and clinical utility. Deeks’ funnel plots and the Quality Assessment of Diagnostic Accuracy Studies 2 tools were used to assess publication bias and risk of bias. Sources of heterogeneity were investigated using subgroup analyses. Forty-nine studies were identified. The diagnostic performance of the three diagnostic methods for TB infection is summarized as follows: the pooled sensitivity was 77.9% (95% confidence interval [CI], 0.69–0.856), and the pooled specificity was 80.3% (95% CI, 0.75–0.86). The sensitivity and specificity of the IGRA were 82.1% (95% CI, 0.78–0.86) and 81.1% (95% CI, 0.75–0.86), respectively, both higher than the TST. However, the TBST exhibited the highest specificity, at 98.5% (95% CI, 0.96–1.00), with a sensitivity of 78.7% (95% CI, 0.68–0.88), which was between that of the IGRA and TST. Subgroup analysis found that population categories and reference standards, among other factors, may be attributed to heterogeneity. In addition, the TST and IGRA add-on TBST can significantly improve diagnostic accuracy. In our study, the IGRA showed higher sensitivity, whereas the TBST showed higher specificity. Interestingly, under certain conditions, TST add-on TBST and IGRA add-on TBST showed better accuracy than TST and IGRA alone and could provide more effective guidance for clinical practice (PROSPERO CRD42023420136).","container-title":"Pathogens","DOI":"10.3390/pathogens13121050","ISSN":"2076-0817","issue":"12","journalAbbreviation":"Pathogens","language":"en","license":"https://creativecommons.org/licenses/by/4.0/","note":"JCR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Q2\n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3</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3.3\n5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3.5\n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B","page":"1050","source":"DOI.org (Crossref)","title":"Diagnostic accuracy of mycobacterium tuberculosis antigen-based skin tests (TBSTs) for tuberculosis infection compared with TST and IGRA: A network meta-analysis","title-short":"Diagnostic Accuracy of Mycobacterium tuberculosis Antigen-Based Skin Tests (TBSTs) for Tuberculosis Infection Compared with TST and IGRA","volume":"13","author":[{"family":"Peng","given":"Li"},{"family":"Ma","given":"Weijie"},{"family":"Zhong","given":"Lei"},{"family":"Yang","given":"Jiaru"},{"family":"Wu","given":"Hanxin"},{"family":"Zhu","given":"Liangyu"},{"family":"Huang","given":"Xun"},{"family":"Yang","given":"Rui"},{"family":"Li","given":"Bingxue"},{"family":"Ma","given":"Weijiang"},{"family":"Wu","given":"Xinya"},{"family":"Song","given":"Jieqin"},{"family":"Luo","given":"Suyi"},{"family":"Bao","given":"Fukai"},{"family":"Liu","given":"Aihua"}],"issued":{"date-parts":[["2024",11,29]]}}}],"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[19]</w:t>
            </w:r>
            <w:r>
              <w:rPr>
                <w:rFonts w:ascii="Times New Roman" w:hAnsi="Times New Roman" w:eastAsia="Times New Roman" w:cs="Times New Roman"/>
                <w:sz w:val="15"/>
                <w:szCs w:val="15"/>
              </w:rPr>
              <w:fldChar w:fldCharType="end"/>
            </w:r>
          </w:p>
        </w:tc>
      </w:tr>
      <w:tr w14:paraId="090A9A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2EB618A1">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Specificity of TBST</w:t>
            </w:r>
          </w:p>
        </w:tc>
        <w:tc>
          <w:tcPr>
            <w:tcW w:w="1134" w:type="dxa"/>
            <w:vAlign w:val="center"/>
          </w:tcPr>
          <w:p w14:paraId="1ADB95EF">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98.5%</w:t>
            </w:r>
          </w:p>
        </w:tc>
        <w:tc>
          <w:tcPr>
            <w:tcW w:w="1559" w:type="dxa"/>
            <w:vAlign w:val="center"/>
          </w:tcPr>
          <w:p w14:paraId="7513A333">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96.0%, 100.0%</w:t>
            </w:r>
          </w:p>
        </w:tc>
        <w:tc>
          <w:tcPr>
            <w:tcW w:w="2363" w:type="dxa"/>
            <w:vAlign w:val="center"/>
          </w:tcPr>
          <w:p w14:paraId="0D68D045">
            <w:pPr>
              <w:adjustRightInd w:val="0"/>
              <w:snapToGrid w:val="0"/>
              <w:jc w:val="center"/>
              <w:rPr>
                <w:rFonts w:ascii="Times New Roman" w:hAnsi="Times New Roman" w:eastAsia="Times New Roman" w:cs="Times New Roman"/>
                <w:sz w:val="15"/>
                <w:szCs w:val="15"/>
              </w:rPr>
            </w:pPr>
            <w:r>
              <w:rPr>
                <w:rFonts w:hint="eastAsia" w:ascii="Times New Roman" w:hAnsi="Times New Roman" w:cs="Times New Roman"/>
                <w:sz w:val="15"/>
                <w:szCs w:val="15"/>
              </w:rPr>
              <w:t>Peng</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{"citationID":"buukaUtH","properties":{"unsorted":false,"formattedCitation":"\\super [19]\\nosupersub{}","plainCitation":"[19]","noteIndex":0},"citationItems":[{"id":389,"uris":["http://zotero.org/users/17236044/items/ZBYLX4IZ"],"itemData":{"id":389,"type":"article-journal","abstract":"The aim of this study was to evaluate the diagnostic accuracy of the IGRA, TST, and TBST by combining diagnostic test accuracy (DTA) analysis and network meta-analysis (NMA) to increase the reliability and accuracy of diagnostic methods and promote the eradication of TB. An electronic search of the PubMed, Embase, and Cochrane databases was conducted, from the date of establishment to September 30, 2024. Data were synthesized with frequentist random-effects network meta-analyses, a single-group rate meta-analysis algorithm, and a bivariate mixed-effects logistic regression model. Summarized receiver operating characteristic curves and Fagan nomograms were used to assess diagnostic accuracy and clinical utility. Deeks’ funnel plots and the Quality Assessment of Diagnostic Accuracy Studies 2 tools were used to assess publication bias and risk of bias. Sources of heterogeneity were investigated using subgroup analyses. Forty-nine studies were identified. The diagnostic performance of the three diagnostic methods for TB infection is summarized as follows: the pooled sensitivity was 77.9% (95% confidence interval [CI], 0.69–0.856), and the pooled specificity was 80.3% (95% CI, 0.75–0.86). The sensitivity and specificity of the IGRA were 82.1% (95% CI, 0.78–0.86) and 81.1% (95% CI, 0.75–0.86), respectively, both higher than the TST. However, the TBST exhibited the highest specificity, at 98.5% (95% CI, 0.96–1.00), with a sensitivity of 78.7% (95% CI, 0.68–0.88), which was between that of the IGRA and TST. Subgroup analysis found that population categories and reference standards, among other factors, may be attributed to heterogeneity. In addition, the TST and IGRA add-on TBST can significantly improve diagnostic accuracy. In our study, the IGRA showed higher sensitivity, whereas the TBST showed higher specificity. Interestingly, under certain conditions, TST add-on TBST and IGRA add-on TBST showed better accuracy than TST and IGRA alone and could provide more effective guidance for clinical practice (PROSPERO CRD42023420136).","container-title":"Pathogens","DOI":"10.3390/pathogens13121050","ISSN":"2076-0817","issue":"12","journalAbbreviation":"Pathogens","language":"en","license":"https://creativecommons.org/licenses/by/4.0/","note":"JCR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Q2\n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3</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3.3\n5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3.5\n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B","page":"1050","source":"DOI.org (Crossref)","title":"Diagnostic accuracy of mycobacterium tuberculosis antigen-based skin tests (TBSTs) for tuberculosis infection compared with TST and IGRA: A network meta-analysis","title-short":"Diagnostic Accuracy of Mycobacterium tuberculosis Antigen-Based Skin Tests (TBSTs) for Tuberculosis Infection Compared with TST and IGRA","volume":"13","author":[{"family":"Peng","given":"Li"},{"family":"Ma","given":"Weijie"},{"family":"Zhong","given":"Lei"},{"family":"Yang","given":"Jiaru"},{"family":"Wu","given":"Hanxin"},{"family":"Zhu","given":"Liangyu"},{"family":"Huang","given":"Xun"},{"family":"Yang","given":"Rui"},{"family":"Li","given":"Bingxue"},{"family":"Ma","given":"Weijiang"},{"family":"Wu","given":"Xinya"},{"family":"Song","given":"Jieqin"},{"family":"Luo","given":"Suyi"},{"family":"Bao","given":"Fukai"},{"family":"Liu","given":"Aihua"}],"issued":{"date-parts":[["2024",11,29]]}}}],"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[19]</w:t>
            </w:r>
            <w:r>
              <w:rPr>
                <w:rFonts w:ascii="Times New Roman" w:hAnsi="Times New Roman" w:eastAsia="Times New Roman" w:cs="Times New Roman"/>
                <w:sz w:val="15"/>
                <w:szCs w:val="15"/>
              </w:rPr>
              <w:fldChar w:fldCharType="end"/>
            </w:r>
          </w:p>
        </w:tc>
      </w:tr>
      <w:tr w14:paraId="496B85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76D7982A">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Uptake rate of tuberculosis preventive treatment</w:t>
            </w:r>
          </w:p>
        </w:tc>
        <w:tc>
          <w:tcPr>
            <w:tcW w:w="1134" w:type="dxa"/>
            <w:vAlign w:val="center"/>
          </w:tcPr>
          <w:p w14:paraId="47F58303">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69.0%</w:t>
            </w:r>
          </w:p>
        </w:tc>
        <w:tc>
          <w:tcPr>
            <w:tcW w:w="1559" w:type="dxa"/>
            <w:vAlign w:val="center"/>
          </w:tcPr>
          <w:p w14:paraId="30AFD864">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51.0%, 84.0%</w:t>
            </w:r>
          </w:p>
        </w:tc>
        <w:tc>
          <w:tcPr>
            <w:tcW w:w="2363" w:type="dxa"/>
            <w:vAlign w:val="center"/>
          </w:tcPr>
          <w:p w14:paraId="650D470C">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Rustage</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{"citationID":"rGjg1wXU","properties":{"unsorted":false,"formattedCitation":"\\super [20]\\nosupersub{}","plainCitation":"[20]","noteIndex":0},"citationItems":[{"id":714,"uris":["http://zotero.org/users/17236044/items/ZUMCXYF5"],"itemData":{"id":714,"type":"article-journal","abstract":"BACKGROUND: Latent tuberculosis infection (LTBI) is one of the most prevalent infections globally and can lead to the development of active tuberculosis  disease. In many low-burden countries, LTBI is concentrated within migrant  populations often because of a higher disease burden in the migrant's country of  origin. National programmes consequently focus on screening and treating LTBI in  migrants to prevent future tuberculosis cases; however, how effective these  programmes are is unclear. We aimed to assess LTBI treatment initiation and  outcomes among migrants, and the factors that influence both. METHODS: For this  systematic review and meta-analysis, we searched Embase, MEDLINE, and Global  Health, and manually searched grey literature from Jan 1, 2000, to April 21,  2020. We included primary research articles reporting on LTBI treatment  initiation or completion, or both, in migrants and excluded articles in which  data were not stratified by migrant status, or in which the data were related to  outcomes before 2000. There were no geographical or language restrictions. All  included studies were quality appraised using recognised tools depending on their  design, and we assessed the heterogeneity of analyses using I(2). We extracted  data on the numbers of migrants initiating and completing treatment. Our primary  outcomes were LTBI treatment initiation and completion in migrants (defined as  foreign-born). We used random-effects meta-regression to examine the influence of  factors related to these outcomes. The study is registered with PROSPERO  (CRD42019140338). FINDINGS: 2199 publications were retrieved screened, after  which 39 publications from 13 mostly high-income, low-burden countries were  included in our analyses, with treatment initiation and completion data reported  for 31 598 migrants positive for LTBI, with not all articles reporting the full  pathway from initiation to completion. The pooled estimate for the true  proportion of migrants testing positive who initiated treatment was 69% (95% CI  51-84; I(2)= 99·62%; 4409 of 8764). The pooled estimate for the true proportion  of migrants on treatment in datasets, who subsequently completed it was 74% (95%  CI = 66-81; I(2)= 99·19%; 15 516 of 25 629). Where data were provided for the  entire treatment pathway, the pooled estimate for the true proportion of migrants  who initiated and completed treatment after a positive test was only 52% (95% CI  40-64; I(2)= 98·90%; 3289 of 6652). Meta-regression showed that LTBI programmes  are improving, with more recent reported data (2010-20) associated with better  rates of treatment initiation and completion, with multiple complex factors  affecting treatment outcomes in migrants. INTERPRETATION: Although our analysis  highlights that LTBI treatment initiation and completion in migrants has improved  considerably from 2010-20, there is still room for improvement, with drop out  reported along the entire treatment pathway. The delivery of these screening and  treatment programmes will require further strengthening if the targets to  eradicate tuberculosis in low-incidence countries are to be met, with greater  focus needed on engaging migrants more effectively in the clinic and  understanding the diverse and unique barriers and facilitators to migrants  initiating and completing treatment. FUNDING: European Society of Clinical  Microbiology and Infectious Diseases, the Rosetrees Trust, the National Institute  for Health Research, and the Academy of Medical Sciences.","container-title":"The Lancet. Infectious Diseases","DOI":"10.1016/S1473-3099(21)00052-9","ISSN":"1474-4457 1473-3099","issue":"12","journalAbbreviation":"Lancet Infect Dis","language":"eng","license":"Copyright © 2021 The Author(s). Published by Elsevier Ltd. This is an Open Access article under the CC BY 4.0 license. Published by Elsevier Ltd.. All rights  reserved.","note":"JCR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29.4\n5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26.0","page":"1701-1712","PMID":"34363771","PMCID":"PMC8612939","publisher-place":"United States","title":"Initiation and completion of treatment for latent tuberculosis infection in migrants globally: A systematic review and meta-analysis.","volume":"21","author":[{"family":"Rustage","given":"Kieran"},{"family":"Lobe","given":"Jessica"},{"family":"Hayward","given":"Sally E."},{"family":"Kristensen","given":"Kristina L."},{"family":"Margineanu","given":"Ioana"},{"family":"Stienstra","given":"Ymkje"},{"family":"Goletti","given":"Delia"},{"family":"Zenner","given":"Dominik"},{"family":"Noori","given":"Teymur"},{"family":"Pareek","given":"Manish"},{"family":"Greenaway","given":"Christina"},{"family":"Friedland","given":"Jon S."},{"family":"Nellums","given":"Laura B."},{"family":"Hargreaves","given":"Sally"}],"issued":{"date-parts":[["2021",12]]}}}],"schema":"https://github.com/citation-style-language/schema/raw/master/csl-citation.json"}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[20]</w:t>
            </w:r>
            <w:r>
              <w:rPr>
                <w:rFonts w:ascii="Times New Roman" w:hAnsi="Times New Roman" w:eastAsia="Times New Roman" w:cs="Times New Roman"/>
                <w:sz w:val="15"/>
                <w:szCs w:val="15"/>
              </w:rPr>
              <w:fldChar w:fldCharType="end"/>
            </w:r>
          </w:p>
        </w:tc>
      </w:tr>
      <w:tr w14:paraId="0D464B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3CF06006">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Completion rate of tuberculosis preventive treatment</w:t>
            </w:r>
          </w:p>
        </w:tc>
        <w:tc>
          <w:tcPr>
            <w:tcW w:w="1134" w:type="dxa"/>
            <w:vAlign w:val="center"/>
          </w:tcPr>
          <w:p w14:paraId="6CA0972D">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80.9%</w:t>
            </w:r>
          </w:p>
        </w:tc>
        <w:tc>
          <w:tcPr>
            <w:tcW w:w="1559" w:type="dxa"/>
            <w:vAlign w:val="center"/>
          </w:tcPr>
          <w:p w14:paraId="67D480BF">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79.8%, 82.0%</w:t>
            </w:r>
          </w:p>
        </w:tc>
        <w:tc>
          <w:tcPr>
            <w:tcW w:w="2363" w:type="dxa"/>
            <w:vAlign w:val="center"/>
          </w:tcPr>
          <w:p w14:paraId="5E5C12B3">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Winters</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{"citationID":"xtLXdoER","properties":{"unsorted":false,"formattedCitation":"\\super [21]\\nosupersub{}","plainCitation":"[21]","noteIndex":0},"citationItems":[{"id":626,"uris":["http://zotero.org/users/17236044/items/RPJEQJ77"],"itemData":{"id":626,"type":"article-journal","abstract":"BACKGROUND: 3 months of weekly rifapentine plus isoniazid (3HP) and 4 months of daily rifampicin (4R) are recommended for tuberculosis preventive treatment. As  these regimens have not been compared directly, we used individual patient data  and network meta-analysis methods to compare completion, safety, and efficacy  between 3HP and 4R. METHODS: We conducted a network meta-analysis of individual  patient data by searching PubMed for randomised controlled trials (RCTs)  published between Jan 1, 2000, and Mar 1, 2019. Eligible studies compared 3HP or  4R to 6 months or 9 months of isoniazid and reported treatment completion,  adverse events, or incidence of tuberculosis disease. Deidentified individual  patient data from eligible studies were provided by study investigators and  outcomes were harmonised. Methods for network meta-analysis were used to generate  indirect adjusted risk ratios (aRRs) and risk differences (aRDs) with their 95%  CIs. FINDINGS: We included 17 572 participants from 14 countries in six trials.  In the network meta-analysis, treatment completion was higher for people on 3HP  than for those on 4R (aRR 1·06 [95% CI 1·02-1·10]; aRD 0·05 [95% CI 0·02-0·07]).  For treatment-related adverse events leading to drug discontinuation, risks were  higher for 3HP than for 4R for adverse events of any severity (aRR 2·86  [2·12-4·21]; aRD 0·03 [0·02-0·05]) and for grade 3-4 adverse events (aRR 3·46  [2·09-6·17]; aRD 0·02 [0·01-0·03]). Similar increased risks with 3HP were  observed with other definitions of adverse events and were consistent across age  groups. No difference in the incidence of tuberculosis disease between 3HP and 4R  was found. INTERPRETATION: In the absence of RCTs, our individual patient data  network meta-analysis indicates that 3HP provided an increase in treatment  completion over 4R, but was associated with a higher risk of adverse events.  Although findings should be confirmed, the trade-off between completion and  safety must be considered when selecting a regimen for tuberculosis preventive  treatment. FUNDING: None. TRANSLATIONS: For the French and Spanish translations  of the abstract see Supplementary Materials section.","container-title":"The Lancet. Respiratory Medicine","DOI":"10.1016/S2213-2600(23)00096-6","ISSN":"2213-2619 2213-2600","issue":"9","journalAbbreviation":"Lancet Respir Med","language":"eng","license":"Copyright © 2023 Elsevier Ltd. All rights reserved.","note":"publisher-place: England\</w:instrText>
            </w:r>
            <w:r>
              <w:rPr>
                <w:rFonts w:hint="eastAsia" w:ascii="Times New Roman" w:hAnsi="Times New Roman" w:cs="Times New Roman"/>
                <w:sz w:val="15"/>
                <w:szCs w:val="15"/>
              </w:rPr>
              <w:instrText xml:space="preserve">nJCR分区: Q1\n中科院分区升级版: 医学1区\n影响因子: 32.8\n5年影响因子: 35.4","page":"782-790","PMID":"36966788","PMCID":"PMC11068309","title":"Completion, safety, and efficacy of tuberculosis preventive treatment regimens containing rifampicin or rifapentine: An individual pati</w:instrText>
            </w:r>
            <w:r>
              <w:rPr>
                <w:rFonts w:ascii="Times New Roman" w:hAnsi="Times New Roman" w:cs="Times New Roman"/>
                <w:sz w:val="15"/>
                <w:szCs w:val="15"/>
              </w:rPr>
              <w:instrText xml:space="preserve">ent data network  meta-analysis.","volume":"11","author":[{"family":"Winters","given":"Nicholas"},{"family":"Belknap","given":"Robert"},{"family":"Benedetti","given":"Andrea"},{"family":"Borisov","given":"Andrey"},{"family":"Campbell","given":"Jonathon R."},{"family":"Chaisson","given":"Richard E."},{"family":"Chan","given":"Pei-Chun"},{"family":"Martinson","given":"Neil"},{"family":"Nahid","given":"Payam"},{"family":"Scott","given":"Nigel A."},{"family":"Sizemore","given":"Erin"},{"family":"Sterling","given":"Timothy R."},{"family":"Villarino","given":"M. Elsa"},{"family":"Wang","given":"Jann-Yuan"},{"family":"Menzies","given":"Dick"}],"issued":{"date-parts":[["2023",9]]}}}],"schema":"https://github.com/citation-style-language/schema/raw/master/csl-citation.json"}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[21]</w:t>
            </w:r>
            <w:r>
              <w:rPr>
                <w:rFonts w:ascii="Times New Roman" w:hAnsi="Times New Roman" w:cs="Times New Roman"/>
                <w:sz w:val="15"/>
                <w:szCs w:val="15"/>
              </w:rPr>
              <w:fldChar w:fldCharType="end"/>
            </w:r>
          </w:p>
        </w:tc>
      </w:tr>
      <w:tr w14:paraId="47FEB3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5CD5B03D">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Completion rate of the 2HRZE/4HR regimen</w:t>
            </w:r>
          </w:p>
        </w:tc>
        <w:tc>
          <w:tcPr>
            <w:tcW w:w="1134" w:type="dxa"/>
            <w:vAlign w:val="center"/>
          </w:tcPr>
          <w:p w14:paraId="0CD6EEAD">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73.3%</w:t>
            </w:r>
          </w:p>
        </w:tc>
        <w:tc>
          <w:tcPr>
            <w:tcW w:w="1559" w:type="dxa"/>
            <w:vAlign w:val="center"/>
          </w:tcPr>
          <w:p w14:paraId="2C8F2682">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70.2%, 76.4%</w:t>
            </w:r>
          </w:p>
        </w:tc>
        <w:tc>
          <w:tcPr>
            <w:tcW w:w="2363" w:type="dxa"/>
            <w:vAlign w:val="center"/>
          </w:tcPr>
          <w:p w14:paraId="0AC523E5">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Dorman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{"citationID":"tCgR4wfJ","properties":{"unsorted":false,"formattedCitation":"\\super [22]\\nosupersub{}","plainCitation":"[22]","noteIndex":0},"citationItems":[{"id":715,"uris":["http://zotero.org/users/17236044/items/DXX2DIZU"],"itemData":{"id":715,"type":"article-journal","abstract":"BACKGROUND: Rifapentine-based regimens have potent antimycobacterial activity that may allow for a shorter course in patients with drug-susceptible pulmonary  tuberculosis. METHODS: In an open-label, phase 3, randomized, controlled trial  involving persons with newly diagnosed pulmonary tuberculosis from 13 countries,  we compared two 4-month rifapentine-based regimens with a standard 6-month  regimen consisting of rifampin, isoniazid, pyrazinamide, and ethambutol (control)  using a noninferiority margin of 6.6 percentage points. In one 4-month regimen,  rifampin was replaced with rifapentine; in the other, rifampin was replaced with  rifapentine and ethambutol with moxifloxacin. The primary efficacy outcome was  survival free of tuberculosis at 12 months. RESULTS: Among 2516 participants who  had undergone randomization, 2343 had a culture positive for Mycobacterium  tuberculosis that was not resistant to isoniazid, rifampin, or fluoroquinolones  (microbiologically eligible population; 768 in the control group, 791 in the  rifapentine-moxifloxacin group, and 784 in the rifapentine group), of whom 194  were coinfected with human immunodeficiency virus and 1703 had cavitation on  chest radiography. A total of 2234 participants could be assessed for the primary  outcome (assessable population; 726 in the control group, 756 in the  rifapentine-moxifloxacin group, and 752 in the rifapentine group). Rifapentine  with moxifloxacin was noninferior to the control in the microbiologically  eligible population (15.5% vs. 14.6% had an unfavorable outcome; difference, 1.0  percentage point; 95% confidence interval [CI], -2.6 to 4.5) and in the  assessable population (11.6% vs. 9.6%; difference, 2.0 percentage points; 95% CI,  -1.1 to 5.1). Noninferiority was shown in the secondary and sensitivity analyses.  Rifapentine without moxifloxacin was not shown to be noninferior to the control  in either population (17.7% vs. 14.6% with an unfavorable outcome in the  microbiologically eligible population; difference, 3.0 percentage points [95% CI,  -0.6 to 6.6]; and 14.2% vs. 9.6% in the assessable population; difference, 4.4  percentage points [95% CI, 1.2 to 7.7]). Adverse events of grade 3 or higher  occurred during the on-treatment period in 19.3% of participants in the control  group, 18.8% in the rifapentine-moxifloxacin group, and 14.3% in the rifapentine  group. CONCLUSIONS: The efficacy of a 4-month rifapentine-based regimen  containing moxifloxacin was noninferior to the standard 6-month regimen in the  treatment of tuberculosis. (Funded by the Centers for Disease Control and  Prevention and others; Study 31/A5349 ClinicalTrials.gov number, NCT02410772.).","container-title":"The New England Journal of Medicine","DOI":"10.1056/NEJMoa2033400","ISSN":"1533-4406 0028-4793","issue":"18","journalAbbreviation":"N Engl J Med","language":"eng","license":"Copyright © 2021 Massachusetts Medical Society.","note":"JCR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84.5\n5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86.6","page":"1705-1718","PMID":"33951360","PMCID":"PMC8282329","publisher-place":"United States","source":"DOI.org (Crossref)","title":"Four-month rifapentine regimens with or without moxifloxacin for tuberculosis.","volume":"384","author":[{"family":"Dorman","given":"Susan E."},{"family":"Nahid","given":"Payam"},{"family":"Kurbatova","given":"Ekaterina V."},{"family":"Phillips","given":"Patrick P. J."},{"family":"Bryant","given":"Kia"},{"family":"Dooley","given":"Kelly E."},{"family":"Engle","given":"Melissa"},{"family":"Goldberg","given":"Stefan V."},{"family":"Phan","given":"Ha T. T."},{"family":"Hakim","given":"James"},{"family":"Johnson","given":"John L."},{"family":"Lourens","given":"Madeleine"},{"family":"Martinson","given":"Neil A."},{"family":"Muzanyi","given":"Grace"},{"family":"Narunsky","given":"Kim"},{"family":"Nerette","given":"Sandy"},{"family":"Nguyen","given":"Nhung V."},{"family":"Pham","given":"Thuong H."},{"family":"Pierre","given":"Samuel"},{"family":"Purfield","given":"Anne E."},{"family":"Samaneka","given":"Wadzanai"},{"family":"Savic","given":"Radojka M."},{"family":"Sanne","given":"Ian"},{"family":"Scott","given":"Nigel A."},{"family":"Shenje","given":"Justin"},{"family":"Sizemore","given":"Erin"},{"family":"Vernon","given":"Andrew"},{"family":"Waja","given":"Ziyaad"},{"family":"Weiner","given":"Marc"},{"family":"Swindells","given":"Susan"},{"family":"Chaisson","given":"Richard E."}],"issued":{"date-parts":[["2021",5,6]]}}}],"schema":"https://github.com/citation-style-language/schema/raw/master/csl-citation.json"}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[22]</w:t>
            </w:r>
            <w:r>
              <w:rPr>
                <w:rFonts w:ascii="Times New Roman" w:hAnsi="Times New Roman" w:eastAsia="Times New Roman" w:cs="Times New Roman"/>
                <w:sz w:val="15"/>
                <w:szCs w:val="15"/>
              </w:rPr>
              <w:fldChar w:fldCharType="end"/>
            </w:r>
          </w:p>
        </w:tc>
      </w:tr>
      <w:tr w14:paraId="734A86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11362F06">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Natural mortality rate, annually</w:t>
            </w:r>
          </w:p>
        </w:tc>
        <w:tc>
          <w:tcPr>
            <w:tcW w:w="1134" w:type="dxa"/>
            <w:vAlign w:val="center"/>
          </w:tcPr>
          <w:p w14:paraId="66B6A529">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0.776%</w:t>
            </w:r>
          </w:p>
        </w:tc>
        <w:tc>
          <w:tcPr>
            <w:tcW w:w="1559" w:type="dxa"/>
            <w:vAlign w:val="center"/>
          </w:tcPr>
          <w:p w14:paraId="07EB07A4">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0.704%, 0.787%</w:t>
            </w:r>
          </w:p>
        </w:tc>
        <w:tc>
          <w:tcPr>
            <w:tcW w:w="2363" w:type="dxa"/>
            <w:vAlign w:val="center"/>
          </w:tcPr>
          <w:p w14:paraId="5E90C7B6">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202</w:t>
            </w:r>
            <w:r>
              <w:rPr>
                <w:rFonts w:hint="eastAsia" w:ascii="Times New Roman" w:hAnsi="Times New Roman" w:cs="Times New Roman"/>
                <w:sz w:val="15"/>
                <w:szCs w:val="15"/>
              </w:rPr>
              <w:t>5</w:t>
            </w:r>
            <w:r>
              <w:rPr>
                <w:rFonts w:ascii="Times New Roman" w:hAnsi="Times New Roman" w:eastAsia="Times New Roman" w:cs="Times New Roman"/>
                <w:sz w:val="15"/>
                <w:szCs w:val="15"/>
              </w:rPr>
              <w:t xml:space="preserve"> China Population and Employment Statistics Yearbook</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{"citationID":"OD3BIF12","properties":{"unsorted":false,"formattedCitation":"\\super [23]\\nosupersub{}","plainCitation":"[23]","noteIndex":0},"citationItems":[{"id":716,"uris":["http://zotero.org/users/17236044/items/LDZ9DRY4"],"itemData":{"id":716,"type":"report","publisher":"China Statistics Pres","publisher-place":"Beijing","title":"2025 China Population and Employment Statistical Yearbook","author":[{"literal":"Department of Population and Employment Statistics, National Bureau of Statistics"}],"issued":{"date-parts":[["2025"]]}}}],"schema":"https://github.com/citation-style-language/schema/raw/master/csl-citation.json"}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[23]</w:t>
            </w:r>
            <w:r>
              <w:rPr>
                <w:rFonts w:ascii="Times New Roman" w:hAnsi="Times New Roman" w:eastAsia="Times New Roman" w:cs="Times New Roman"/>
                <w:sz w:val="15"/>
                <w:szCs w:val="15"/>
              </w:rPr>
              <w:fldChar w:fldCharType="end"/>
            </w:r>
          </w:p>
        </w:tc>
      </w:tr>
      <w:tr w14:paraId="0605A6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0D1ABAF5">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 xml:space="preserve">Annual probability of progression from untreated LTBI to </w:t>
            </w:r>
            <w:r>
              <w:rPr>
                <w:rFonts w:hint="eastAsia" w:ascii="Times New Roman" w:hAnsi="Times New Roman" w:cs="Times New Roman"/>
                <w:sz w:val="15"/>
                <w:szCs w:val="15"/>
              </w:rPr>
              <w:t>a</w:t>
            </w:r>
            <w:r>
              <w:rPr>
                <w:rFonts w:ascii="Times New Roman" w:hAnsi="Times New Roman" w:eastAsia="Times New Roman" w:cs="Times New Roman"/>
                <w:sz w:val="15"/>
                <w:szCs w:val="15"/>
              </w:rPr>
              <w:t>TB</w:t>
            </w:r>
          </w:p>
        </w:tc>
        <w:tc>
          <w:tcPr>
            <w:tcW w:w="1134" w:type="dxa"/>
            <w:vAlign w:val="center"/>
          </w:tcPr>
          <w:p w14:paraId="558309F7">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3.90%</w:t>
            </w:r>
          </w:p>
        </w:tc>
        <w:tc>
          <w:tcPr>
            <w:tcW w:w="1559" w:type="dxa"/>
            <w:vAlign w:val="center"/>
          </w:tcPr>
          <w:p w14:paraId="1F223514">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1.00%, 9.52%</w:t>
            </w:r>
          </w:p>
        </w:tc>
        <w:tc>
          <w:tcPr>
            <w:tcW w:w="2363" w:type="dxa"/>
            <w:vAlign w:val="center"/>
          </w:tcPr>
          <w:p w14:paraId="7E5B0CC4">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Horton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{"citationID":"ejpvjAvY","properties":{"unsorted":false,"formattedCitation":"\\super [24]\\nosupersub{}","plainCitation":"[24]","noteIndex":0},"citationItems":[{"id":717,"uris":["http://zotero.org/users/17236044/items/CNX24DRM"],"itemData":{"id":717,"type":"article-journal","abstract":"Traditional understanding of the risk of progression from Mycobacterium tuberculosis (Mtb) infection to tuberculosis (TB) overlooks diverse presentations  across a spectrum of disease. We developed a deterministic model of Mtb infection  and minimal (pathological damage but not infectious), subclinical (infectious but  no reported symptoms), and clinical (infectious and symptomatic) TB, informed by  a rigorous evaluation of data from a systematic review of TB natural history.  Using a Bayesian approach, we calibrated the model to data from historical  cohorts that followed tuberculin-negative individuals to tuberculin conversion  and TB, as well as data from cohorts that followed progression and regression  between disease states, disease state prevalence ratios, disease duration, and  mortality. We estimated incidence, pathways, and 10-y outcomes following Mtb  infection for a simulated cohort. Then, 92.0% (95% uncertainty interval, UI, 91.4  to 92.5) of individuals self-cleared within 10 y of infection, while 7.9% (95% UI  7.4 to 8.5) progressed to TB. Of those, 68.6% (95% UI 65.4 to 72.0) developed  infectious disease, and 33.2% (95% UI 29.9 to 36.4) progressed to clinical  disease. While 98% of progression to minimal disease occurred within 2 y of  infection, only 71% and 44% of subclinical and clinical disease, respectively,  occurred within this period. Multiple progression pathways from infection were  necessary to calibrate the model and 49.5% (95% UI 45.6 to 53.7) of those who  developed infectious disease undulated between disease states. We identified  heterogeneous pathways across disease states after Mtb infection, highlighting  the need for clearly defined disease thresholds to inform more effective  prevention and treatment efforts to end TB.","container-title":"Proceedings of The National Academy Of Sciences Of The United States Of America","DOI":"10.1073/pnas.2221186120","ISSN":"1091-6490 0027-8424","issue":"47","journalAbbreviation":"Proc Natl Acad Sci U S A","language":"eng","note":"JCR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综合性期刊</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9.5\n5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10.6\n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A","page":"e2221186120","PMID":"37963250","PMCID":"PMC10666121","publisher-place":"United States","title":"Reevaluating progression and pathways following mycobacterium tuberculosis infection within the spectrum of tuberculosis.","volume":"120","author":[{"family":"Horton","given":"Katherine C."},{"family":"Richards","given":"Alexandra S."},{"family":"Emery","given":"Jon C."},{"family":"Esmail","given":"Hanif"},{"family":"Houben","given":"Rein M. G. J."}],"issued":{"date-parts":[["2023",11,21]]}}}],"schema":"https://github.com/citation-style-language/schema/raw/master/csl-citation.json"}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[24]</w:t>
            </w:r>
            <w:r>
              <w:rPr>
                <w:rFonts w:ascii="Times New Roman" w:hAnsi="Times New Roman" w:eastAsia="Times New Roman" w:cs="Times New Roman"/>
                <w:sz w:val="15"/>
                <w:szCs w:val="15"/>
              </w:rPr>
              <w:fldChar w:fldCharType="end"/>
            </w:r>
          </w:p>
        </w:tc>
      </w:tr>
      <w:tr w14:paraId="078AC9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21D15A8A">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 xml:space="preserve">Annual probability of progression from untreated LTBI to </w:t>
            </w:r>
            <w:r>
              <w:rPr>
                <w:rFonts w:hint="eastAsia" w:ascii="Times New Roman" w:hAnsi="Times New Roman" w:eastAsia="宋体" w:cs="Times New Roman"/>
                <w:sz w:val="15"/>
                <w:szCs w:val="15"/>
              </w:rPr>
              <w:t>sTB</w:t>
            </w:r>
            <w:r>
              <w:rPr>
                <w:rFonts w:ascii="Times New Roman" w:hAnsi="Times New Roman" w:eastAsia="Times New Roman" w:cs="Times New Roman"/>
                <w:sz w:val="15"/>
                <w:szCs w:val="15"/>
              </w:rPr>
              <w:t xml:space="preserve"> within the first 2 years</w:t>
            </w:r>
          </w:p>
        </w:tc>
        <w:tc>
          <w:tcPr>
            <w:tcW w:w="1134" w:type="dxa"/>
            <w:vAlign w:val="center"/>
          </w:tcPr>
          <w:p w14:paraId="778B1208">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2.50%</w:t>
            </w:r>
          </w:p>
        </w:tc>
        <w:tc>
          <w:tcPr>
            <w:tcW w:w="1559" w:type="dxa"/>
            <w:vAlign w:val="center"/>
          </w:tcPr>
          <w:p w14:paraId="2D3FBC10">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1.00%, 5.00%</w:t>
            </w:r>
          </w:p>
        </w:tc>
        <w:tc>
          <w:tcPr>
            <w:tcW w:w="2363" w:type="dxa"/>
            <w:vAlign w:val="center"/>
          </w:tcPr>
          <w:p w14:paraId="011E6EBC">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Trauer</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{"citationID":"S9FchJOc","properties":{"unsorted":false,"formattedCitation":"\\super [25]\\nosupersub{}","plainCitation":"[25]","noteIndex":0},"citationItems":[{"id":718,"uris":["http://zotero.org/users/17236044/items/IKLXI7SK"],"itemData":{"id":718,"type":"article-journal","abstract":"BACKGROUND: It is often stated that the lifetime risk of developing active TB after an index infection is 5% to 10%, one-half of which accrues in the 2 to 5  years following infection. The goal of this study was to determine whether such  estimates are consistent with local programmatic data. METHODS: This study  included close contacts of individuals with active pulmonary TB notified in the  Australian state of Victoria from January 1, 2005, to December 31, 2013, who we  deemed to have been infected as a result of their exposure. Survival analysis was  first performed on the assumption of complete follow-up through to the end of the  study period. The analysis was then repeated with imputation of censorship for  migration, death, and preventive treatment, using local mortality and migration  data combined with programmatic data on the administration of preventive therapy.  RESULTS: Of 613 infected close contacts, 67 (10.9%) developed active TB during  the study period. Assuming complete follow-up, the 1,650-day cumulative hazard  was 11.5% (95% CI, 8.9-14.1). With imputation of censorship for death, migration,  and preventive therapy, the median 1,650-day cumulative hazard over 10,000  simulations was 14.5% (95% CI, 11.1-17.9). Most risk accrued in the first 5  months after infection, and risk was greatest in the group aged &lt; 5 years,  reaching 56.0% with imputation, but it was also elevated in older children (27.6%  in the group aged 5-14 years). CONCLUSIONS: The risk of active TB following  infection is several-fold higher than traditionally accepted estimates, and it is  particularly high immediately following infection and in children.","container-title":"Chest","DOI":"10.1016/j.chest.2015.11.017","ISSN":"1931-3543 0012-3692","issue":"2","journalAbbreviation":"Chest","language":"eng","license":"Copyright © 2016 American College of Chest Physicians. Published by Elsevier Inc. All rights reserved.","note":"JCR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9.8\n5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10.1\n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A","page":"516-525","PMID":"26867835","publisher-place":"United States","title":"Risk of active tuberculosis in the five years following infection . . . 15%?","volume":"149","author":[{"family":"Trauer","given":"James M."},{"family":"Moyo","given":"Nompilo"},{"family":"Tay","given":"Ee-Laine"},{"family":"Dale","given":"Katie"},{"family":"Ragonnet","given":"Romain"},{"family":"McBryde","given":"Emma S."},{"family":"Denholm","given":"Justin T."}],"issued":{"date-parts":[["2016",2]]}}}],"schema":"https://github.com/citation-style-language/schema/raw/master/csl-citation.json"}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[25]</w:t>
            </w:r>
            <w:r>
              <w:rPr>
                <w:rFonts w:ascii="Times New Roman" w:hAnsi="Times New Roman" w:eastAsia="Times New Roman" w:cs="Times New Roman"/>
                <w:sz w:val="15"/>
                <w:szCs w:val="15"/>
              </w:rPr>
              <w:fldChar w:fldCharType="end"/>
            </w:r>
          </w:p>
        </w:tc>
      </w:tr>
      <w:tr w14:paraId="1724EC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7257D433">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 xml:space="preserve">Annual probability of progression from untreated LTBI to </w:t>
            </w:r>
            <w:r>
              <w:rPr>
                <w:rFonts w:hint="eastAsia" w:ascii="Times New Roman" w:hAnsi="Times New Roman" w:eastAsia="宋体" w:cs="Times New Roman"/>
                <w:sz w:val="15"/>
                <w:szCs w:val="15"/>
              </w:rPr>
              <w:t>sTB</w:t>
            </w:r>
            <w:r>
              <w:rPr>
                <w:rFonts w:ascii="Times New Roman" w:hAnsi="Times New Roman" w:eastAsia="Times New Roman" w:cs="Times New Roman"/>
                <w:sz w:val="15"/>
                <w:szCs w:val="15"/>
              </w:rPr>
              <w:t xml:space="preserve"> after 2 years</w:t>
            </w:r>
          </w:p>
        </w:tc>
        <w:tc>
          <w:tcPr>
            <w:tcW w:w="1134" w:type="dxa"/>
            <w:vAlign w:val="center"/>
          </w:tcPr>
          <w:p w14:paraId="2E748B19">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0.10%</w:t>
            </w:r>
          </w:p>
        </w:tc>
        <w:tc>
          <w:tcPr>
            <w:tcW w:w="1559" w:type="dxa"/>
            <w:vAlign w:val="center"/>
          </w:tcPr>
          <w:p w14:paraId="480902CB">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0.05%, 0.20%</w:t>
            </w:r>
          </w:p>
        </w:tc>
        <w:tc>
          <w:tcPr>
            <w:tcW w:w="2363" w:type="dxa"/>
            <w:vAlign w:val="center"/>
          </w:tcPr>
          <w:p w14:paraId="1CBCEEE1">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Horsburgh</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{"citationID":"besJ2cNC","properties":{"unsorted":false,"formattedCitation":"\\super [26]\\nosupersub{}","plainCitation":"[26]","noteIndex":0},"citationItems":[{"id":719,"uris":["http://zotero.org/users/17236044/items/2TSHU7D3"],"itemData":{"id":719,"type":"article-journal","abstract":"BACKGROUND: The prevention of active tuberculosis through the treatment of latent tuberculosis infection is a major element of the national strategy for  eliminating tuberculosis in the United States. Targeted treatment for persons who  are at the highest risk for reactivation tuberculosis will be needed to achieve  this goal. A more precise assessment of the lifetime risk of reactivation  tuberculosis, usually estimated at 5 to 10 percent, could help to identify  patients who are at the highest risk and motivate them to complete treatment.  Currently, the rate of completion of treatment is low. METHODS: Published reports  were reviewed to obtain estimates of the risk of tuberculosis among persons with  a positive tuberculin skin test. Using these data, I constructed a model to  estimate the lifetime risk of tuberculosis among persons with specific medical  conditions. RESULTS: The lifetime risk of reactivation tuberculosis is 20 percent  or more among most persons with induration of 10 mm or more on a tuberculin skin  test and either human immunodeficiency virus infection or evidence of old, healed  tuberculosis. The lifetime risk is 10 to 20 percent among persons with recent  conversion of a tuberculin skin test and among most persons younger than 35 years  of age who are receiving infliximab therapy and have induration of 15 mm or more  on a tuberculin skin test. The risk is also 10 to 20 percent among children five  years of age or younger who have induration of 10 mm or more on a tuberculin skin  test. CONCLUSIONS: Persons with these characteristics should be targeted for  intensive efforts to ensure full treatment of latent tuberculosis. Improved rates  of completion of treatment among such persons could help to eliminate  tuberculosis in the United States.","container-title":"The New England Journal of Medicine","DOI":"10.1056/NEJMsa031667","ISSN":"1533-4406 0028-4793","issue":"20","journalAbbreviation":"N Engl J Med","language":"eng","license":"Copyright 2004 Massachusetts Medical Society","note":"JCR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84.5\n5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86.6","page":"2060-2067","PMID":"15141044","publisher-place":"United States","title":"Priorities for the treatment of latent tuberculosis infection in the united states.","volume":"350","author":[{"family":"Horsburgh","given":"C. Robert Jr"}],"issued":{"date-parts":[["2004",5,13]]}}}],"schema":"https://github.com/citation-style-language/schema/raw/master/csl-citation.json"}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[26]</w:t>
            </w:r>
            <w:r>
              <w:rPr>
                <w:rFonts w:ascii="Times New Roman" w:hAnsi="Times New Roman" w:eastAsia="Times New Roman" w:cs="Times New Roman"/>
                <w:sz w:val="15"/>
                <w:szCs w:val="15"/>
              </w:rPr>
              <w:fldChar w:fldCharType="end"/>
            </w:r>
          </w:p>
        </w:tc>
      </w:tr>
      <w:tr w14:paraId="1212E5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7E7EBA07">
            <w:pPr>
              <w:adjustRightInd w:val="0"/>
              <w:snapToGrid w:val="0"/>
              <w:ind w:left="172" w:leftChars="82"/>
              <w:jc w:val="left"/>
              <w:rPr>
                <w:rFonts w:ascii="Times New Roman" w:hAnsi="Times New Roman" w:cs="Times New Roman"/>
                <w:sz w:val="15"/>
                <w:szCs w:val="15"/>
              </w:rPr>
            </w:pPr>
            <w:r>
              <w:rPr>
                <w:rFonts w:hint="eastAsia" w:ascii="Times New Roman" w:hAnsi="Times New Roman" w:cs="Times New Roman"/>
                <w:sz w:val="15"/>
                <w:szCs w:val="15"/>
              </w:rPr>
              <w:t>P</w:t>
            </w:r>
            <w:r>
              <w:rPr>
                <w:rFonts w:ascii="Times New Roman" w:hAnsi="Times New Roman" w:eastAsia="Times New Roman" w:cs="Times New Roman"/>
                <w:sz w:val="15"/>
                <w:szCs w:val="15"/>
              </w:rPr>
              <w:t xml:space="preserve">robability of completed 3H₂P₂ in reducing progression to </w:t>
            </w:r>
            <w:r>
              <w:rPr>
                <w:rFonts w:hint="eastAsia" w:ascii="Times New Roman" w:hAnsi="Times New Roman" w:cs="Times New Roman"/>
                <w:sz w:val="15"/>
                <w:szCs w:val="15"/>
              </w:rPr>
              <w:t>tuberculosis</w:t>
            </w:r>
          </w:p>
        </w:tc>
        <w:tc>
          <w:tcPr>
            <w:tcW w:w="1134" w:type="dxa"/>
            <w:vAlign w:val="center"/>
          </w:tcPr>
          <w:p w14:paraId="5EB38C50">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97.5%</w:t>
            </w:r>
          </w:p>
        </w:tc>
        <w:tc>
          <w:tcPr>
            <w:tcW w:w="1559" w:type="dxa"/>
            <w:vAlign w:val="center"/>
          </w:tcPr>
          <w:p w14:paraId="291AB6F3">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72.0%, 100.0%</w:t>
            </w:r>
          </w:p>
        </w:tc>
        <w:tc>
          <w:tcPr>
            <w:tcW w:w="2363" w:type="dxa"/>
            <w:vAlign w:val="center"/>
          </w:tcPr>
          <w:p w14:paraId="00E9529C">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Sterling</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{"citationID":"hkWL46mq","properties":{"unsorted":false,"formattedCitation":"\\super [27]\\nosupersub{}","plainCitation":"[27]","noteIndex":0},"citationItems":[{"id":625,"uris":["http://zotero.org/users/17236044/items/D658ZEDQ"],"itemData":{"id":625,"type":"article-journal","abstract":"BACKGROUND: Treatment of latent Mycobacterium tuberculosis infection is an essential component of tuberculosis control and elimination. The current standard  regimen of isoniazid for 9 months is efficacious but is limited by toxicity and  low rates of treatment completion. METHODS: We conducted an open-label,  randomized noninferiority trial comparing 3 months of directly observed  once-weekly therapy with rifapentine (900 mg) plus isoniazid (900 mg)  (combination-therapy group) with 9 months of self-administered daily isoniazid  (300 mg) (isoniazid-only group) in subjects at high risk for tuberculosis.  Subjects were enrolled from the United States, Canada, Brazil, and Spain and  followed for 33 months. The primary end point was confirmed tuberculosis, and the  noninferiority margin was 0.75%. RESULTS: In the modified intention-to-treat  analysis, tuberculosis developed in 7 of 3986 subjects in the combination-therapy  group (cumulative rate, 0.19%) and in 15 of 3745 subjects in the isoniazid-only  group (cumulative rate, 0.43%), for a difference of 0.24 percentage points. Rates  of treatment completion were 82.1% in the combination-therapy group and 69.0% in  the isoniazid-only group (P&lt;0.001). Rates of permanent drug discontinuation owing  to an adverse event were 4.9% in the combination-therapy group and 3.7% in the  isoniazid-only group (P=0.009). Rates of investigator-assessed drug-related  hepatotoxicity were 0.4% and 2.7%, respectively (P&lt;0.001). CONCLUSIONS: The use  of rifapentine plus isoniazid for 3 months was as effective as 9 months of  isoniazid alone in preventing tuberculosis and had a higher treatment-completion  rate. Long-term safety monitoring will be important. (Funded by the Centers for  Disease Control and Prevention; PREVENT TB ClinicalTrials.gov number,  NCT00023452.).","container-title":"The New England journal of medicine","DOI":"10.1056/NEJMoa1104875","ISSN":"1533-4406 0028-4793","issue":"23","journalAbbreviation":"N Engl J Med","language":"eng","note":"publisher-place: United States\nJCR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78.5\n5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84.9","page":"2155-2166","PMID":"22150035","title":"Three months of rifapentine and isoniazid for latent tuberculosis infection.","volume":"365","author":[{"family":"Sterling","given":"Timothy R."},{"family":"Villarino","given":"M. Elsa"},{"family":"Borisov","given":"Andrey S."},{"family":"Shang","given":"Nong"},{"family":"Gordin","given":"Fred"},{"family":"Bliven-Sizemore","given":"Erin"},{"family":"Hackman","given":"Judith"},{"family":"Hamilton","given":"Carol Dukes"},{"family":"Menzies","given":"Dick"},{"family":"Kerrigan","given":"Amy"},{"family":"Weis","given":"Stephen E."},{"family":"Weiner","given":"Marc"},{"family":"Wing","given":"Diane"},{"family":"Conde","given":"Marcus B."},{"family":"Bozeman","given":"Lorna"},{"family":"Horsburgh","given":"C. Robert Jr"},{"family":"Chaisson","given":"Richard E."}],"issued":{"date-parts":[["2011",12,8]]}}}],"schema":"https://github.com/citation-style-language/schema/raw/master/csl-citation.json"}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[27]</w:t>
            </w:r>
            <w:r>
              <w:rPr>
                <w:rFonts w:ascii="Times New Roman" w:hAnsi="Times New Roman" w:eastAsia="Times New Roman" w:cs="Times New Roman"/>
                <w:sz w:val="15"/>
                <w:szCs w:val="15"/>
              </w:rPr>
              <w:fldChar w:fldCharType="end"/>
            </w:r>
            <w:r>
              <w:rPr>
                <w:rFonts w:hint="eastAsia" w:ascii="Times New Roman" w:hAnsi="Times New Roman" w:cs="Times New Roman"/>
                <w:sz w:val="15"/>
                <w:szCs w:val="15"/>
              </w:rPr>
              <w:t xml:space="preserve">, </w:t>
            </w:r>
            <w:r>
              <w:rPr>
                <w:rFonts w:ascii="Times New Roman" w:hAnsi="Times New Roman" w:cs="Times New Roman"/>
                <w:sz w:val="15"/>
                <w:szCs w:val="15"/>
              </w:rPr>
              <w:t>Belknap</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{"citationID":"k9aQeMeG","properties":{"unsorted":false,"formattedCitation":"\\super [28]\\nosupersub{}","plainCitation":"[28]","noteIndex":0},"citationItems":[{"id":149,"uris":["http://zotero.org/users/17236044/items/CC9PME6C"],"itemData":{"id":149,"type":"article-journal","abstract":"BACKGROUND: Expanding latent tuberculosis treatment is important to decrease active disease globally. Once-weekly isoniazid and rifapentine for 12 doses is  effective but limited by requiring direct observation. OBJECTIVE: To compare  treatment completion and safety of once-weekly isoniazid and rifapentine by  self-administration versus direct observation. DESIGN: An open-label, phase 4  randomized clinical trial designed as a noninferiority study with a 15% margin.  Seventy-five percent or more of study patients were enrolled from the United  States for a prespecified subgroup analysis. (ClinicalTrials.gov: NCT01582711).  SETTING: Outpatient tuberculosis clinics in the United States, Spain, </w:instrText>
            </w:r>
            <w:r>
              <w:rPr>
                <w:rFonts w:hint="eastAsia" w:ascii="Times New Roman" w:hAnsi="Times New Roman" w:cs="Times New Roman"/>
                <w:sz w:val="15"/>
                <w:szCs w:val="15"/>
              </w:rPr>
              <w:instrText xml:space="preserve">Hong Kong,  and South Africa. PARTICIPANTS: 1002 adults (aged ≥18 years) recommended for  treatment of latent tuberculosis infection. INTERVENTION: Participants received  once-weekly isoniazid and rifapentine by direct observation, self-administration  wi</w:instrText>
            </w:r>
            <w:r>
              <w:rPr>
                <w:rFonts w:ascii="Times New Roman" w:hAnsi="Times New Roman" w:cs="Times New Roman"/>
                <w:sz w:val="15"/>
                <w:szCs w:val="15"/>
              </w:rPr>
              <w:instrText xml:space="preserve">th monthly monitoring, or self-administration with weekly text message  reminders and monthly monitoring. MEASUREMENTS: The primary outcome was treatment  completion, defined as 11 or more doses within 16 weeks and measured using  clinical documentation and pill counts for direct observation, and self-reports,  pill counts, and medication event-monitoring devices for self-administration. The  main secondary outcome was adverse events. RESULTS: Median age was 36 years, 48%  of participants were women, and 77% were enrolled at the U.S. sites. Treatment  completion was 87.2% (95% CI, 83.1% to 90.5%) in the direct-observation group,  74.0% (CI, 68.9% to 78.6%) in the self-administration group, and 76.4% (CI, 71.3%  to 80.8%) in the self-administration-with-reminders group. In the United States,  treatment completion was 85.4% (CI, 80.4% to 89.4%), 77.9% (CI, 72.7% to 82.6%),  and 76.7% (CI, 70.9% to 81.7%), respectively. Self-administered therapy without  reminders was noninferior to direct observation in the United States; no other  comparisons met noninferiority criteria. A few drug-related adverse events  occurred and were similar across groups. LIMITATION: Persons with latent  tuberculosis infection enrolled in South Africa would not routinely be treated  programmatically. CONCLUSION: These results support using self-administered,  once-weekly isoniazid and rifapentine to treat latent tuberculosis infection in  the United States, and such treatment could be considered in similar settings  when direct observation is not feasible. PRIMARY FUNDING SOURCE: Centers for  Disease Control and Prevention.","container-title":"Annals of internal medicine","DOI":"10.7326/M17-1150","ISSN":"1539-3704 0003-4819","issue":"10","journalAbbreviation":"Ann Intern Med","langu</w:instrText>
            </w:r>
            <w:r>
              <w:rPr>
                <w:rFonts w:hint="eastAsia" w:ascii="Times New Roman" w:hAnsi="Times New Roman" w:cs="Times New Roman"/>
                <w:sz w:val="15"/>
                <w:szCs w:val="15"/>
              </w:rPr>
              <w:instrText xml:space="preserve">age":"eng","note":"publisher-place: United States\nJCR分区: Q1\n中科院分区升级版: 医学1区\n影响因子: 19.6\n5年影响因子: 28.8\n南农高质量: A","page":"689-697","PMID":"29114781","PMCID":"PMC5766341","title":"Self-administered versus directly observed once-weekly isoniazid and rifapen</w:instrText>
            </w:r>
            <w:r>
              <w:rPr>
                <w:rFonts w:ascii="Times New Roman" w:hAnsi="Times New Roman" w:cs="Times New Roman"/>
                <w:sz w:val="15"/>
                <w:szCs w:val="15"/>
              </w:rPr>
              <w:instrText xml:space="preserve">tine treatment of latent tuberculosis infection: A randomized trial.","volume":"167","author":[{"family":"Belknap","given":"Robert"},{"family":"Holland","given":"David"},{"family":"Feng","given":"Pei-Jean"},{"family":"Millet","given":"Joan-Pau"},{"family":"Caylà","given":"Joan A."},{"family":"Martinson","given":"Neil A."},{"family":"Wright","given":"Alicia"},{"family":"Chen","given":"Michael P."},{"family":"Moro","given":"Ruth N."},{"family":"Scott","given":"Nigel A."},{"family":"Arevalo","given":"Bert"},{"family":"Miró","given":"José M."},{"family":"Villarino","given":"Margarita E."},{"family":"Weiner","given":"Marc"},{"family":"Borisov","given":"Andrey S."}],"issued":{"date-parts":[["2017",11,21]]}}}],"schema":"https://github.com/citation-style-language/schema/raw/master/csl-citation.json"}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[28]</w:t>
            </w:r>
            <w:r>
              <w:rPr>
                <w:rFonts w:ascii="Times New Roman" w:hAnsi="Times New Roman" w:cs="Times New Roman"/>
                <w:sz w:val="15"/>
                <w:szCs w:val="15"/>
              </w:rPr>
              <w:fldChar w:fldCharType="end"/>
            </w:r>
          </w:p>
        </w:tc>
      </w:tr>
      <w:tr w14:paraId="1DD053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79F51D0F">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 xml:space="preserve">Efficacy of incomplete 3H₂P₂ in reducing progression to </w:t>
            </w:r>
            <w:r>
              <w:rPr>
                <w:rFonts w:hint="eastAsia" w:ascii="Times New Roman" w:hAnsi="Times New Roman" w:cs="Times New Roman"/>
                <w:sz w:val="15"/>
                <w:szCs w:val="15"/>
              </w:rPr>
              <w:t>tuberculosis</w:t>
            </w:r>
          </w:p>
        </w:tc>
        <w:tc>
          <w:tcPr>
            <w:tcW w:w="1134" w:type="dxa"/>
            <w:vAlign w:val="center"/>
          </w:tcPr>
          <w:p w14:paraId="4B68C7B7">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48.0%</w:t>
            </w:r>
          </w:p>
        </w:tc>
        <w:tc>
          <w:tcPr>
            <w:tcW w:w="1559" w:type="dxa"/>
            <w:vAlign w:val="center"/>
          </w:tcPr>
          <w:p w14:paraId="0DC29212">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30.0%, 52.0%</w:t>
            </w:r>
          </w:p>
        </w:tc>
        <w:tc>
          <w:tcPr>
            <w:tcW w:w="2363" w:type="dxa"/>
            <w:vAlign w:val="center"/>
          </w:tcPr>
          <w:p w14:paraId="7C6A872A">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Holland</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{"citationID":"PT0D4HvW","properties":{"unsorted":false,"formattedCitation":"\\super [29]\\nosupersub{}","plainCitation":"[29]","noteIndex":0},"citationItems":[{"id":391,"uris":["http://zotero.org/users/17236044/items/PMZXCDII"],"itemData":{"id":391,"type":"article-journal","abstract":"RATIONALE: Isoniazid given daily for 9 months is the standard treatment for latent tuberculosis infection (LTBI), but its effectiveness is limited by poor  completion rates. Shorter course regimens and regimens using directly observed  therapy result in improved adherence but have higher upfront costs. OBJECTIVES:  To evaluate the costs and cost-effectiveness of regimens for the treatment of  LTBI. METHODS: We used a computerized Markov model to estimate total societal  costs and benefits associated with four regimens for the treatment of LTBI:  self-administered isoniazid daily for 9 months, directly observed isoniazid  twice-weekly for 9 months, directly observed isoniazid plus rifapentine once  weekly for 3 months, and self-administered rifampin daily for 4 months. In the  base-case analysis, subjects were assumed to have newly positive tuberculin skin  tests after recent exposure to infectious tuberculosis. MEASUREMENTS AND MAIN  RESULTS: We determined the costs of treatment, quality-adjusted life-years  gained, and cases of active tuberculosis prevented. In the base-case analysis,  rifampin dominated (less costly with increased benefits) all other regimens  except isoniazid plus rifapentine, which was more effective at a cost $48,997 per  quality-adjusted life year gained. Isoniazid plus rifapentine dominated all  regimens at a relative risk of disease 5.2 times the baseline estimate, or with  completion rates less than 34% for isoniazid or 37% for rifampin. Rifampin could  be 17% less efficacious than self-administered isoniazid and still be cost-saving  compared with this regimen. CONCLUSIONS: In our model, rifampin is cost-saving  compared with the standard therapy of self-administered isoniazid. Isoniazid plus  rifapentine is cost-saving for extremely high-risk patients and is cost-effective  for lower-risk patients.","container-title":"American journal of respiratory and critical care medicine","DOI":"10.1164/rccm.200901-0153OC","ISSN":"1535-4970 1073-449X","issue":"11","journalAbbreviation":"Am J Respir Crit Care Med","language":"eng","note":"publisher-place: United States\nJCR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19.3\n5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20.0\n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A","page":"1055-1060","PMID":"19299495","PMCID":"PMC2689913","source":"DOI.org (Crossref)","title":"Costs and cost-effectiveness of four treatment regimens for latent tuberculosis infection.","volume":"179","author":[{"family":"Holland","given":"David P."},{"family":"Sanders","given":"Gillian D."},{"family":"Hamilton","given":"Carol D."},{"family":"Stout","given":"Jason E."}],"issued":{"date-parts":[["2009",6,1]]}}}],"schema":"https://github.com/citation-style-language/schema/raw/master/csl-citation.json"}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[29]</w:t>
            </w:r>
            <w:r>
              <w:rPr>
                <w:rFonts w:ascii="Times New Roman" w:hAnsi="Times New Roman" w:eastAsia="Times New Roman" w:cs="Times New Roman"/>
                <w:sz w:val="15"/>
                <w:szCs w:val="15"/>
              </w:rPr>
              <w:fldChar w:fldCharType="end"/>
            </w:r>
            <w:r>
              <w:rPr>
                <w:rFonts w:hint="eastAsia" w:ascii="Times New Roman" w:hAnsi="Times New Roman" w:cs="Times New Roman"/>
                <w:sz w:val="15"/>
                <w:szCs w:val="15"/>
              </w:rPr>
              <w:t xml:space="preserve">, </w:t>
            </w:r>
            <w:r>
              <w:rPr>
                <w:rFonts w:ascii="Times New Roman" w:hAnsi="Times New Roman" w:cs="Times New Roman"/>
                <w:sz w:val="15"/>
                <w:szCs w:val="15"/>
              </w:rPr>
              <w:t>Doan</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{"citationID":"od9qMvZ6","properties":{"unsorted":false,"formattedCitation":"\\super [30]\\nosupersub{}","plainCitation":"[30]","noteIndex":0},"citationItems":[{"id":455,"uris":["http://zotero.org/users/17236044/items/T3UGATYX"],"itemData":{"id":455,"type":"article-journal","abstract":"Background: Latent tuberculosis infection (LTBI) is a critical driver of the global burden of active TB, and therefore LTBI treatment is key for TB elimination. Treatment regimens for LTBI include self-administered daily isoniazid for 6 (6H) or 9 (9H) months, self-administered daily rifampicin plus isoniazid for 3 months (3RH), selfadministered daily rifampicin for 4 months (4R) and weekly rifapentine plus isoniazid for 3 months self-administered (3HP-SAT) or administered by a healthcare worker as directly observed therapy (3HP-DOT). Data on the relative cost-effectiveness of these regimens are needed to assist policymakers and clinicians in selecting an LTBI regimen.\nObjectives: To evaluate the cost-effectiveness of all regimens for treating LTBI.\nMethods: We developed a Markov model to investigate the cost-effectiveness of 3HP-DOT, 3HP-SAT, 4R, 3RH, 9H and 6H for LTBI treatment in a cohort of 10000 adults with LTBI. Cost-effectiveness was evaluated from a health system perspective over a 20 year time horizon.\nResults: Compared with no preventive treatment, 3HP-DOT, 3HP-SAT, 4R, 3RH, 9H and 6H prevented 496, 470, 442, 418, 370 and 276 additional cases of active TB per 10000 patients, respectively. All regimens reduced costs and increased QALYs compared with no preventive treatment. 3HP was more cost-effective under DOT than under SAT at a cost of US$27948 per QALY gained.\nConclusions: Three months of weekly rifapentine plus isoniazid is more cost-effective than other regimens. Greater recognition of the beneﬁts of short-course regimens can contribute to the scale-up of prevention and achieving the ‘End TB’ targets.","container-title":"Journal of Antimicrobial Chemotherapy","DOI":"10.1093/jac/dky403","ISSN":"0305-7453, 1460-2091","issue":"1","language":"en","license":"https://academic.oup.com/journals/pages/open_access/funder_policies/chorus/standard_publication_model","page":"218-227","source":"DOI.org (Crossref)","title":"Cost-effectiveness of 3 months of weekly rifapentine and isoniazid compared with other standard treatment regimens for latent tuberculosis infection: A decision analysis study","title-short":"Cost-effectiveness of 3 months of weekly rifapentine and isoniazid compared with other standard treatment regimens for latent tuberculosis infection","volume":"74","author":[{"family":"Doan","given":"Tan N"},{"family":"Fox","given":"Greg J"},{"family":"Meehan","given":"Michael T"},{"family":"Scott","given":"Nick"},{"family":"Ragonnet","given":"Romain"},{"family":"Viney","given":"Kerri"},{"family":"Trauer","given":"James M"},{"family":"McBryde","given":"Emma S"}],"issued":{"date-parts":[["2019",1,1]]}}}],"schema":"https://github.com/citation-style-language/schema/raw/master/csl-citation.json"}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[30]</w:t>
            </w:r>
            <w:r>
              <w:rPr>
                <w:rFonts w:ascii="Times New Roman" w:hAnsi="Times New Roman" w:cs="Times New Roman"/>
                <w:sz w:val="15"/>
                <w:szCs w:val="15"/>
              </w:rPr>
              <w:fldChar w:fldCharType="end"/>
            </w:r>
          </w:p>
        </w:tc>
      </w:tr>
      <w:tr w14:paraId="45FBFF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5C13444E">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Probability of LTBI clearance after completion of preventive treatment</w:t>
            </w:r>
          </w:p>
        </w:tc>
        <w:tc>
          <w:tcPr>
            <w:tcW w:w="1134" w:type="dxa"/>
            <w:vAlign w:val="center"/>
          </w:tcPr>
          <w:p w14:paraId="6A303A34">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96.9%</w:t>
            </w:r>
          </w:p>
        </w:tc>
        <w:tc>
          <w:tcPr>
            <w:tcW w:w="1559" w:type="dxa"/>
            <w:vAlign w:val="center"/>
          </w:tcPr>
          <w:p w14:paraId="5735BCDF">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94.6%, 100.0%</w:t>
            </w:r>
          </w:p>
        </w:tc>
        <w:tc>
          <w:tcPr>
            <w:tcW w:w="2363" w:type="dxa"/>
            <w:vAlign w:val="center"/>
          </w:tcPr>
          <w:p w14:paraId="439BAB00">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Horton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{"citationID":"T5HEXuD8","properties":{"unsorted":false,"formattedCitation":"\\super [24]\\nosupersub{}","plainCitation":"[24]","noteIndex":0},"citationItems":[{"id":717,"uris":["http://zotero.org/users/17236044/items/CNX24DRM"],"itemData":{"id":717,"type":"article-journal","abstract":"Traditional understanding of the risk of progression from Mycobacterium tuberculosis (Mtb) infection to tuberculosis (TB) overlooks diverse presentations  across a spectrum of disease. We developed a deterministic model of Mtb infection  and minimal (pathological damage but not infectious), subclinical (infectious but  no reported symptoms), and clinical (infectious and symptomatic) TB, informed by  a rigorous evaluation of data from a systematic review of TB natural history.  Using a Bayesian approach, we calibrated the model to data from historical  cohorts that followed tuberculin-negative individuals to tuberculin conversion  and TB, as well as data from cohorts that followed progression and regression  between disease states, disease state prevalence ratios, disease duration, and  mortality. We estimated incidence, pathways, and 10-y outcomes following Mtb  infection for a simulated cohort. Then, 92.0% (95% uncertainty interval, UI, 91.4  to 92.5) of individuals self-cleared within 10 y of infection, while 7.9% (95% UI  7.4 to 8.5) progressed to TB. Of those, 68.6% (95% UI 65.4 to 72.0) developed  infectious disease, and 33.2% (95% UI 29.9 to 36.4) progressed to clinical  disease. While 98% of progression to minimal disease occurred within 2 y of  infection, only 71% and 44% of subclinical and clinical disease, respectively,  occurred within this period. Multiple progression pathways from infection were  necessary to calibrate the model and 49.5% (95% UI 45.6 to 53.7) of those who  developed infectious disease undulated between disease states. We identified  heterogeneous pathways across disease states after Mtb infection, highlighting  the need for clearly defined disease thresholds to inform more effective  prevention and treatment efforts to end TB.","container-title":"Proceedings of The National Academy Of Sciences Of The United States Of America","DOI":"10.1073/pnas.2221186120","ISSN":"1091-6490 0027-8424","issue":"47","journalAbbreviation":"Proc Natl Acad Sci U S A","language":"eng","note":"JCR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综合性期刊</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9.5\n5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10.6\n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A","page":"e2221186120","PMID":"37963250","PMCID":"PMC10666121","publisher-place":"United States","title":"Reevaluating progression and pathways following mycobacterium tuberculosis infection within the spectrum of tuberculosis.","volume":"120","author":[{"family":"Horton","given":"Katherine C."},{"family":"Richards","given":"Alexandra S."},{"family":"Emery","given":"Jon C."},{"family":"Esmail","given":"Hanif"},{"family":"Houben","given":"Rein M. G. J."}],"issued":{"date-parts":[["2023",11,21]]}}}],"schema":"https://github.com/citation-style-language/schema/raw/master/csl-citation.json"}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[24]</w:t>
            </w:r>
            <w:r>
              <w:rPr>
                <w:rFonts w:ascii="Times New Roman" w:hAnsi="Times New Roman" w:eastAsia="Times New Roman" w:cs="Times New Roman"/>
                <w:sz w:val="15"/>
                <w:szCs w:val="15"/>
              </w:rPr>
              <w:fldChar w:fldCharType="end"/>
            </w:r>
            <w:r>
              <w:rPr>
                <w:rFonts w:hint="eastAsia" w:ascii="Times New Roman" w:hAnsi="Times New Roman" w:cs="Times New Roman"/>
                <w:sz w:val="15"/>
                <w:szCs w:val="15"/>
              </w:rPr>
              <w:t xml:space="preserve">, </w:t>
            </w:r>
            <w:r>
              <w:rPr>
                <w:rFonts w:ascii="Times New Roman" w:hAnsi="Times New Roman" w:cs="Times New Roman"/>
                <w:sz w:val="15"/>
                <w:szCs w:val="15"/>
              </w:rPr>
              <w:t>Sterling</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{"citationID":"xM5wTR7n","properties":{"unsorted":false,"formattedCitation":"\\super [27]\\nosupersub{}","plainCitation":"[27]","noteIndex":0},"citationItems":[{"id":625,"uris":["http://zotero.org/users/17236044/items/D658ZEDQ"],"itemData":{"id":625,"type":"article-journal","abstract":"BACKGROUND: Treatment of latent Mycobacterium tuberculosis infection is an essential component of tuberculosis control and elimination. The current standard  regimen of isoniazid for 9 months is efficacious but is limited by toxicity and  low rates of treatment completion. METHODS: We conducted an open-label,  randomized noninferiority trial comparing 3 months of directly observed  once-weekly therapy with rifapentine (900 mg) plus isoniazid (900 mg)  (combination-therapy group) with 9 months of self-administered daily isoniazid  (300 mg) (isoniazid-only group) in subjects at high risk for tuberculosis.  Subjects were enrolled from the United States, Canada, Brazil, and Spain and  followed for 33 months. The primary end point was confirmed tuberculosis, and the  noninferiority margin was 0.75%. RESULTS: In the modified intention-to-treat  analysis, tuberculosis developed in 7 of 3986 subjects in the combination-therapy  group (cumulative rate, 0.19%) and in 15 of 3745 subjects in the isoniazid-only  group (cumulative rate, 0.43%), for a difference of 0.24 percentage points. Rates  of treatment completion were 82.1% in the combination-therapy group and 69.0% in  the isoniazid-only group (P&lt;0.001). Rates of permanent drug discontinuation owing  to an adverse event were 4.9% in the combination-therapy group and 3.7% in the  isoniazid-only group (P=0.009). Rates of investigator-assessed drug-related  hepatotoxicity were 0.4% and 2.7%, respectively (P&lt;0.001). CONCLUSIONS: The use  of rifapentine plus isoniazid for 3 months was as effective as 9 months of  isoniazid alone in preventing tuberculosis and had a higher treatment-completion  rate. Long-term safety monitoring will be important. (Funded by the Centers for  Disease Control and Prevention; PREVENT TB ClinicalTrials.gov number,  NCT00023452.).","container-title":"The New England journal of medicine","DOI":"10.1056/NEJMoa1104875","ISSN":"1533-4406 0028-4793","issue":"23","journalAbbreviation"</w:instrText>
            </w:r>
            <w:r>
              <w:rPr>
                <w:rFonts w:hint="eastAsia" w:ascii="Times New Roman" w:hAnsi="Times New Roman" w:cs="Times New Roman"/>
                <w:sz w:val="15"/>
                <w:szCs w:val="15"/>
              </w:rPr>
              <w:instrText xml:space="preserve">:"N Engl J Med","language":"eng","note":"publisher-place: United States\nJCR分区: Q1\n中科院分区升级版: 医学1区\n影响因子: 78.5\n5年影响因子: 84.9","page":"2155-2166","PMID":"22150035","title":"Three months of rifapentine and isoniazid for latent tuberculosis infection.","volu</w:instrText>
            </w:r>
            <w:r>
              <w:rPr>
                <w:rFonts w:ascii="Times New Roman" w:hAnsi="Times New Roman" w:cs="Times New Roman"/>
                <w:sz w:val="15"/>
                <w:szCs w:val="15"/>
              </w:rPr>
              <w:instrText xml:space="preserve">me":"365","author":[{"family":"Sterling","given":"Timothy R."},{"family":"Villarino","given":"M. Elsa"},{"family":"Borisov","given":"Andrey S."},{"family":"Shang","given":"Nong"},{"family":"Gordin","given":"Fred"},{"family":"Bliven-Sizemore","given":"Erin"},{"family":"Hackman","given":"Judith"},{"family":"Hamilton","given":"Carol Dukes"},{"family":"Menzies","given":"Dick"},{"family":"Kerrigan","given":"Amy"},{"family":"Weis","given":"Stephen E."},{"family":"Weiner","given":"Marc"},{"family":"Wing","given":"Diane"},{"family":"Conde","given":"Marcus B."},{"family":"Bozeman","given":"Lorna"},{"family":"Horsburgh","given":"C. Robert Jr"},{"family":"Chaisson","given":"Richard E."}],"issued":{"date-parts":[["2011",12,8]]}}}],"schema":"https://github.com/citation-style-language/schema/raw/master/csl-citation.json"}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[27]</w:t>
            </w:r>
            <w:r>
              <w:rPr>
                <w:rFonts w:ascii="Times New Roman" w:hAnsi="Times New Roman" w:cs="Times New Roman"/>
                <w:sz w:val="15"/>
                <w:szCs w:val="15"/>
              </w:rPr>
              <w:fldChar w:fldCharType="end"/>
            </w:r>
            <w:r>
              <w:rPr>
                <w:rFonts w:hint="eastAsia" w:ascii="Times New Roman" w:hAnsi="Times New Roman" w:cs="Times New Roman"/>
                <w:sz w:val="15"/>
                <w:szCs w:val="15"/>
              </w:rPr>
              <w:t xml:space="preserve">, </w:t>
            </w:r>
            <w:r>
              <w:rPr>
                <w:rFonts w:ascii="Times New Roman" w:hAnsi="Times New Roman" w:cs="Times New Roman"/>
                <w:sz w:val="15"/>
                <w:szCs w:val="15"/>
              </w:rPr>
              <w:t>Belknap</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{"citationID":"bMC1TN97","properties":{"unsorted":false,"formattedCitation":"\\super [28]\\nosupersub{}","plainCitation":"[28]","noteIndex":0},"citationItems":[{"id":149,"uris":["http://zotero.org/users/17236044/items/CC9PME6C"],"itemData":{"id":149,"type":"article-journal","abstract":"BACKGROUND: Expanding latent tuberculosis treatment is important to decrease active disease globally. Once-weekly isoniazid and rifapentine for 12 doses is  effective but limited by requiring direct observation. OBJECTIVE: To compare  treatment completion and safety of once-weekly isoniazid and rifapentine by  self-administration versus direct observation. DESIGN: An open-label, phase 4  randomized clinical trial designed as a noninferiority study with a 15% margin.  Seventy-five percent or more of study patients were enrolled from the United  States for a prespecified subgroup analysis. (ClinicalTrials.gov: NCT01582711).  SETTING: Outpatient tuberculosis clinics in the United States, Spain, </w:instrText>
            </w:r>
            <w:r>
              <w:rPr>
                <w:rFonts w:hint="eastAsia" w:ascii="Times New Roman" w:hAnsi="Times New Roman" w:cs="Times New Roman"/>
                <w:sz w:val="15"/>
                <w:szCs w:val="15"/>
              </w:rPr>
              <w:instrText xml:space="preserve">Hong Kong,  and South Africa. PARTICIPANTS: 1002 adults (aged ≥18 years) recommended for  treatment of latent tuberculosis infection. INTERVENTION: Participants received  once-weekly isoniazid and rifapentine by direct observation, self-administration  wi</w:instrText>
            </w:r>
            <w:r>
              <w:rPr>
                <w:rFonts w:ascii="Times New Roman" w:hAnsi="Times New Roman" w:cs="Times New Roman"/>
                <w:sz w:val="15"/>
                <w:szCs w:val="15"/>
              </w:rPr>
              <w:instrText xml:space="preserve">th monthly monitoring, or self-administration with weekly text message  reminders and monthly monitoring. MEASUREMENTS: The primary outcome was treatment  completion, defined as 11 or more doses within 16 weeks and measured using  clinical documentation and pill counts for direct observation, and self-reports,  pill counts, and medication event-monitoring devices for self-administration. The  main secondary outcome was adverse events. RESULTS: Median age was 36 years, 48%  of participants were women, and 77% were enrolled at the U.S. sites. Treatment  completion was 87.2% (95% CI, 83.1% to 90.5%) in the direct-observation group,  74.0% (CI, 68.9% to 78.6%) in the self-administration group, and 76.4% (CI, 71.3%  to 80.8%) in the self-administration-with-reminders group. In the United States,  treatment completion was 85.4% (CI, 80.4% to 89.4%), 77.9% (CI, 72.7% to 82.6%),  and 76.7% (CI, 70.9% to 81.7%), respectively. Self-administered therapy without  reminders was noninferior to direct observation in the United States; no other  comparisons met noninferiority criteria. A few drug-related adverse events  occurred and were similar across groups. LIMITATION: Persons with latent  tuberculosis infection enrolled in South Africa would not routinely be treated  programmatically. CONCLUSION: These results support using self-administered,  once-weekly isoniazid and rifapentine to treat latent tuberculosis infection in  the United States, and such treatment could be considered in similar settings  when direct observation is not feasible. PRIMARY FUNDING SOURCE: Centers for  Disease Control and Prevention.","container-title":"Annals of internal medicine","DOI":"10.7326/M17-1150","ISSN":"1539-3704 0003-4819","issue":"10","journalAbbreviation":"Ann Intern Med","langu</w:instrText>
            </w:r>
            <w:r>
              <w:rPr>
                <w:rFonts w:hint="eastAsia" w:ascii="Times New Roman" w:hAnsi="Times New Roman" w:cs="Times New Roman"/>
                <w:sz w:val="15"/>
                <w:szCs w:val="15"/>
              </w:rPr>
              <w:instrText xml:space="preserve">age":"eng","note":"publisher-place: United States\nJCR分区: Q1\n中科院分区升级版: 医学1区\n影响因子: 19.6\n5年影响因子: 28.8\n南农高质量: A","page":"689-697","PMID":"29114781","PMCID":"PMC5766341","title":"Self-administered versus directly observed once-weekly isoniazid and rifapen</w:instrText>
            </w:r>
            <w:r>
              <w:rPr>
                <w:rFonts w:ascii="Times New Roman" w:hAnsi="Times New Roman" w:cs="Times New Roman"/>
                <w:sz w:val="15"/>
                <w:szCs w:val="15"/>
              </w:rPr>
              <w:instrText xml:space="preserve">tine treatment of latent tuberculosis infection: A randomized trial.","volume":"167","author":[{"family":"Belknap","given":"Robert"},{"family":"Holland","given":"David"},{"family":"Feng","given":"Pei-Jean"},{"family":"Millet","given":"Joan-Pau"},{"family":"Caylà","given":"Joan A."},{"family":"Martinson","given":"Neil A."},{"family":"Wright","given":"Alicia"},{"family":"Chen","given":"Michael P."},{"family":"Moro","given":"Ruth N."},{"family":"Scott","given":"Nigel A."},{"family":"Arevalo","given":"Bert"},{"family":"Miró","given":"José M."},{"family":"Villarino","given":"Margarita E."},{"family":"Weiner","given":"Marc"},{"family":"Borisov","given":"Andrey S."}],"issued":{"date-parts":[["2017",11,21]]}}}],"schema":"https://github.com/citation-style-language/schema/raw/master/csl-citation.json"}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[28]</w:t>
            </w:r>
            <w:r>
              <w:rPr>
                <w:rFonts w:ascii="Times New Roman" w:hAnsi="Times New Roman" w:cs="Times New Roman"/>
                <w:sz w:val="15"/>
                <w:szCs w:val="15"/>
              </w:rPr>
              <w:fldChar w:fldCharType="end"/>
            </w:r>
          </w:p>
        </w:tc>
      </w:tr>
      <w:tr w14:paraId="5E87AD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6F8E95E0">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Probability of LTBI clearance after non-completion of preventive treatment</w:t>
            </w:r>
          </w:p>
        </w:tc>
        <w:tc>
          <w:tcPr>
            <w:tcW w:w="1134" w:type="dxa"/>
            <w:vAlign w:val="center"/>
          </w:tcPr>
          <w:p w14:paraId="4C18B69F">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84.0%</w:t>
            </w:r>
          </w:p>
        </w:tc>
        <w:tc>
          <w:tcPr>
            <w:tcW w:w="1559" w:type="dxa"/>
            <w:vAlign w:val="center"/>
          </w:tcPr>
          <w:p w14:paraId="6B22E287">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60.0%, 96.0%</w:t>
            </w:r>
          </w:p>
        </w:tc>
        <w:tc>
          <w:tcPr>
            <w:tcW w:w="2363" w:type="dxa"/>
            <w:vAlign w:val="center"/>
          </w:tcPr>
          <w:p w14:paraId="34593D0B">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Horton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{"citationID":"UcYbwgna","properties":{"unsorted":false,"formattedCitation":"\\super [24]\\nosupersub{}","plainCitation":"[24]","noteIndex":0},"citationItems":[{"id":717,"uris":["http://zotero.org/users/17236044/items/CNX24DRM"],"itemData":{"id":717,"type":"article-journal","abstract":"Traditional understanding of the risk of progression from Mycobacterium tuberculosis (Mtb) infection to tuberculosis (TB) overlooks diverse presentations  across a spectrum of disease. We developed a deterministic model of Mtb infection  and minimal (pathological damage but not infectious), subclinical (infectious but  no reported symptoms), and clinical (infectious and symptomatic) TB, informed by  a rigorous evaluation of data from a systematic review of TB natural history.  Using a Bayesian approach, we calibrated the model to data from historical  cohorts that followed tuberculin-negative individuals to tuberculin conversion  and TB, as well as data from cohorts that followed progression and regression  between disease states, disease state prevalence ratios, disease duration, and  mortality. We estimated incidence, pathways, and 10-y outcomes following Mtb  infection for a simulated cohort. Then, 92.0% (95% uncertainty interval, UI, 91.4  to 92.5) of individuals self-cleared within 10 y of infection, while 7.9% (95% UI  7.4 to 8.5) progressed to TB. Of those, 68.6% (95% UI 65.4 to 72.0) developed  infectious disease, and 33.2% (95% UI 29.9 to 36.4) progressed to clinical  disease. While 98% of progression to minimal disease occurred within 2 y of  infection, only 71% and 44% of subclinical and clinical disease, respectively,  occurred within this period. Multiple progression pathways from infection were  necessary to calibrate the model and 49.5% (95% UI 45.6 to 53.7) of those who  developed infectious disease undulated between disease states. We identified  heterogeneous pathways across disease states after Mtb infection, highlighting  the need for clearly defined disease thresholds to inform more effective  prevention and treatment efforts to end TB.","container-title":"Proceedings of The National Academy Of Sciences Of The United States Of America","DOI":"10.1073/pnas.2221186120","ISSN":"1091-6490 0027-8424","issue":"47","journalAbbreviation":"Proc Natl Acad Sci U S A","language":"eng","note":"JCR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综合性期刊</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9.5\n5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10.6\n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A","page":"e2221186120","PMID":"37963250","PMCID":"PMC10666121","publisher-place":"United States","title":"Reevaluating progression and pathways following mycobacterium tuberculosis infection within the spectrum of tuberculosis.","volume":"120","author":[{"family":"Horton","given":"Katherine C."},{"family":"Richards","given":"Alexandra S."},{"family":"Emery","given":"Jon C."},{"family":"Esmail","given":"Hanif"},{"family":"Houben","given":"Rein M. G. J."}],"issued":{"date-parts":[["2023",11,21]]}}}],"schema":"https://github.com/citation-style-language/schema/raw/master/csl-citation.json"}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[24]</w:t>
            </w:r>
            <w:r>
              <w:rPr>
                <w:rFonts w:ascii="Times New Roman" w:hAnsi="Times New Roman" w:eastAsia="Times New Roman" w:cs="Times New Roman"/>
                <w:sz w:val="15"/>
                <w:szCs w:val="15"/>
              </w:rPr>
              <w:fldChar w:fldCharType="end"/>
            </w:r>
          </w:p>
        </w:tc>
      </w:tr>
      <w:tr w14:paraId="105C19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161163A8">
            <w:pPr>
              <w:adjustRightInd w:val="0"/>
              <w:snapToGrid w:val="0"/>
              <w:ind w:left="172" w:leftChars="82"/>
              <w:jc w:val="left"/>
              <w:rPr>
                <w:rFonts w:ascii="Times New Roman" w:hAnsi="Times New Roman" w:eastAsia="宋体" w:cs="Times New Roman"/>
                <w:sz w:val="15"/>
                <w:szCs w:val="15"/>
              </w:rPr>
            </w:pPr>
            <w:r>
              <w:rPr>
                <w:rFonts w:ascii="Times New Roman" w:hAnsi="Times New Roman" w:eastAsia="Times New Roman" w:cs="Times New Roman"/>
                <w:sz w:val="15"/>
                <w:szCs w:val="15"/>
              </w:rPr>
              <w:t xml:space="preserve">Probability of progression from aTB to </w:t>
            </w:r>
            <w:r>
              <w:rPr>
                <w:rFonts w:hint="eastAsia" w:ascii="Times New Roman" w:hAnsi="Times New Roman" w:eastAsia="宋体" w:cs="Times New Roman"/>
                <w:sz w:val="15"/>
                <w:szCs w:val="15"/>
              </w:rPr>
              <w:t>sTB</w:t>
            </w:r>
          </w:p>
        </w:tc>
        <w:tc>
          <w:tcPr>
            <w:tcW w:w="1134" w:type="dxa"/>
            <w:vAlign w:val="center"/>
          </w:tcPr>
          <w:p w14:paraId="3428EC57">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49.8%</w:t>
            </w:r>
          </w:p>
        </w:tc>
        <w:tc>
          <w:tcPr>
            <w:tcW w:w="1559" w:type="dxa"/>
            <w:vAlign w:val="center"/>
          </w:tcPr>
          <w:p w14:paraId="20FF83F3">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41.7%, 59.5%</w:t>
            </w:r>
          </w:p>
        </w:tc>
        <w:tc>
          <w:tcPr>
            <w:tcW w:w="2363" w:type="dxa"/>
            <w:vAlign w:val="center"/>
          </w:tcPr>
          <w:p w14:paraId="0575B98D">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Richards</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{"citationID":"uuIrRRb2","properties":{"unsorted":false,"formattedCitation":"\\super [31]\\nosupersub{}","plainCitation":"[31]","noteIndex":0},"citationItems":[{"id":446,"uris":["http://zotero.org/users/17236044/items/CH6GZF5K"],"itemData":{"id":446,"type":"article-journal","abstract":"BACKGROUND: Prevalence surveys show a substantial burden of subclinical (asymptomatic but infectious) tuberculosis, from which individuals can progress,  regress, or even persist in a chronic disease state. We aimed to quantify these  pathways across the spectrum of tuberculosis disease. METHODS: We created a  deterministic framework of untreated tuberculosis disease with progression and  regression between three states of pulmonary tuberculosis disease: minimal  (non-infectious), subclinical (asymptomatic but infectious), and clinical  (symptomatic and infectious). We obtained data from a previous systematic review  of prospective and retrospective studies that followed and recorded the disease  state of individuals with tuberculosis in a cohort without treatment. These data  were considered in a Bayesian framework, enabling quantitative estimation of  tuberculosis disease pathways with rates of transition between states and 95%  uncertainty intervals (UIs). FINDINGS: We included 22 studies with data from 5942  individuals in our analysis. Our model showed that after 5 years, 40% (95% UI  31·3-48·0) of individuals with prevalent subclinical disease at baseline recover  and 18% (13·3-24·0) die from tuberculosis, with 14% (9·9-19·2) still having  infectious disease, and the remainder with minimal disease at risk of  re-progression. Over 5 years, 50% (40·0-59·1) of individuals with subclinical  disease at baseline never develop symptoms. For those with clinical disease at  baseline, 46% (38·3-52·2) die and 20% (15·2-25·8) recover from tuberculosis, with  the remainder being in or transitioning between the three disease states after 5  years. We estimated the 10-year mortality of people with untreated prevalent  infectious tuberculosis to be 37% (30·5-45·4). INTERPRETATION: For people with  subclinical tuberculosis, classic clinical disease is neither an inevitable nor  an irreversible outcome. As such, reliance on symptom-based screening means a  large proportion of people with infectious disease might never be detected.  FUNDING: TB Modelling and Analysis Consortium and European Research Council.","container-title":"The Lancet. Global health","DOI":"10.1016/S2214-109X(23)00082-7","ISSN":"2214-109X","issue":"5","journalAbbreviation":"Lancet Glob Health","language":"eng","license":"Copyright © 2023 The Author(s). Published by Elsevier Ltd. This is an Open Access article under the CC BY 4.0 license. Published by Elsevier Ltd.. All rights  reserved.","note":"publisher-place: England\nJCR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18.0\n5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23.5","page":"e684-e692","PMID":"36966785","PMCID":"PMC10126316","source":"DOI.org (Crossref)","title":"Quantifying progression and regression across the spectrum of pulmonary tuberculosis: A data synthesis study.","title-short":"Quantifying progression and regression across the spectrum of pulmonary tuberculosis","volume":"11","author":[{"family":"Richards","given":"Alexandra S."},{"family":"Sossen","given":"Bianca"},{"family":"Emery","given":"Jon C."},{"family":"Horton","given":"Katherine C."},{"family":"Heinsohn","given":"Torben"},{"family":"Frascella","given":"Beatrice"},{"family":"Balzarini","given":"Federica"},{"family":"Oradini-Alacreu","given":"Aurea"},{"family":"Häcker","given":"Brit"},{"family":"Odone","given":"Anna"},{"family":"McCreesh","given":"Nicky"},{"family":"Grant","given":"Alison D."},{"family":"Kranzer","given":"Katharina"},{"family":"Cobelens","given":"Frank"},{"family":"Esmail","given":"Hanif"},{"family":"Houben","given":"Rein M. G. J."}],"issued":{"date-parts":[["2023",5]]}}}],"schema":"https://github.com/citation-style-language/schema/raw/master/csl-citation.json"}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[31]</w:t>
            </w:r>
            <w:r>
              <w:rPr>
                <w:rFonts w:ascii="Times New Roman" w:hAnsi="Times New Roman" w:eastAsia="Times New Roman" w:cs="Times New Roman"/>
                <w:sz w:val="15"/>
                <w:szCs w:val="15"/>
              </w:rPr>
              <w:fldChar w:fldCharType="end"/>
            </w:r>
          </w:p>
        </w:tc>
      </w:tr>
      <w:tr w14:paraId="50A388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384B6E6A">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Probability of spontaneous recovery from aTB</w:t>
            </w:r>
          </w:p>
        </w:tc>
        <w:tc>
          <w:tcPr>
            <w:tcW w:w="1134" w:type="dxa"/>
            <w:vAlign w:val="center"/>
          </w:tcPr>
          <w:p w14:paraId="40D79859">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12.8%</w:t>
            </w:r>
          </w:p>
        </w:tc>
        <w:tc>
          <w:tcPr>
            <w:tcW w:w="1559" w:type="dxa"/>
            <w:vAlign w:val="center"/>
          </w:tcPr>
          <w:p w14:paraId="29FC5EE2">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9.0%, 17.6%</w:t>
            </w:r>
          </w:p>
        </w:tc>
        <w:tc>
          <w:tcPr>
            <w:tcW w:w="2363" w:type="dxa"/>
            <w:vAlign w:val="center"/>
          </w:tcPr>
          <w:p w14:paraId="51D0C1B1">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Horton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{"citationID":"ZUmiIsUv","properties":{"unsorted":false,"formattedCitation":"\\super [24]\\nosupersub{}","plainCitation":"[24]","noteIndex":0},"citationItems":[{"id":717,"uris":["http://zotero.org/users/17236044/items/CNX24DRM"],"itemData":{"id":717,"type":"article-journal","abstract":"Traditional understanding of the risk of progression from Mycobacterium tuberculosis (Mtb) infection to tuberculosis (TB) overlooks diverse presentations  across a spectrum of disease. We developed a deterministic model of Mtb infection  and minimal (pathological damage but not infectious), subclinical (infectious but  no reported symptoms), and clinical (infectious and symptomatic) TB, informed by  a rigorous evaluation of data from a systematic review of TB natural history.  Using a Bayesian approach, we calibrated the model to data from historical  cohorts that followed tuberculin-negative individuals to tuberculin conversion  and TB, as well as data from cohorts that followed progression and regression  between disease states, disease state prevalence ratios, disease duration, and  mortality. We estimated incidence, pathways, and 10-y outcomes following Mtb  infection for a simulated cohort. Then, 92.0% (95% uncertainty interval, UI, 91.4  to 92.5) of individuals self-cleared within 10 y of infection, while 7.9% (95% UI  7.4 to 8.5) progressed to TB. Of those, 68.6% (95% UI 65.4 to 72.0) developed  infectious disease, and 33.2% (95% UI 29.9 to 36.4) progressed to clinical  disease. While 98% of progression to minimal disease occurred within 2 y of  infection, only 71% and 44% of subclinical and clinical disease, respectively,  occurred within this period. Multiple progression pathways from infection were  necessary to calibrate the model and 49.5% (95% UI 45.6 to 53.7) of those who  developed infectious disease undulated between disease states. We identified  heterogeneous pathways across disease states after Mtb infection, highlighting  the need for clearly defined disease thresholds to inform more effective  prevention and treatment efforts to end TB.","container-title":"Proceedings of The National Academy Of Sciences Of The United States Of America","DOI":"10.1073/pnas.2221186120","ISSN":"1091-6490 0027-8424","issue":"47","journalAbbreviation":"Proc Natl Acad Sci U S A","language":"eng","note":"JCR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综合性期刊</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9.5\n5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10.6\n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A","page":"e2221186120","PMID":"37963250","PMCID":"PMC10666121","publisher-place":"United States","title":"Reevaluating progression and pathways following mycobacterium tuberculosis infection within the spectrum of tuberculosis.","volume":"120","author":[{"family":"Horton","given":"Katherine C."},{"family":"Richards","given":"Alexandra S."},{"family":"Emery","given":"Jon C."},{"family":"Esmail","given":"Hanif"},{"family":"Houben","given":"Rein M. G. J."}],"issued":{"date-parts":[["2023",11,21]]}}}],"schema":"https://github.com/citation-style-language/schema/raw/master/csl-citation.json"}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[24]</w:t>
            </w:r>
            <w:r>
              <w:rPr>
                <w:rFonts w:ascii="Times New Roman" w:hAnsi="Times New Roman" w:eastAsia="Times New Roman" w:cs="Times New Roman"/>
                <w:sz w:val="15"/>
                <w:szCs w:val="15"/>
              </w:rPr>
              <w:fldChar w:fldCharType="end"/>
            </w:r>
            <w:r>
              <w:rPr>
                <w:rFonts w:hint="eastAsia" w:ascii="Times New Roman" w:hAnsi="Times New Roman" w:cs="Times New Roman"/>
                <w:sz w:val="15"/>
                <w:szCs w:val="15"/>
              </w:rPr>
              <w:t xml:space="preserve">, </w:t>
            </w:r>
            <w:r>
              <w:rPr>
                <w:rFonts w:ascii="Times New Roman" w:hAnsi="Times New Roman" w:eastAsia="Times New Roman" w:cs="Times New Roman"/>
                <w:sz w:val="15"/>
                <w:szCs w:val="15"/>
              </w:rPr>
              <w:t>Richards</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{"citationID":"gwjRZWgu","properties":{"unsorted":false,"formattedCitation":"\\super [31]\\nosupersub{}","plainCitation":"[31]","noteIndex":0},"citationItems":[{"id":446,"uris":["http://zotero.org/users/17236044/items/CH6GZF5K"],"itemData":{"id":446,"type":"article-journal","abstract":"BACKGROUND: Prevalence surveys show a substantial burden of subclinical (asymptomatic but infectious) tuberculosis, from which individuals can progress,  regress, or even persist in a chronic disease state. We aimed to quantify these  pathways across the spectrum of tuberculosis disease. METHODS: We created a  deterministic framework of untreated tuberculosis disease with progression and  regression between three states of pulmonary tuberculosis disease: minimal  (non-infectious), subclinical (asymptomatic but infectious), and clinical  (symptomatic and infectious). We obtained data from a previous systematic review  of prospective and retrospective studies that followed and recorded the disease  state of individuals with tuberculosis in a cohort without treatment. These data  were considered in a Bayesian framework, enabling quantitative estimation of  tuberculosis disease pathways with rates of transition between states and 95%  uncertainty intervals (UIs). FINDINGS: We included 22 studies with data from 5942  individuals in our analysis. Our model showed that after 5 years, 40% (95% UI  31·3-48·0) of individuals with prevalent subclinical disease at baseline recover  and 18% (13·3-24·0) die from tuberculosis, with 14% (9·9-19·2) still having  infectious disease, and the remainder with minimal disease at risk of  re-progression. Over 5 years, 50% (40·0-59·1) of individuals with subclinical  disease at baseline never develop symptoms. For those with clinical disease at  baseline, 46% (38·3-52·2) die and 20% (15·2-25·8) recover from tuberculosis, with  the remainder being in or transitioning between the three disease states after 5  years. We estimated the 10-year mortality of people with untreated prevalent  infectious tuberculosis to be 37% (30·5-45·4). INTERPRETATION: For people with  subclinical tuberculosis, classic clinical disease is neither an inevitable nor  an irreversible outcome. As such, reliance on symptom-based screening means a  large proportion of people with infectious disease might never be detected.  FUNDING: TB Modelling and Analysis Consortium and European Research Council.","container-title":"The Lancet. Global health","DOI":"10.1016/S2214-109X(23)00082-7","ISSN":"2214-109X","issue":"5","journalAbbreviation":"Lancet Glob Health","language":"eng","license":"Copyright © 2023 The Author(s). Published by Elsevier Ltd. This is an Open Access article under the CC BY 4.0 license. Published by Elsevier Ltd.. All rights  reserved.","note":"publisher-place: England\nJCR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18.0\n5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23.5","page":"e684-e692","PMID":"36966785","PMCID":"PMC10126316","source":"DOI.org (Crossref)","title":"Quantifying progression and regression across the spectrum of pulmonary tuberculosis: A data synthesis study.","title-short":"Quantifying progression and regression across the spectrum of pulmonary tuberculosis","volume":"11","author":[{"family":"Richards","given":"Alexandra S."},{"family":"Sossen","given":"Bianca"},{"family":"Emery","given":"Jon C."},{"family":"Horton","given":"Katherine C."},{"family":"Heinsohn","given":"Torben"},{"family":"Frascella","given":"Beatrice"},{"family":"Balzarini","given":"Federica"},{"family":"Oradini-Alacreu","given":"Aurea"},{"family":"Häcker","given":"Brit"},{"family":"Odone","given":"Anna"},{"family":"McCreesh","given":"Nicky"},{"family":"Grant","given":"Alison D."},{"family":"Kranzer","given":"Katharina"},{"family":"Cobelens","given":"Frank"},{"family":"Esmail","given":"Hanif"},{"family":"Houben","given":"Rein M. G. J."}],"issued":{"date-parts":[["2023",5]]}}}],"schema":"https://github.com/citation-style-language/schema/raw/master/csl-citation.json"}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[31]</w:t>
            </w:r>
            <w:r>
              <w:rPr>
                <w:rFonts w:ascii="Times New Roman" w:hAnsi="Times New Roman" w:eastAsia="Times New Roman" w:cs="Times New Roman"/>
                <w:sz w:val="15"/>
                <w:szCs w:val="15"/>
              </w:rPr>
              <w:fldChar w:fldCharType="end"/>
            </w:r>
          </w:p>
        </w:tc>
      </w:tr>
      <w:tr w14:paraId="76384A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2CCACB51">
            <w:pPr>
              <w:adjustRightInd w:val="0"/>
              <w:snapToGrid w:val="0"/>
              <w:ind w:left="172" w:leftChars="82"/>
              <w:jc w:val="left"/>
              <w:rPr>
                <w:rFonts w:ascii="Times New Roman" w:hAnsi="Times New Roman" w:eastAsia="宋体" w:cs="Times New Roman"/>
                <w:sz w:val="15"/>
                <w:szCs w:val="15"/>
              </w:rPr>
            </w:pPr>
            <w:r>
              <w:rPr>
                <w:rFonts w:ascii="Times New Roman" w:hAnsi="Times New Roman" w:eastAsia="Times New Roman" w:cs="Times New Roman"/>
                <w:sz w:val="15"/>
                <w:szCs w:val="15"/>
              </w:rPr>
              <w:t xml:space="preserve">Probability of spontaneous recovery from </w:t>
            </w:r>
            <w:r>
              <w:rPr>
                <w:rFonts w:hint="eastAsia" w:ascii="Times New Roman" w:hAnsi="Times New Roman" w:eastAsia="宋体" w:cs="Times New Roman"/>
                <w:sz w:val="15"/>
                <w:szCs w:val="15"/>
              </w:rPr>
              <w:t>sTB</w:t>
            </w:r>
          </w:p>
        </w:tc>
        <w:tc>
          <w:tcPr>
            <w:tcW w:w="1134" w:type="dxa"/>
            <w:vAlign w:val="center"/>
          </w:tcPr>
          <w:p w14:paraId="7AE6BCDC">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7.2%</w:t>
            </w:r>
          </w:p>
        </w:tc>
        <w:tc>
          <w:tcPr>
            <w:tcW w:w="1559" w:type="dxa"/>
            <w:vAlign w:val="center"/>
          </w:tcPr>
          <w:p w14:paraId="00E84D58">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4.7%, 10.5%</w:t>
            </w:r>
          </w:p>
        </w:tc>
        <w:tc>
          <w:tcPr>
            <w:tcW w:w="2363" w:type="dxa"/>
            <w:vAlign w:val="center"/>
          </w:tcPr>
          <w:p w14:paraId="6AEBE18A">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Horton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{"citationID":"Vj2mPjDt","properties":{"unsorted":false,"formattedCitation":"\\super [24]\\nosupersub{}","plainCitation":"[24]","noteIndex":0},"citationItems":[{"id":717,"uris":["http://zotero.org/users/17236044/items/CNX24DRM"],"itemData":{"id":717,"type":"article-journal","abstract":"Traditional understanding of the risk of progression from Mycobacterium tuberculosis (Mtb) infection to tuberculosis (TB) overlooks diverse presentations  across a spectrum of disease. We developed a deterministic model of Mtb infection  and minimal (pathological damage but not infectious), subclinical (infectious but  no reported symptoms), and clinical (infectious and symptomatic) TB, informed by  a rigorous evaluation of data from a systematic review of TB natural history.  Using a Bayesian approach, we calibrated the model to data from historical  cohorts that followed tuberculin-negative individuals to tuberculin conversion  and TB, as well as data from cohorts that followed progression and regression  between disease states, disease state prevalence ratios, disease duration, and  mortality. We estimated incidence, pathways, and 10-y outcomes following Mtb  infection for a simulated cohort. Then, 92.0% (95% uncertainty interval, UI, 91.4  to 92.5) of individuals self-cleared within 10 y of infection, while 7.9% (95% UI  7.4 to 8.5) progressed to TB. Of those, 68.6% (95% UI 65.4 to 72.0) developed  infectious disease, and 33.2% (95% UI 29.9 to 36.4) progressed to clinical  disease. While 98% of progression to minimal disease occurred within 2 y of  infection, only 71% and 44% of subclinical and clinical disease, respectively,  occurred within this period. Multiple progression pathways from infection were  necessary to calibrate the model and 49.5% (95% UI 45.6 to 53.7) of those who  developed infectious disease undulated between disease states. We identified  heterogeneous pathways across disease states after Mtb infection, highlighting  the need for clearly defined disease thresholds to inform more effective  prevention and treatment efforts to end TB.","container-title":"Proceedings of The National Academy Of Sciences Of The United States Of America","DOI":"10.1073/pnas.2221186120","ISSN":"1091-6490 0027-8424","issue":"47","journalAbbreviation":"Proc Natl Acad Sci U S A","language":"eng","note":"JCR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综合性期刊</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9.5\n5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10.6\n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A","page":"e2221186120","PMID":"37963250","PMCID":"PMC10666121","publisher-place":"United States","title":"Reevaluating progression and pathways following mycobacterium tuberculosis infection within the spectrum of tuberculosis.","volume":"120","author":[{"family":"Horton","given":"Katherine C."},{"family":"Richards","given":"Alexandra S."},{"family":"Emery","given":"Jon C."},{"family":"Esmail","given":"Hanif"},{"family":"Houben","given":"Rein M. G. J."}],"issued":{"date-parts":[["2023",11,21]]}}}],"schema":"https://github.com/citation-style-language/schema/raw/master/csl-citation.json"}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[24]</w:t>
            </w:r>
            <w:r>
              <w:rPr>
                <w:rFonts w:ascii="Times New Roman" w:hAnsi="Times New Roman" w:eastAsia="Times New Roman" w:cs="Times New Roman"/>
                <w:sz w:val="15"/>
                <w:szCs w:val="15"/>
              </w:rPr>
              <w:fldChar w:fldCharType="end"/>
            </w:r>
            <w:r>
              <w:rPr>
                <w:rFonts w:hint="eastAsia" w:ascii="Times New Roman" w:hAnsi="Times New Roman" w:cs="Times New Roman"/>
                <w:sz w:val="15"/>
                <w:szCs w:val="15"/>
              </w:rPr>
              <w:t xml:space="preserve">, </w:t>
            </w:r>
            <w:r>
              <w:rPr>
                <w:rFonts w:ascii="Times New Roman" w:hAnsi="Times New Roman" w:eastAsia="Times New Roman" w:cs="Times New Roman"/>
                <w:sz w:val="15"/>
                <w:szCs w:val="15"/>
              </w:rPr>
              <w:t>Richards</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{"citationID":"elvaHtRU","properties":{"unsorted":false,"formattedCitation":"\\super [31]\\nosupersub{}","plainCitation":"[31]","noteIndex":0},"citationItems":[{"id":446,"uris":["http://zotero.org/users/17236044/items/CH6GZF5K"],"itemData":{"id":446,"type":"article-journal","abstract":"BACKGROUND: Prevalence surveys show a substantial burden of subclinical (asymptomatic but infectious) tuberculosis, from which individuals can progress,  regress, or even persist in a chronic disease state. We aimed to quantify these  pathways across the spectrum of tuberculosis disease. METHODS: We created a  deterministic framework of untreated tuberculosis disease with progression and  regression between three states of pulmonary tuberculosis disease: minimal  (non-infectious), subclinical (asymptomatic but infectious), and clinical  (symptomatic and infectious). We obtained data from a previous systematic review  of prospective and retrospective studies that followed and recorded the disease  state of individuals with tuberculosis in a cohort without treatment. These data  were considered in a Bayesian framework, enabling quantitative estimation of  tuberculosis disease pathways with rates of transition between states and 95%  uncertainty intervals (UIs). FINDINGS: We included 22 studies with data from 5942  individuals in our analysis. Our model showed that after 5 years, 40% (95% UI  31·3-48·0) of individuals with prevalent subclinical disease at baseline recover  and 18% (13·3-24·0) die from tuberculosis, with 14% (9·9-19·2) still having  infectious disease, and the remainder with minimal disease at risk of  re-progression. Over 5 years, 50% (40·0-59·1) of individuals with subclinical  disease at baseline never develop symptoms. For those with clinical disease at  baseline, 46% (38·3-52·2) die and 20% (15·2-25·8) recover from tuberculosis, with  the remainder being in or transitioning between the three disease states after 5  years. We estimated the 10-year mortality of people with untreated prevalent  infectious tuberculosis to be 37% (30·5-45·4). INTERPRETATION: For people with  subclinical tuberculosis, classic clinical disease is neither an inevitable nor  an irreversible outcome. As such, reliance on symptom-based screening means a  large proportion of people with infectious disease might never be detected.  FUNDING: TB Modelling and Analysis Consortium and European Research Council.","container-title":"The Lancet. Global health","DOI":"10.1016/S2214-109X(23)00082-7","ISSN":"2214-109X","issue":"5","journalAbbreviation":"Lancet Glob Health","language":"eng","license":"Copyright © 2023 The Author(s). Published by Elsevier Ltd. This is an Open Access article under the CC BY 4.0 license. Published by Elsevier Ltd.. All rights  reserved.","note":"publisher-place: England\nJCR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18.0\n5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23.5","page":"e684-e692","PMID":"36966785","PMCID":"PMC10126316","source":"DOI.org (Crossref)","title":"Quantifying progression and regression across the spectrum of pulmonary tuberculosis: A data synthesis study.","title-short":"Quantifying progression and regression across the spectrum of pulmonary tuberculosis","volume":"11","author":[{"family":"Richards","given":"Alexandra S."},{"family":"Sossen","given":"Bianca"},{"family":"Emery","given":"Jon C."},{"family":"Horton","given":"Katherine C."},{"family":"Heinsohn","given":"Torben"},{"family":"Frascella","given":"Beatrice"},{"family":"Balzarini","given":"Federica"},{"family":"Oradini-Alacreu","given":"Aurea"},{"family":"Häcker","given":"Brit"},{"family":"Odone","given":"Anna"},{"family":"McCreesh","given":"Nicky"},{"family":"Grant","given":"Alison D."},{"family":"Kranzer","given":"Katharina"},{"family":"Cobelens","given":"Frank"},{"family":"Esmail","given":"Hanif"},{"family":"Houben","given":"Rein M. G. J."}],"issued":{"date-parts":[["2023",5]]}}}],"schema":"https://github.com/citation-style-language/schema/raw/master/csl-citation.json"}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[31]</w:t>
            </w:r>
            <w:r>
              <w:rPr>
                <w:rFonts w:ascii="Times New Roman" w:hAnsi="Times New Roman" w:eastAsia="Times New Roman" w:cs="Times New Roman"/>
                <w:sz w:val="15"/>
                <w:szCs w:val="15"/>
              </w:rPr>
              <w:fldChar w:fldCharType="end"/>
            </w:r>
          </w:p>
        </w:tc>
      </w:tr>
      <w:tr w14:paraId="50C318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6886F87C">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 xml:space="preserve">Probability of death among treated </w:t>
            </w:r>
            <w:r>
              <w:rPr>
                <w:rFonts w:hint="eastAsia" w:ascii="Times New Roman" w:hAnsi="Times New Roman" w:eastAsia="宋体" w:cs="Times New Roman"/>
                <w:sz w:val="15"/>
                <w:szCs w:val="15"/>
              </w:rPr>
              <w:t>sTB/aTB</w:t>
            </w:r>
            <w:r>
              <w:rPr>
                <w:rFonts w:ascii="Times New Roman" w:hAnsi="Times New Roman" w:eastAsia="Times New Roman" w:cs="Times New Roman"/>
                <w:sz w:val="15"/>
                <w:szCs w:val="15"/>
              </w:rPr>
              <w:t xml:space="preserve"> patients</w:t>
            </w:r>
          </w:p>
        </w:tc>
        <w:tc>
          <w:tcPr>
            <w:tcW w:w="1134" w:type="dxa"/>
            <w:vAlign w:val="center"/>
          </w:tcPr>
          <w:p w14:paraId="1CF793C7">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4.0%</w:t>
            </w:r>
          </w:p>
        </w:tc>
        <w:tc>
          <w:tcPr>
            <w:tcW w:w="1559" w:type="dxa"/>
            <w:vAlign w:val="center"/>
          </w:tcPr>
          <w:p w14:paraId="60ECEDE4">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3.0%, 5.3%</w:t>
            </w:r>
          </w:p>
        </w:tc>
        <w:tc>
          <w:tcPr>
            <w:tcW w:w="2363" w:type="dxa"/>
            <w:vAlign w:val="center"/>
          </w:tcPr>
          <w:p w14:paraId="7C6F314C">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Ramakrishnan</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{"citationID":"7Bcu9lnq","properties":{"unsorted":false,"formattedCitation":"\\super [32]\\nosupersub{}","plainCitation":"[32]","noteIndex":0},"citationItems":[{"id":720,"uris":["http://zotero.org/users/17236044/items/AY77HNXF"],"itemData":{"id":720,"type":"article-journal","abstract":"OBJECTIVE: Identifying the risk factors for deaths during tuberculosis (TB) treatment is important for achieving the vision of India's National Strategic  Plan of 'Zero Deaths' by 2025. We aimed to determine the proportion of deaths  during TB treatment and its risk factors among smear positive pulmonary TB  patients aged more than 15 years. STUDY DESIGN: We performed a cohort study using  data collected for RePORT India Consortium (Regional Prospective Observational  Research in Tuberculosis). SETTING: Revised TB Control Program (RNTCP) in three  districts of South India. PARTICIPANTS: The cohort consisted of newly diagnosed  drug sensitive patients enrolled under the Revised National TB Control Program  during 2014-2018 in three districts of southern India. Information on death was  collected at homes by trained project staff. PRIMARY OUTCOME MEASURES: We  calculated 'all-cause mortality' during TB treatment and expressed this as a  proportion with 95% confidence interval (CI). Risk factors for death were  assessed by calculating unadjusted and adjusted relative risks with 95% CI.  RESULTS: The mean (SD) age was of the 1167 participants was 45 (14.5) years and  79% of them were males. Five participants (0.4%) were HIV infected. Among the  males, 560 (61%) were tobacco users and 688 (75%) reported consuming alcohol.  There were 47 deaths (4%; 95% CI 3.0-5.3) of which 28 deaths (60%) occurred  during first two months of treatment. In a bi-variable analysis, age of more than  60 years (RR 2.27; 95%CI: 1.24-4.15), male gender (RR 3.98; 95% CI: 1.25-12.70),  alcohol use in last 12 months (RR 2.03; 95%CI: 1.07-3.87), tobacco use (RR 1.87;  95%CI: 1.05-3.36) and severe anaemia (RR 3.53: 95%CI: 1.34-9.30) were associated  with a higher risk of death. In adjusted analysis, participants with severe  anaemia (&lt;7gm/dl) had 2.4 times higher risk of death compared to their  counterparts. CONCLUSION: Though deaths during TB treatment was not very high,  early recognition of risk groups and targeted interventions are required to  achieve zero TB deaths.","container-title":"The Indian Journal of Tuberculosis","DOI":"10.1016/j.ijtb.2020.09.022","ISSN":"0019-5707","issue":"1","journalAbbreviation":"Indian J Tuberc","language":"eng","license":"Copyright © 2020 Tuberculosis Association of India. All rights reserved.","page":"32-39","PMID":"33641849","publisher-place":"India","title":"Risk factors for death during treatment in pulmonary tuberculosis patients in south India: A cohort study.","volume":"68","author":[{"family":"Ramakrishnan","given":"Jayalakshmy"},{"family":"Sarkar","given":"Sonali"},{"family":"Chinnakali","given":"Palanivel"},{"family":"Lakshminarayanan","given":"Subitha"},{"family":"Sahu","given":"Swaroop Kumar"},{"family":"Reshma","given":"Ayiraveetil"},{"family":"Knudsen","given":"Selby"},{"family":"Das","given":"Mrinalini"},{"family":"Thekkur","given":"Pruthu"},{"family":"Venugopal","given":"Vinayagamoorthy"},{"family":"Hochberg","given":"Natasha S."},{"family":"Salgame","given":"Padmini"},{"family":"Horsburgh","given":"C. Robert"},{"family":"Ellner","given":"Jerrold"},{"family":"Roy","given":"Gautam"}],"issued":{"date-parts":[["2021",1]]}}}],"schema":"https://github.com/citation-style-language/schema/raw/master/csl-citation.json"}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[32]</w:t>
            </w:r>
            <w:r>
              <w:rPr>
                <w:rFonts w:ascii="Times New Roman" w:hAnsi="Times New Roman" w:eastAsia="Times New Roman" w:cs="Times New Roman"/>
                <w:sz w:val="15"/>
                <w:szCs w:val="15"/>
              </w:rPr>
              <w:fldChar w:fldCharType="end"/>
            </w:r>
          </w:p>
        </w:tc>
      </w:tr>
      <w:tr w14:paraId="3FDE66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679F767D">
            <w:pPr>
              <w:adjustRightInd w:val="0"/>
              <w:snapToGrid w:val="0"/>
              <w:ind w:left="172" w:leftChars="82"/>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 xml:space="preserve">Probability of death among untreated or incompletely treated </w:t>
            </w:r>
            <w:r>
              <w:rPr>
                <w:rFonts w:hint="eastAsia" w:ascii="Times New Roman" w:hAnsi="Times New Roman" w:eastAsia="宋体" w:cs="Times New Roman"/>
                <w:sz w:val="15"/>
                <w:szCs w:val="15"/>
              </w:rPr>
              <w:t>sTB/aTB</w:t>
            </w:r>
            <w:r>
              <w:rPr>
                <w:rFonts w:ascii="Times New Roman" w:hAnsi="Times New Roman" w:eastAsia="Times New Roman" w:cs="Times New Roman"/>
                <w:sz w:val="15"/>
                <w:szCs w:val="15"/>
              </w:rPr>
              <w:t xml:space="preserve"> patients</w:t>
            </w:r>
          </w:p>
        </w:tc>
        <w:tc>
          <w:tcPr>
            <w:tcW w:w="1134" w:type="dxa"/>
            <w:vAlign w:val="center"/>
          </w:tcPr>
          <w:p w14:paraId="6B917D10">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5.2%</w:t>
            </w:r>
          </w:p>
        </w:tc>
        <w:tc>
          <w:tcPr>
            <w:tcW w:w="1559" w:type="dxa"/>
            <w:vAlign w:val="center"/>
          </w:tcPr>
          <w:p w14:paraId="4777BEFB">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3.5%, 7.4%</w:t>
            </w:r>
          </w:p>
        </w:tc>
        <w:tc>
          <w:tcPr>
            <w:tcW w:w="2363" w:type="dxa"/>
            <w:vAlign w:val="center"/>
          </w:tcPr>
          <w:p w14:paraId="57E679E0">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Wang</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{"citationID":"AQpFUEGH","properties":{"unsorted":false,"formattedCitation":"\\super [33]\\nosupersub{}","plainCitation":"[33]","noteIndex":0},"citationItems":[{"id":721,"uris":["http://zotero.org/users/17236044/items/KRCGQBDE"],"itemData":{"id":721,"type":"article-journal","abstract":"OBJECTIVE: To determine excess mortality in a cohort of people with tuberculosis in Shanghai. METHODS: Participants were local residents in 4 (of 19) districts in  Shanghai, registered in one of four tuberculosis clinics between January 1, 2004  and December 31, 2008. Baseline data were collected at the most recent diagnosis  of tuberculosis and mortality was assessed between March and May of 2014. We  calculated standardized mortality ratios (SMR) and case-fatality rates for all  participants and for subgroups. Univariate and multivariate Cox regression models  were used to quantify associations between co-morbidities and mortality from all  causes and from tuberculosis. FINDINGS: We registered 4569 subjects in the  cohort. Overall, the cohort had an SMR for deaths from all causes of 5.2 (95%  confidence interval, CI: 4.8-5.6). Males had a higher SMR than females (6.1  versus 3.0). After adjustment for age and sex, hazard ratios (HR) for deaths from  all causes were significantly greater in previously treated people (HR: 1.26; 95%  CI: 1.08-1.49) and sputum smear-test positive people (HR: 1.55; 95% CI:  1.35-1.78). The risk of death from tuberculosis was also significantly greater  for previously treated people (HR: 1.88; 95% CI: 1.24-2.86) and smear positive  people (HR: 3.16; 95% CI: 2.06-4.87). CONCLUSION: People with tuberculosis in  Shanghai have an increased risk of mortality. Earlier diagnosis and more vigilant  follow-up may help to reduce mortality in this group.","container-title":"Bulletin of The World Health Organization","DOI":"10.2471/BLT.15.154161","ISSN":"1564-0604 0042-9686","issue":"12","journalAbbreviation":"Bull World Health Organ","language":"eng","note":"JCR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2</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6.9\n5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8.8\n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A","page":"826-833","PMID":"26668434","PMCID":"PMC4669732","publisher-place":"Switzerland","title":"Tuberculosis-associated mortality in shanghai, China: A longitudinal study.","volume":"93","author":[{"family":"Wang","given":"Weibing"},{"family":"Zhao","given":"Qi"},{"family":"Yuan","given":"Zhengan"},{"family":"Zheng","given":"Yihui"},{"family":"Zhang","given":"Yixing"},{"family":"Lu","given":"Liping"},{"family":"Hou","given":"Yun"},{"family":"Zhang","given":"Yue"},{"family":"Xu","given":"Biao"}],"issued":{"date-parts":[["2015",12,1]]}}}],"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[33]</w:t>
            </w:r>
            <w:r>
              <w:rPr>
                <w:rFonts w:ascii="Times New Roman" w:hAnsi="Times New Roman" w:eastAsia="Times New Roman" w:cs="Times New Roman"/>
                <w:sz w:val="15"/>
                <w:szCs w:val="15"/>
              </w:rPr>
              <w:fldChar w:fldCharType="end"/>
            </w:r>
          </w:p>
        </w:tc>
      </w:tr>
      <w:tr w14:paraId="11A097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5206C52D">
            <w:pPr>
              <w:adjustRightInd w:val="0"/>
              <w:snapToGrid w:val="0"/>
              <w:ind w:left="172" w:leftChars="82"/>
              <w:jc w:val="left"/>
              <w:rPr>
                <w:rFonts w:ascii="Times New Roman" w:hAnsi="Times New Roman" w:eastAsia="宋体" w:cs="Times New Roman"/>
                <w:sz w:val="15"/>
                <w:szCs w:val="15"/>
              </w:rPr>
            </w:pPr>
            <w:r>
              <w:rPr>
                <w:rFonts w:ascii="Times New Roman" w:hAnsi="Times New Roman" w:eastAsia="Times New Roman" w:cs="Times New Roman"/>
                <w:sz w:val="15"/>
                <w:szCs w:val="15"/>
              </w:rPr>
              <w:t xml:space="preserve">Annual probability of relapse after cure from </w:t>
            </w:r>
            <w:r>
              <w:rPr>
                <w:rFonts w:hint="eastAsia" w:ascii="Times New Roman" w:hAnsi="Times New Roman" w:eastAsia="宋体" w:cs="Times New Roman"/>
                <w:sz w:val="15"/>
                <w:szCs w:val="15"/>
              </w:rPr>
              <w:t>sTB/aTB</w:t>
            </w:r>
          </w:p>
        </w:tc>
        <w:tc>
          <w:tcPr>
            <w:tcW w:w="1134" w:type="dxa"/>
            <w:vAlign w:val="center"/>
          </w:tcPr>
          <w:p w14:paraId="68C73433">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0.47%</w:t>
            </w:r>
          </w:p>
        </w:tc>
        <w:tc>
          <w:tcPr>
            <w:tcW w:w="1559" w:type="dxa"/>
            <w:vAlign w:val="center"/>
          </w:tcPr>
          <w:p w14:paraId="3D2A7519">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0.47%, 0.48%</w:t>
            </w:r>
          </w:p>
        </w:tc>
        <w:tc>
          <w:tcPr>
            <w:tcW w:w="2363" w:type="dxa"/>
            <w:vAlign w:val="center"/>
          </w:tcPr>
          <w:p w14:paraId="20DB217E">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Li</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{"citationID":"Ruasmlk4","properties":{"unsorted":false,"formattedCitation":"\\super [34]\\nosupersub{}","plainCitation":"[34]","noteIndex":0},"citationItems":[{"id":722,"uris":["http://zotero.org/users/17236044/items/VGCIXU3G"],"itemData":{"id":722,"type":"article-journal","abstract":"IMPORTANCE: Despite posing a significant challenge to global tuberculosis (TB) elimination efforts, recurrent TB remains understudied due to the challenges of  long-term observation. OBJECTIVE: To investigate the burden of recurrent TB using  data from patients with pulmonary TB (PTB) in China. DESIGN, SETTING, AND  PARTICIPANTS: This retrospective cohort study included all bacteriologically  confirmed or clinically diagnosed PTB cases reported to the Tuberculosis  Information Management System with completed or successful treatment outcomes  from January 1, 2005, to December 31, 2021. Data were analyzed from July 15,  2022, to October 28, 2023. EXPOSURES: Newly diagnosed PTB was classified into  primary, hematogenous disseminated, or secondary PTB. MAIN OUTCOMES AND MEASURES:  The primary outcome was the annual recurrence rate, stratified by disease  classification, over the 17-year observation period. The recurrence rate for year  n was calculated by dividing the number of patients with recurrent TB in year n  by observed person-years in year n. The secondary outcome was the annual  proportion of recurrent TB among reported cases and associated risk factors.  RESULTS: Of 13 833 249 patients with TB reported to the Tuberculosis Information  Management System, 10 482 271 with PTB met the inclusion criteria. Of these,  68.9% were male, 22.3% were 65 years or older, 89.6% were of Han ethnicity, and  68.4% were agricultural workers. A total of 413 936 patients experienced a  recurrent TB episode after successful treatment, resulting in an overall  recurrence rate of 0.47 (95% CI, 0.47-0.48) per 100 person-years. The recurrence  rate for patients with primary PTB was 0.24 (95% CI, 0.22-0.26) per 100  person-years; for hematogenous disseminated PTB, 0.37 (95% CI, 0.36-0.38) per 100  person-years; and for secondary PTB, 0.48 (95% CI, 0.47-0.48) per 100  person-years. The cumulative proportion of recurrences within the first 2 years  accounted for 48.9% of all recurrent cases. The proportion of recurrent cases  among notified incident cases increased 1.9-fold from 4.7% in 2015 to 8.8% in  2021. Among other factors, ages 45 to 64 years (adjusted hazard ratio, 1.77 [95%  CI, 1.65-1.89]) and having completed treatment (adjusted hazard ratio, 1.16 [95%  CI, 1.14-1.18]) were identified as associated with recurrence. CONCLUSIONS AND  RELEVANCE: In this retrospective cohort study, the PTB recurrence rate was  substantially higher than the incidence, and the proportion of recurrent cases  increased. Almost half of the recurrence occurred within the first 2 years,  suggesting that routine posttreatment follow-up may represent an important  strategy for accelerating TB elimination.","container-title":"JAMA ne</w:instrText>
            </w:r>
            <w:r>
              <w:rPr>
                <w:rFonts w:hint="eastAsia" w:ascii="Times New Roman" w:hAnsi="Times New Roman" w:cs="Times New Roman"/>
                <w:sz w:val="15"/>
                <w:szCs w:val="15"/>
              </w:rPr>
              <w:instrText xml:space="preserve">twork open","DOI":"10.1001/jamanetworkopen.2024.27266","ISSN":"2574-3805","issue":"8","journalAbbreviation":"JAMA Netw Open","language":"eng","note":"JCR分区: Q1\n中科院分区升级版: 医学1区\n影响因子: 11.7\n5年影响因子: 11.7\n南农高质量: A","page":"e2427266","PMID":"39133484","PMCID</w:instrText>
            </w:r>
            <w:r>
              <w:rPr>
                <w:rFonts w:ascii="Times New Roman" w:hAnsi="Times New Roman" w:cs="Times New Roman"/>
                <w:sz w:val="15"/>
                <w:szCs w:val="15"/>
              </w:rPr>
              <w:instrText xml:space="preserve">":"PMC11320166","publisher-place":"United States","title":"Recurrent pulmonary tuberculosis in China, 2005 to 2021.","volume":"7","author":[{"family":"Li","given":"Tao"},{"family":"Zhang","given":"Bo"},{"family":"Du","given":"Xin"},{"family":"Pei","given":"Shaojun"},{"family":"Jia","given":"Zhongwei"},{"family":"Zhao","given":"Yanlin"}],"issued":{"date-parts":[["2024",8,1]]}}}],"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[34]</w:t>
            </w:r>
            <w:r>
              <w:rPr>
                <w:rFonts w:ascii="Times New Roman" w:hAnsi="Times New Roman" w:cs="Times New Roman"/>
                <w:sz w:val="15"/>
                <w:szCs w:val="15"/>
              </w:rPr>
              <w:fldChar w:fldCharType="end"/>
            </w:r>
          </w:p>
        </w:tc>
      </w:tr>
      <w:tr w14:paraId="7D141F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58DAEA20">
            <w:pPr>
              <w:adjustRightInd w:val="0"/>
              <w:snapToGrid w:val="0"/>
              <w:ind w:left="172" w:leftChars="82"/>
              <w:jc w:val="left"/>
              <w:rPr>
                <w:rFonts w:ascii="Times New Roman" w:hAnsi="Times New Roman" w:eastAsia="宋体" w:cs="Times New Roman"/>
                <w:sz w:val="15"/>
                <w:szCs w:val="15"/>
              </w:rPr>
            </w:pPr>
            <w:r>
              <w:rPr>
                <w:rFonts w:ascii="Times New Roman" w:hAnsi="Times New Roman" w:eastAsia="Times New Roman" w:cs="Times New Roman"/>
                <w:sz w:val="15"/>
                <w:szCs w:val="15"/>
              </w:rPr>
              <w:t xml:space="preserve">Annual probability of relapse after spontaneous recovery from </w:t>
            </w:r>
            <w:r>
              <w:rPr>
                <w:rFonts w:hint="eastAsia" w:ascii="Times New Roman" w:hAnsi="Times New Roman" w:eastAsia="宋体" w:cs="Times New Roman"/>
                <w:sz w:val="15"/>
                <w:szCs w:val="15"/>
              </w:rPr>
              <w:t>sTB/aTB</w:t>
            </w:r>
          </w:p>
        </w:tc>
        <w:tc>
          <w:tcPr>
            <w:tcW w:w="1134" w:type="dxa"/>
            <w:vAlign w:val="center"/>
          </w:tcPr>
          <w:p w14:paraId="6154C1B0">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1.56%</w:t>
            </w:r>
          </w:p>
        </w:tc>
        <w:tc>
          <w:tcPr>
            <w:tcW w:w="1559" w:type="dxa"/>
            <w:vAlign w:val="center"/>
          </w:tcPr>
          <w:p w14:paraId="0B9764A4">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1.14%, 2.22%</w:t>
            </w:r>
          </w:p>
        </w:tc>
        <w:tc>
          <w:tcPr>
            <w:tcW w:w="2363" w:type="dxa"/>
            <w:vAlign w:val="center"/>
          </w:tcPr>
          <w:p w14:paraId="49FCAA0A">
            <w:pPr>
              <w:adjustRightInd w:val="0"/>
              <w:snapToGrid w:val="0"/>
              <w:jc w:val="center"/>
              <w:rPr>
                <w:rFonts w:ascii="Times New Roman" w:hAnsi="Times New Roman" w:eastAsia="Times New Roman" w:cs="Times New Roman"/>
                <w:sz w:val="15"/>
                <w:szCs w:val="15"/>
              </w:rPr>
            </w:pPr>
            <w:r>
              <w:rPr>
                <w:rFonts w:hint="eastAsia" w:ascii="Times New Roman" w:hAnsi="Times New Roman" w:cs="Times New Roman"/>
                <w:sz w:val="15"/>
                <w:szCs w:val="15"/>
              </w:rPr>
              <w:t>Li</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{"citationID":"TMhElgmr","properties":{"unsorted":false,"formattedCitation":"\\super [34]\\nosupersub{}","plainCitation":"[34]","noteIndex":0},"citationItems":[{"id":722,"uris":["http://zotero.org/users/17236044/items/VGCIXU3G"],"itemData":{"id":722,"type":"article-journal","abstract":"IMPORTANCE: Despite posing a significant challenge to global tuberculosis (TB) elimination efforts, recurrent TB remains understudied due to the challenges of  long-term observation. OBJECTIVE: To investigate the burden of recurrent TB using  data from patients with pulmonary TB (PTB) in China. DESIGN, SETTING, AND  PARTICIPANTS: This retrospective cohort study included all bacteriologically  confirmed or clinically diagnosed PTB cases reported to the Tuberculosis  Information Management System with completed or successful treatment outcomes  from January 1, 2005, to December 31, 2021. Data were analyzed from July 15,  2022, to October 28, 2023. EXPOSURES: Newly diagnosed PTB was classified into  primary, hematogenous disseminated, or secondary PTB. MAIN OUTCOMES AND MEASURES:  The primary outcome was the annual recurrence rate, stratified by disease  classification, over the 17-year observation period. The recurrence rate for year  n was calculated by dividing the number of patients with recurrent TB in year n  by observed person-years in year n. The secondary outcome was the annual  proportion of recurrent TB among reported cases and associated risk factors.  RESULTS: Of 13 833 249 patients with TB reported to the Tuberculosis Information  Management System, 10 482 271 with PTB met the inclusion criteria. Of these,  68.9% were male, 22.3% were 65 years or older, 89.6% were of Han ethnicity, and  68.4% were agricultural workers. A total of 413 936 patients experienced a  recurrent TB episode after successful treatment, resulting in an overall  recurrence rate of 0.47 (95% CI, 0.47-0.48) per 100 person-years. The recurrence  rate for patients with primary PTB was 0.24 (95% CI, 0.22-0.26) per 100  person-years; for hematogenous disseminated PTB, 0.37 (95% CI, 0.36-0.38) per 100  person-years; and for secondary PTB, 0.48 (95% CI, 0.47-0.48) per 100  person-years. The cumulative proportion of recurrences within the first 2 years  accounted for 48.9% of all recurrent cases. The proportion of recurrent cases  among notified incident cases increased 1.9-fold from 4.7% in 2015 to 8.8% in  2021. Among other factors, ages 45 to 64 years (adjusted hazard ratio, 1.77 [95%  CI, 1.65-1.89]) and having completed treatment (adjusted hazard ratio, 1.16 [95%  CI, 1.14-1.18]) were identified as associated with recurrence. CONCLUSIONS AND  RELEVANCE: In this retrospective cohort study, the PTB recurrence rate was  substantially higher than the incidence, and the proportion of recurrent cases  increased. Almost half of the recurrence occurred within the first 2 years,  suggesting that routine posttreatment follow-up may represent an important  strategy for accelerating TB elimination.","container-title":"JAMA ne</w:instrText>
            </w:r>
            <w:r>
              <w:rPr>
                <w:rFonts w:hint="eastAsia" w:ascii="Times New Roman" w:hAnsi="Times New Roman" w:cs="Times New Roman"/>
                <w:sz w:val="15"/>
                <w:szCs w:val="15"/>
              </w:rPr>
              <w:instrText xml:space="preserve">twork open","DOI":"10.1001/jamanetworkopen.2024.27266","ISSN":"2574-3805","issue":"8","journalAbbreviation":"JAMA Netw Open","language":"eng","note":"JCR分区: Q1\n中科院分区升级版: 医学1区\n影响因子: 11.7\n5年影响因子: 11.7\n南农高质量: A","page":"e2427266","PMID":"39133484","PMCID</w:instrText>
            </w:r>
            <w:r>
              <w:rPr>
                <w:rFonts w:ascii="Times New Roman" w:hAnsi="Times New Roman" w:cs="Times New Roman"/>
                <w:sz w:val="15"/>
                <w:szCs w:val="15"/>
              </w:rPr>
              <w:instrText xml:space="preserve">":"PMC11320166","publisher-place":"United States","title":"Recurrent pulmonary tuberculosis in China, 2005 to 2021.","volume":"7","author":[{"family":"Li","given":"Tao"},{"family":"Zhang","given":"Bo"},{"family":"Du","given":"Xin"},{"family":"Pei","given":"Shaojun"},{"family":"Jia","given":"Zhongwei"},{"family":"Zhao","given":"Yanlin"}],"issued":{"date-parts":[["2024",8,1]]}}}],"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[34]</w:t>
            </w:r>
            <w:r>
              <w:rPr>
                <w:rFonts w:ascii="Times New Roman" w:hAnsi="Times New Roman" w:cs="Times New Roman"/>
                <w:sz w:val="15"/>
                <w:szCs w:val="15"/>
              </w:rPr>
              <w:fldChar w:fldCharType="end"/>
            </w:r>
            <w:r>
              <w:rPr>
                <w:rFonts w:hint="eastAsia" w:ascii="Times New Roman" w:hAnsi="Times New Roman" w:cs="Times New Roman"/>
                <w:sz w:val="15"/>
                <w:szCs w:val="15"/>
              </w:rPr>
              <w:t>, Vega</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{"citationID":"sczKybvq","properties":{"unsorted":false,"formattedCitation":"\\super [35]\\nosupersub{}","plainCitation":"[35]","noteIndex":0},"citationItems":[{"id":481,"uris":["http://zotero.org/users/17236044/items/KX9J5BZ2"],"itemData":{"id":481,"type":"article-journal","abstract":"Background The rate of pulmonary tuberculosis (TB) recurrence is substantial. Identifying risk factors can support the development of prevention strategies.\nMethods We retrieved studies published between 1 January 1980 and 31 December 2022 that assessed factors associated with undifferentiated TB recurrence, relapse or reinfection. For factors reported in at least four studies, we performed random-effects meta-analysis to estimate a pooled relative risk (RR). We assessed heterogeneity, risk of publication bias and certainty of evidence.\nResults We included 85 studies in the review; 81 documented risk factors for undifferentiated recurrence, 17 for relapse and 10 for reinfection. The scope for metaanalyses was limited given the wide variety of factors studied, inconsistency in control for confounding and the fact that only few studies employed molecular genotyping. Factors that significantly contributed to moderately or strongly increased pooled risk and scored at least moderate certainty of evidence were: for undifferentiated recurrence, multidrug resistance (MDR) (RR 3.49; 95% CI 1.86 to 6.53) and fixed-dose combination TB drugs (RR 2.29; 95% CI 1.10 to 4.75) in the previous episode; for relapse, none; and for reinfection, HIV infection (RR 4.65; 95% CI 1.71 to 12.65). Low adherence to treatment increased the pooled risk of recurrence 3.3-fold (95% CI 2.37 to 4.62), but the certainty of evidence was weak.\nConclusion This review emphasises the need for standardising methods for TB recurrence research. Actively pursuing MDR prevention, facilitating retention in treatment and providing integrated care for patients with HIV could curb recurrence rates. The use of fixed-dose combinations of TB drugs under field conditions merits further attention. PROSPERO registration number CRD42018077867.","container-title":"Bmj Open Respiratory Research","DOI":"10.1136/bmjresp-2023-002281","ISSN":"2052-4439","issue":"1","journalAbbreviation":"BMJ Open Resp</w:instrText>
            </w:r>
            <w:r>
              <w:rPr>
                <w:rFonts w:hint="eastAsia" w:ascii="Times New Roman" w:hAnsi="Times New Roman" w:cs="Times New Roman"/>
                <w:sz w:val="15"/>
                <w:szCs w:val="15"/>
              </w:rPr>
              <w:instrText xml:space="preserve"> Res","language":"en","note":"JCR分区: Q2\n中科院分区升级版: 医学3区\n影响因子: 3.4\n5年影响因子: 3.5\n南农高质量: B","page":"e002281","source":"DOI.org (Crossref)","title":"Risk factors for pulmonary tuberculosis recurrence, relapse and reinfection: A systematic review and meta-an</w:instrText>
            </w:r>
            <w:r>
              <w:rPr>
                <w:rFonts w:ascii="Times New Roman" w:hAnsi="Times New Roman" w:cs="Times New Roman"/>
                <w:sz w:val="15"/>
                <w:szCs w:val="15"/>
              </w:rPr>
              <w:instrText xml:space="preserve">alysis","title-short":"Risk factors for pulmonary tuberculosis recurrence, relapse and reinfection","volume":"11","author":[{"family":"Vega","given":"Victor"},{"family":"Cabrera-Sanchez","given":"Javier"},{"family":"Rodríguez","given":"Sharon"},{"family":"Verdonck","given":"Kristien"},{"family":"Seas","given":"Carlos"},{"family":"Otero","given":"Larissa"},{"family":"Van Der Stuyft","given":"Patrick"}],"issued":{"date-parts":[["2024",3]]}}}],"schema":"https://github.com/citation-style-language/schema/raw/master/csl-citation.json"}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[35]</w:t>
            </w:r>
            <w:r>
              <w:rPr>
                <w:rFonts w:ascii="Times New Roman" w:hAnsi="Times New Roman" w:cs="Times New Roman"/>
                <w:sz w:val="15"/>
                <w:szCs w:val="15"/>
              </w:rPr>
              <w:fldChar w:fldCharType="end"/>
            </w:r>
          </w:p>
        </w:tc>
      </w:tr>
      <w:tr w14:paraId="0541FB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08185B01">
            <w:pPr>
              <w:adjustRightInd w:val="0"/>
              <w:snapToGrid w:val="0"/>
              <w:jc w:val="left"/>
              <w:rPr>
                <w:rFonts w:ascii="Times New Roman" w:hAnsi="Times New Roman" w:eastAsia="Times New Roman" w:cs="Times New Roman"/>
                <w:b/>
                <w:bCs/>
                <w:sz w:val="15"/>
                <w:szCs w:val="15"/>
              </w:rPr>
            </w:pPr>
            <w:r>
              <w:rPr>
                <w:rFonts w:ascii="Times New Roman" w:hAnsi="Times New Roman" w:eastAsia="Times New Roman" w:cs="Times New Roman"/>
                <w:b/>
                <w:bCs/>
                <w:sz w:val="15"/>
                <w:szCs w:val="15"/>
              </w:rPr>
              <w:t>Cost Input</w:t>
            </w:r>
            <w:r>
              <w:rPr>
                <w:rFonts w:hint="eastAsia" w:ascii="Times New Roman" w:hAnsi="Times New Roman" w:cs="Times New Roman"/>
                <w:sz w:val="15"/>
                <w:szCs w:val="15"/>
              </w:rPr>
              <w:t xml:space="preserve"> (</w:t>
            </w:r>
            <w:r>
              <w:rPr>
                <w:rFonts w:ascii="Times New Roman" w:hAnsi="Times New Roman" w:cs="Times New Roman"/>
                <w:sz w:val="15"/>
                <w:szCs w:val="15"/>
              </w:rPr>
              <w:t>¥</w:t>
            </w:r>
            <w:r>
              <w:rPr>
                <w:rFonts w:hint="eastAsia" w:ascii="Times New Roman" w:hAnsi="Times New Roman" w:cs="Times New Roman"/>
                <w:sz w:val="15"/>
                <w:szCs w:val="15"/>
              </w:rPr>
              <w:t>)</w:t>
            </w:r>
          </w:p>
        </w:tc>
        <w:tc>
          <w:tcPr>
            <w:tcW w:w="1134" w:type="dxa"/>
            <w:vAlign w:val="center"/>
          </w:tcPr>
          <w:p w14:paraId="2967DB81">
            <w:pPr>
              <w:adjustRightInd w:val="0"/>
              <w:snapToGrid w:val="0"/>
              <w:jc w:val="center"/>
              <w:rPr>
                <w:rFonts w:ascii="Times New Roman" w:hAnsi="Times New Roman" w:eastAsia="Times New Roman" w:cs="Times New Roman"/>
                <w:sz w:val="15"/>
                <w:szCs w:val="15"/>
              </w:rPr>
            </w:pPr>
          </w:p>
        </w:tc>
        <w:tc>
          <w:tcPr>
            <w:tcW w:w="1559" w:type="dxa"/>
            <w:vAlign w:val="center"/>
          </w:tcPr>
          <w:p w14:paraId="105CA8CD">
            <w:pPr>
              <w:adjustRightInd w:val="0"/>
              <w:snapToGrid w:val="0"/>
              <w:jc w:val="center"/>
              <w:rPr>
                <w:rFonts w:ascii="Times New Roman" w:hAnsi="Times New Roman" w:cs="Times New Roman"/>
                <w:sz w:val="15"/>
                <w:szCs w:val="15"/>
              </w:rPr>
            </w:pPr>
          </w:p>
        </w:tc>
        <w:tc>
          <w:tcPr>
            <w:tcW w:w="2363" w:type="dxa"/>
            <w:vAlign w:val="center"/>
          </w:tcPr>
          <w:p w14:paraId="4DC47825">
            <w:pPr>
              <w:adjustRightInd w:val="0"/>
              <w:snapToGrid w:val="0"/>
              <w:jc w:val="center"/>
              <w:rPr>
                <w:rFonts w:ascii="Times New Roman" w:hAnsi="Times New Roman" w:cs="Times New Roman"/>
                <w:sz w:val="15"/>
                <w:szCs w:val="15"/>
              </w:rPr>
            </w:pPr>
          </w:p>
        </w:tc>
      </w:tr>
      <w:tr w14:paraId="3000D3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4F62278B">
            <w:pPr>
              <w:adjustRightInd w:val="0"/>
              <w:snapToGrid w:val="0"/>
              <w:ind w:left="174" w:leftChars="83"/>
              <w:jc w:val="left"/>
              <w:rPr>
                <w:rFonts w:ascii="Times New Roman" w:hAnsi="Times New Roman" w:cs="Times New Roman"/>
                <w:sz w:val="15"/>
                <w:szCs w:val="15"/>
              </w:rPr>
            </w:pPr>
            <w:r>
              <w:rPr>
                <w:rFonts w:ascii="Times New Roman" w:hAnsi="Times New Roman" w:eastAsia="Times New Roman" w:cs="Times New Roman"/>
                <w:sz w:val="15"/>
                <w:szCs w:val="15"/>
              </w:rPr>
              <w:t>Chest radiography</w:t>
            </w:r>
            <w:r>
              <w:rPr>
                <w:rFonts w:hint="eastAsia" w:ascii="Times New Roman" w:hAnsi="Times New Roman" w:cs="Times New Roman"/>
                <w:sz w:val="15"/>
                <w:szCs w:val="15"/>
              </w:rPr>
              <w:t xml:space="preserve"> </w:t>
            </w:r>
          </w:p>
        </w:tc>
        <w:tc>
          <w:tcPr>
            <w:tcW w:w="1134" w:type="dxa"/>
            <w:vAlign w:val="center"/>
          </w:tcPr>
          <w:p w14:paraId="0393E2B5">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40.00</w:t>
            </w:r>
          </w:p>
        </w:tc>
        <w:tc>
          <w:tcPr>
            <w:tcW w:w="1559" w:type="dxa"/>
            <w:vAlign w:val="center"/>
          </w:tcPr>
          <w:p w14:paraId="5B6CD9BF">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20</w:t>
            </w:r>
            <w:r>
              <w:rPr>
                <w:rFonts w:hint="eastAsia" w:ascii="Times New Roman" w:hAnsi="Times New Roman" w:cs="Times New Roman"/>
                <w:sz w:val="15"/>
                <w:szCs w:val="15"/>
              </w:rPr>
              <w:t>.00</w:t>
            </w:r>
            <w:r>
              <w:rPr>
                <w:rFonts w:ascii="Times New Roman" w:hAnsi="Times New Roman" w:cs="Times New Roman"/>
                <w:sz w:val="15"/>
                <w:szCs w:val="15"/>
              </w:rPr>
              <w:t>, 60</w:t>
            </w:r>
            <w:r>
              <w:rPr>
                <w:rFonts w:hint="eastAsia" w:ascii="Times New Roman" w:hAnsi="Times New Roman" w:cs="Times New Roman"/>
                <w:sz w:val="15"/>
                <w:szCs w:val="15"/>
              </w:rPr>
              <w:t>.00</w:t>
            </w:r>
          </w:p>
        </w:tc>
        <w:tc>
          <w:tcPr>
            <w:tcW w:w="2363" w:type="dxa"/>
            <w:vAlign w:val="center"/>
          </w:tcPr>
          <w:p w14:paraId="79EA63BA">
            <w:pPr>
              <w:adjustRightInd w:val="0"/>
              <w:snapToGrid w:val="0"/>
              <w:jc w:val="center"/>
              <w:rPr>
                <w:rFonts w:ascii="Times New Roman" w:hAnsi="Times New Roman" w:eastAsia="Times New Roman" w:cs="Times New Roman"/>
                <w:sz w:val="15"/>
                <w:szCs w:val="15"/>
              </w:rPr>
            </w:pPr>
            <w:r>
              <w:rPr>
                <w:rFonts w:hint="eastAsia" w:ascii="Times New Roman" w:hAnsi="Times New Roman" w:cs="Times New Roman"/>
                <w:sz w:val="15"/>
                <w:szCs w:val="15"/>
              </w:rPr>
              <w:t>Zheng</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{"citationID":"qkT6tZ9n","properties":{"unsorted":false,"formattedCitation":"\\super [36]\\nosupersub{}","plainCitation":"[36]","noteIndex":0},"citationItems":[{"id":723,"uris":["http://zotero.org/users/17236044/items/AFC7UMUL"],"itemData":{"id":723,"type":"article-journal","container-title":"J Tubere Lung Dis","DOI":"10.19983/j.issn.2096-8493.2024163","page":"35-39","title":"Cost-effectiveness analysis of active tuberculosis screening among high-risk popoulations in Longya</w:instrText>
            </w:r>
            <w:r>
              <w:rPr>
                <w:rFonts w:hint="eastAsia" w:ascii="Times New Roman" w:hAnsi="Times New Roman" w:cs="Times New Roman"/>
                <w:sz w:val="15"/>
                <w:szCs w:val="15"/>
              </w:rPr>
              <w:instrText xml:space="preserve">n City，Fujian Province","volume":"6","author":[{"literal":"Zheng Jianli"},{"literal":"Wu Yumei"},{"literal":"Zhang Shili"},{"literal":"Du Zixian"},{"literal":"Li Turong"},{"literal":"Chen Shisheng"},{"literal":"Lin Wenge"}],"issued":{"date-parts":[["2025"</w:instrText>
            </w:r>
            <w:r>
              <w:rPr>
                <w:rFonts w:ascii="Times New Roman" w:hAnsi="Times New Roman" w:cs="Times New Roman"/>
                <w:sz w:val="15"/>
                <w:szCs w:val="15"/>
              </w:rPr>
              <w:instrText xml:space="preserve">]]}}}],"schema":"https://github.com/citation-style-language/schema/raw/master/csl-citation.json"}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[36]</w:t>
            </w:r>
            <w:r>
              <w:rPr>
                <w:rFonts w:ascii="Times New Roman" w:hAnsi="Times New Roman" w:cs="Times New Roman"/>
                <w:sz w:val="15"/>
                <w:szCs w:val="15"/>
              </w:rPr>
              <w:fldChar w:fldCharType="end"/>
            </w:r>
          </w:p>
        </w:tc>
      </w:tr>
      <w:tr w14:paraId="524A0F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2AC3811C">
            <w:pPr>
              <w:adjustRightInd w:val="0"/>
              <w:snapToGrid w:val="0"/>
              <w:ind w:left="174" w:leftChars="83"/>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Pooled GeneXpert testing</w:t>
            </w:r>
            <w:r>
              <w:rPr>
                <w:rFonts w:hint="eastAsia" w:ascii="Times New Roman" w:hAnsi="Times New Roman" w:cs="Times New Roman"/>
                <w:sz w:val="15"/>
                <w:szCs w:val="15"/>
              </w:rPr>
              <w:t xml:space="preserve"> </w:t>
            </w:r>
          </w:p>
        </w:tc>
        <w:tc>
          <w:tcPr>
            <w:tcW w:w="1134" w:type="dxa"/>
            <w:vAlign w:val="center"/>
          </w:tcPr>
          <w:p w14:paraId="293CDCCD">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50.00</w:t>
            </w:r>
          </w:p>
        </w:tc>
        <w:tc>
          <w:tcPr>
            <w:tcW w:w="1559" w:type="dxa"/>
            <w:vAlign w:val="center"/>
          </w:tcPr>
          <w:p w14:paraId="1EEF5ED8">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25</w:t>
            </w:r>
            <w:r>
              <w:rPr>
                <w:rFonts w:hint="eastAsia" w:ascii="Times New Roman" w:hAnsi="Times New Roman" w:cs="Times New Roman"/>
                <w:sz w:val="15"/>
                <w:szCs w:val="15"/>
              </w:rPr>
              <w:t>.00</w:t>
            </w:r>
            <w:r>
              <w:rPr>
                <w:rFonts w:ascii="Times New Roman" w:hAnsi="Times New Roman" w:cs="Times New Roman"/>
                <w:sz w:val="15"/>
                <w:szCs w:val="15"/>
              </w:rPr>
              <w:t>, 75</w:t>
            </w:r>
            <w:r>
              <w:rPr>
                <w:rFonts w:hint="eastAsia" w:ascii="Times New Roman" w:hAnsi="Times New Roman" w:cs="Times New Roman"/>
                <w:sz w:val="15"/>
                <w:szCs w:val="15"/>
              </w:rPr>
              <w:t>.00</w:t>
            </w:r>
          </w:p>
        </w:tc>
        <w:tc>
          <w:tcPr>
            <w:tcW w:w="2363" w:type="dxa"/>
            <w:vAlign w:val="center"/>
          </w:tcPr>
          <w:p w14:paraId="60164B0D">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Field data</w:t>
            </w:r>
          </w:p>
        </w:tc>
      </w:tr>
      <w:tr w14:paraId="0C1EF02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7E459DFF">
            <w:pPr>
              <w:adjustRightInd w:val="0"/>
              <w:snapToGrid w:val="0"/>
              <w:ind w:left="174" w:leftChars="83"/>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TBST testing</w:t>
            </w:r>
            <w:r>
              <w:rPr>
                <w:rFonts w:hint="eastAsia" w:ascii="Times New Roman" w:hAnsi="Times New Roman" w:cs="Times New Roman"/>
                <w:sz w:val="15"/>
                <w:szCs w:val="15"/>
              </w:rPr>
              <w:t xml:space="preserve"> </w:t>
            </w:r>
          </w:p>
        </w:tc>
        <w:tc>
          <w:tcPr>
            <w:tcW w:w="1134" w:type="dxa"/>
            <w:vAlign w:val="center"/>
          </w:tcPr>
          <w:p w14:paraId="4FCB4708">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200.00</w:t>
            </w:r>
          </w:p>
        </w:tc>
        <w:tc>
          <w:tcPr>
            <w:tcW w:w="1559" w:type="dxa"/>
            <w:vAlign w:val="center"/>
          </w:tcPr>
          <w:p w14:paraId="4470E070">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100</w:t>
            </w:r>
            <w:r>
              <w:rPr>
                <w:rFonts w:hint="eastAsia" w:ascii="Times New Roman" w:hAnsi="Times New Roman" w:cs="Times New Roman"/>
                <w:sz w:val="15"/>
                <w:szCs w:val="15"/>
              </w:rPr>
              <w:t>.00</w:t>
            </w:r>
            <w:r>
              <w:rPr>
                <w:rFonts w:ascii="Times New Roman" w:hAnsi="Times New Roman" w:cs="Times New Roman"/>
                <w:sz w:val="15"/>
                <w:szCs w:val="15"/>
              </w:rPr>
              <w:t>, 300</w:t>
            </w:r>
            <w:r>
              <w:rPr>
                <w:rFonts w:hint="eastAsia" w:ascii="Times New Roman" w:hAnsi="Times New Roman" w:cs="Times New Roman"/>
                <w:sz w:val="15"/>
                <w:szCs w:val="15"/>
              </w:rPr>
              <w:t>.00</w:t>
            </w:r>
          </w:p>
        </w:tc>
        <w:tc>
          <w:tcPr>
            <w:tcW w:w="2363" w:type="dxa"/>
            <w:vAlign w:val="center"/>
          </w:tcPr>
          <w:p w14:paraId="395EFD0F">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Field data</w:t>
            </w:r>
          </w:p>
        </w:tc>
      </w:tr>
      <w:tr w14:paraId="43602C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19F001DB">
            <w:pPr>
              <w:adjustRightInd w:val="0"/>
              <w:snapToGrid w:val="0"/>
              <w:ind w:left="174" w:leftChars="83"/>
              <w:jc w:val="left"/>
              <w:rPr>
                <w:rFonts w:ascii="Times New Roman" w:hAnsi="Times New Roman" w:eastAsia="Times New Roman" w:cs="Times New Roman"/>
                <w:sz w:val="15"/>
                <w:szCs w:val="15"/>
              </w:rPr>
            </w:pPr>
            <w:r>
              <w:rPr>
                <w:rFonts w:hint="eastAsia" w:ascii="Times New Roman" w:hAnsi="Times New Roman" w:eastAsia="Times New Roman" w:cs="Times New Roman"/>
                <w:sz w:val="15"/>
                <w:szCs w:val="15"/>
              </w:rPr>
              <w:t>single</w:t>
            </w:r>
            <w:r>
              <w:rPr>
                <w:rFonts w:ascii="Times New Roman" w:hAnsi="Times New Roman" w:eastAsia="Times New Roman" w:cs="Times New Roman"/>
                <w:sz w:val="15"/>
                <w:szCs w:val="15"/>
              </w:rPr>
              <w:t xml:space="preserve"> GeneXpert testing</w:t>
            </w:r>
          </w:p>
        </w:tc>
        <w:tc>
          <w:tcPr>
            <w:tcW w:w="1134" w:type="dxa"/>
            <w:vAlign w:val="center"/>
          </w:tcPr>
          <w:p w14:paraId="2783E170">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400</w:t>
            </w:r>
            <w:r>
              <w:rPr>
                <w:rFonts w:hint="eastAsia" w:ascii="Times New Roman" w:hAnsi="Times New Roman" w:cs="Times New Roman"/>
                <w:sz w:val="15"/>
                <w:szCs w:val="15"/>
              </w:rPr>
              <w:t>.00</w:t>
            </w:r>
          </w:p>
        </w:tc>
        <w:tc>
          <w:tcPr>
            <w:tcW w:w="1559" w:type="dxa"/>
            <w:vAlign w:val="center"/>
          </w:tcPr>
          <w:p w14:paraId="096C45FB">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200</w:t>
            </w:r>
            <w:r>
              <w:rPr>
                <w:rFonts w:hint="eastAsia" w:ascii="Times New Roman" w:hAnsi="Times New Roman" w:cs="Times New Roman"/>
                <w:sz w:val="15"/>
                <w:szCs w:val="15"/>
              </w:rPr>
              <w:t>.00</w:t>
            </w:r>
            <w:r>
              <w:rPr>
                <w:rFonts w:ascii="Times New Roman" w:hAnsi="Times New Roman" w:cs="Times New Roman"/>
                <w:sz w:val="15"/>
                <w:szCs w:val="15"/>
              </w:rPr>
              <w:t>, 600</w:t>
            </w:r>
            <w:r>
              <w:rPr>
                <w:rFonts w:hint="eastAsia" w:ascii="Times New Roman" w:hAnsi="Times New Roman" w:cs="Times New Roman"/>
                <w:sz w:val="15"/>
                <w:szCs w:val="15"/>
              </w:rPr>
              <w:t>.00</w:t>
            </w:r>
          </w:p>
        </w:tc>
        <w:tc>
          <w:tcPr>
            <w:tcW w:w="2363" w:type="dxa"/>
            <w:vAlign w:val="center"/>
          </w:tcPr>
          <w:p w14:paraId="19C55BD1">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Field data</w:t>
            </w:r>
          </w:p>
        </w:tc>
      </w:tr>
      <w:tr w14:paraId="77F035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5B8ABC18">
            <w:pPr>
              <w:adjustRightInd w:val="0"/>
              <w:snapToGrid w:val="0"/>
              <w:ind w:left="174" w:leftChars="83"/>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Costs during the preventive treatment phase</w:t>
            </w:r>
          </w:p>
        </w:tc>
        <w:tc>
          <w:tcPr>
            <w:tcW w:w="1134" w:type="dxa"/>
            <w:vAlign w:val="center"/>
          </w:tcPr>
          <w:p w14:paraId="745EBC15">
            <w:pPr>
              <w:adjustRightInd w:val="0"/>
              <w:snapToGrid w:val="0"/>
              <w:jc w:val="center"/>
              <w:rPr>
                <w:rFonts w:ascii="Times New Roman" w:hAnsi="Times New Roman" w:eastAsia="Times New Roman" w:cs="Times New Roman"/>
                <w:sz w:val="15"/>
                <w:szCs w:val="15"/>
              </w:rPr>
            </w:pPr>
          </w:p>
        </w:tc>
        <w:tc>
          <w:tcPr>
            <w:tcW w:w="1559" w:type="dxa"/>
            <w:vAlign w:val="center"/>
          </w:tcPr>
          <w:p w14:paraId="716269E3">
            <w:pPr>
              <w:adjustRightInd w:val="0"/>
              <w:snapToGrid w:val="0"/>
              <w:jc w:val="center"/>
              <w:rPr>
                <w:rFonts w:ascii="Times New Roman" w:hAnsi="Times New Roman" w:cs="Times New Roman"/>
                <w:sz w:val="15"/>
                <w:szCs w:val="15"/>
              </w:rPr>
            </w:pPr>
          </w:p>
        </w:tc>
        <w:tc>
          <w:tcPr>
            <w:tcW w:w="2363" w:type="dxa"/>
            <w:vAlign w:val="center"/>
          </w:tcPr>
          <w:p w14:paraId="678517D5">
            <w:pPr>
              <w:adjustRightInd w:val="0"/>
              <w:snapToGrid w:val="0"/>
              <w:jc w:val="center"/>
              <w:rPr>
                <w:rFonts w:ascii="Times New Roman" w:hAnsi="Times New Roman" w:eastAsia="Times New Roman" w:cs="Times New Roman"/>
                <w:sz w:val="15"/>
                <w:szCs w:val="15"/>
              </w:rPr>
            </w:pPr>
          </w:p>
        </w:tc>
      </w:tr>
      <w:tr w14:paraId="3EA1A8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5546F107">
            <w:pPr>
              <w:adjustRightInd w:val="0"/>
              <w:snapToGrid w:val="0"/>
              <w:ind w:left="174" w:leftChars="83" w:firstLine="150" w:firstLineChars="100"/>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Completed preventive treatment</w:t>
            </w:r>
          </w:p>
        </w:tc>
        <w:tc>
          <w:tcPr>
            <w:tcW w:w="1134" w:type="dxa"/>
            <w:vAlign w:val="center"/>
          </w:tcPr>
          <w:p w14:paraId="1D997D93">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1,169.00</w:t>
            </w:r>
          </w:p>
        </w:tc>
        <w:tc>
          <w:tcPr>
            <w:tcW w:w="1559" w:type="dxa"/>
            <w:vAlign w:val="center"/>
          </w:tcPr>
          <w:p w14:paraId="247336B0">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584.50, 2,338.00</w:t>
            </w:r>
          </w:p>
        </w:tc>
        <w:tc>
          <w:tcPr>
            <w:tcW w:w="2363" w:type="dxa"/>
            <w:vAlign w:val="center"/>
          </w:tcPr>
          <w:p w14:paraId="7305BFF2">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Zu</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{"citationID":"JkAssYaP","properties":{"unsorted":false,"formattedCitation":"\\super [37]\\nosupersub{}","plainCitation":"[37]","noteIndex":0},"citationItems":[{"id":127,"uris":["http://zotero.org/users/17236044/items/QZE83STV"],"itemData":{"id":127,"type":"thesis","publisher":"China CDC","publisher-place":"Beijing","title":"Cost-effectiveness of preventive treatment in close contacts of pulmonary tuberculosis (PTB) cases","author":[{"family":"Zu","given":"Xiaowen"}],"issued":{"date-parts":[["2020",6]]}}}],"schema":"https://github.com/citation-style-language/schema/raw/master/csl-citation.json"}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[37]</w:t>
            </w:r>
            <w:r>
              <w:rPr>
                <w:rFonts w:ascii="Times New Roman" w:hAnsi="Times New Roman" w:cs="Times New Roman"/>
                <w:sz w:val="15"/>
                <w:szCs w:val="15"/>
              </w:rPr>
              <w:fldChar w:fldCharType="end"/>
            </w:r>
          </w:p>
        </w:tc>
      </w:tr>
      <w:tr w14:paraId="715319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5ABA59E3">
            <w:pPr>
              <w:adjustRightInd w:val="0"/>
              <w:snapToGrid w:val="0"/>
              <w:ind w:left="174" w:leftChars="83" w:firstLine="150" w:firstLineChars="100"/>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Interrupted preventive treatment</w:t>
            </w:r>
          </w:p>
        </w:tc>
        <w:tc>
          <w:tcPr>
            <w:tcW w:w="1134" w:type="dxa"/>
            <w:vAlign w:val="center"/>
          </w:tcPr>
          <w:p w14:paraId="3A174A02">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334.88</w:t>
            </w:r>
            <w:r>
              <w:rPr>
                <w:rFonts w:hint="eastAsia" w:ascii="Times New Roman" w:hAnsi="Times New Roman" w:cs="Times New Roman"/>
                <w:sz w:val="15"/>
                <w:szCs w:val="15"/>
              </w:rPr>
              <w:t>.00</w:t>
            </w:r>
          </w:p>
        </w:tc>
        <w:tc>
          <w:tcPr>
            <w:tcW w:w="1559" w:type="dxa"/>
            <w:vAlign w:val="center"/>
          </w:tcPr>
          <w:p w14:paraId="2A7F01D3">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167.44, 669.76</w:t>
            </w:r>
          </w:p>
        </w:tc>
        <w:tc>
          <w:tcPr>
            <w:tcW w:w="2363" w:type="dxa"/>
            <w:vAlign w:val="center"/>
          </w:tcPr>
          <w:p w14:paraId="6575BFFC">
            <w:pPr>
              <w:adjustRightInd w:val="0"/>
              <w:snapToGrid w:val="0"/>
              <w:jc w:val="center"/>
              <w:rPr>
                <w:rFonts w:ascii="Times New Roman" w:hAnsi="Times New Roman" w:eastAsia="Times New Roman" w:cs="Times New Roman"/>
                <w:sz w:val="15"/>
                <w:szCs w:val="15"/>
              </w:rPr>
            </w:pPr>
            <w:r>
              <w:rPr>
                <w:rFonts w:hint="eastAsia" w:ascii="Times New Roman" w:hAnsi="Times New Roman" w:cs="Times New Roman"/>
                <w:sz w:val="15"/>
                <w:szCs w:val="15"/>
              </w:rPr>
              <w:t>Zu</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{"citationID":"M4gLCuzI","properties":{"unsorted":false,"formattedCitation":"\\super [37]\\nosupersub{}","plainCitation":"[37]","noteIndex":0},"citationItems":[{"id":127,"uris":["http://zotero.org/users/17236044/items/QZE83STV"],"itemData":{"id":127,"type":"thesis","publisher":"China CDC","publisher-place":"Beijing","title":"Cost-effectiveness of preventive treatment in close contacts of pulmonary tuberculosis (PTB) cases","author":[{"family":"Zu","given":"Xiaowen"}],"issued":{"date-parts":[["2020",6]]}}}],"schema":"https://github.com/citation-style-language/schema/raw/master/csl-citation.json"}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[37]</w:t>
            </w:r>
            <w:r>
              <w:rPr>
                <w:rFonts w:ascii="Times New Roman" w:hAnsi="Times New Roman" w:cs="Times New Roman"/>
                <w:sz w:val="15"/>
                <w:szCs w:val="15"/>
              </w:rPr>
              <w:fldChar w:fldCharType="end"/>
            </w:r>
          </w:p>
        </w:tc>
      </w:tr>
      <w:tr w14:paraId="2E9675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1C087C30">
            <w:pPr>
              <w:adjustRightInd w:val="0"/>
              <w:snapToGrid w:val="0"/>
              <w:ind w:left="174" w:leftChars="83"/>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 xml:space="preserve">Total cost for passively detected </w:t>
            </w:r>
            <w:r>
              <w:rPr>
                <w:rFonts w:hint="eastAsia" w:ascii="Times New Roman" w:hAnsi="Times New Roman" w:eastAsia="宋体" w:cs="Times New Roman"/>
                <w:sz w:val="15"/>
                <w:szCs w:val="15"/>
              </w:rPr>
              <w:t>sTB</w:t>
            </w:r>
            <w:r>
              <w:rPr>
                <w:rFonts w:ascii="Times New Roman" w:hAnsi="Times New Roman" w:eastAsia="Times New Roman" w:cs="Times New Roman"/>
                <w:sz w:val="15"/>
                <w:szCs w:val="15"/>
              </w:rPr>
              <w:t>/aTB</w:t>
            </w:r>
          </w:p>
        </w:tc>
        <w:tc>
          <w:tcPr>
            <w:tcW w:w="1134" w:type="dxa"/>
            <w:vAlign w:val="center"/>
          </w:tcPr>
          <w:p w14:paraId="0C90ED05">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17,666</w:t>
            </w:r>
            <w:r>
              <w:rPr>
                <w:rFonts w:hint="eastAsia" w:ascii="Times New Roman" w:hAnsi="Times New Roman" w:cs="Times New Roman"/>
                <w:sz w:val="15"/>
                <w:szCs w:val="15"/>
              </w:rPr>
              <w:t>.00</w:t>
            </w:r>
          </w:p>
        </w:tc>
        <w:tc>
          <w:tcPr>
            <w:tcW w:w="1559" w:type="dxa"/>
            <w:vAlign w:val="center"/>
          </w:tcPr>
          <w:p w14:paraId="2EE19968">
            <w:pPr>
              <w:adjustRightInd w:val="0"/>
              <w:snapToGrid w:val="0"/>
              <w:jc w:val="center"/>
              <w:rPr>
                <w:rFonts w:ascii="Times New Roman" w:hAnsi="Times New Roman" w:cs="Times New Roman"/>
                <w:sz w:val="15"/>
                <w:szCs w:val="15"/>
              </w:rPr>
            </w:pPr>
            <w:r>
              <w:rPr>
                <w:rFonts w:ascii="Times New Roman" w:hAnsi="Times New Roman" w:cs="Times New Roman"/>
                <w:sz w:val="15"/>
                <w:szCs w:val="15"/>
              </w:rPr>
              <w:t>8,833</w:t>
            </w:r>
            <w:r>
              <w:rPr>
                <w:rFonts w:hint="eastAsia" w:ascii="Times New Roman" w:hAnsi="Times New Roman" w:cs="Times New Roman"/>
                <w:sz w:val="15"/>
                <w:szCs w:val="15"/>
              </w:rPr>
              <w:t>.00</w:t>
            </w:r>
            <w:r>
              <w:rPr>
                <w:rFonts w:ascii="Times New Roman" w:hAnsi="Times New Roman" w:cs="Times New Roman"/>
                <w:sz w:val="15"/>
                <w:szCs w:val="15"/>
              </w:rPr>
              <w:t>, 26,499</w:t>
            </w:r>
            <w:r>
              <w:rPr>
                <w:rFonts w:hint="eastAsia" w:ascii="Times New Roman" w:hAnsi="Times New Roman" w:cs="Times New Roman"/>
                <w:sz w:val="15"/>
                <w:szCs w:val="15"/>
              </w:rPr>
              <w:t>.00</w:t>
            </w:r>
          </w:p>
        </w:tc>
        <w:tc>
          <w:tcPr>
            <w:tcW w:w="2363" w:type="dxa"/>
            <w:vAlign w:val="center"/>
          </w:tcPr>
          <w:p w14:paraId="1FC6F44A">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Liu</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{"citationID":"XAK8REGq","properties":{"unsorted":false,"formattedCitation":"\\super [38]\\nosupersub{}","plainCitation":"[38]","noteIndex":0},"citationItems":[{"id":726,"uris":["http://zotero.org/users/17236044/items/Q2WTEMBW"],"itemData":{"id":726,"type":"article-journal","issue":"12","page":"1134-1140","title":"Estimation on direct medical costs of pulmonary tuberculosis in China","volume":"45","author":[{"literal":"Liu Yuhong"},{"literal":"Gao Menggiu"},{"literal":"Zhang Lijie"},{"literal":"Ma Liping"},{"literal":"Nie Lihui"},{"literal":"Jiang Guanglu"},{"literal":"Ding Hongwan"},{"literal":"Li Liang"}],"issued":{"date-parts":[["2023"]]}}}],"schema":"https://github.com/citation-style-language/schema/raw/master/csl-citation.json"}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[38]</w:t>
            </w:r>
            <w:r>
              <w:rPr>
                <w:rFonts w:ascii="Times New Roman" w:hAnsi="Times New Roman" w:cs="Times New Roman"/>
                <w:sz w:val="15"/>
                <w:szCs w:val="15"/>
              </w:rPr>
              <w:fldChar w:fldCharType="end"/>
            </w:r>
          </w:p>
        </w:tc>
      </w:tr>
      <w:tr w14:paraId="44F30A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5D2B648C">
            <w:pPr>
              <w:adjustRightInd w:val="0"/>
              <w:snapToGrid w:val="0"/>
              <w:ind w:left="174" w:leftChars="83"/>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 xml:space="preserve">Total treatment cost for actively detected </w:t>
            </w:r>
            <w:r>
              <w:rPr>
                <w:rFonts w:hint="eastAsia" w:ascii="Times New Roman" w:hAnsi="Times New Roman" w:eastAsia="宋体" w:cs="Times New Roman"/>
                <w:sz w:val="15"/>
                <w:szCs w:val="15"/>
              </w:rPr>
              <w:t>sTB</w:t>
            </w:r>
            <w:r>
              <w:rPr>
                <w:rFonts w:ascii="Times New Roman" w:hAnsi="Times New Roman" w:eastAsia="Times New Roman" w:cs="Times New Roman"/>
                <w:sz w:val="15"/>
                <w:szCs w:val="15"/>
              </w:rPr>
              <w:t>/aTB</w:t>
            </w:r>
          </w:p>
        </w:tc>
        <w:tc>
          <w:tcPr>
            <w:tcW w:w="1134" w:type="dxa"/>
            <w:vAlign w:val="center"/>
          </w:tcPr>
          <w:p w14:paraId="64BD3E80">
            <w:pPr>
              <w:adjustRightInd w:val="0"/>
              <w:snapToGrid w:val="0"/>
              <w:jc w:val="center"/>
              <w:rPr>
                <w:rFonts w:ascii="Times New Roman" w:hAnsi="Times New Roman" w:eastAsia="Times New Roman" w:cs="Times New Roman"/>
                <w:sz w:val="15"/>
                <w:szCs w:val="15"/>
              </w:rPr>
            </w:pPr>
            <w:r>
              <w:rPr>
                <w:rFonts w:ascii="Times New Roman" w:hAnsi="Times New Roman"/>
                <w:sz w:val="15"/>
                <w:szCs w:val="15"/>
              </w:rPr>
              <w:t>13707.50</w:t>
            </w:r>
          </w:p>
        </w:tc>
        <w:tc>
          <w:tcPr>
            <w:tcW w:w="1559" w:type="dxa"/>
            <w:vAlign w:val="center"/>
          </w:tcPr>
          <w:p w14:paraId="4B13A711">
            <w:pPr>
              <w:adjustRightInd w:val="0"/>
              <w:snapToGrid w:val="0"/>
              <w:jc w:val="center"/>
              <w:rPr>
                <w:rFonts w:ascii="Times New Roman" w:hAnsi="Times New Roman" w:cs="Times New Roman"/>
                <w:sz w:val="15"/>
                <w:szCs w:val="15"/>
              </w:rPr>
            </w:pPr>
            <w:r>
              <w:rPr>
                <w:rFonts w:ascii="Times New Roman" w:hAnsi="Times New Roman"/>
                <w:sz w:val="15"/>
                <w:szCs w:val="15"/>
              </w:rPr>
              <w:t>10280.6</w:t>
            </w:r>
            <w:r>
              <w:rPr>
                <w:rFonts w:hint="eastAsia" w:ascii="Times New Roman" w:hAnsi="Times New Roman"/>
                <w:sz w:val="15"/>
                <w:szCs w:val="15"/>
              </w:rPr>
              <w:t>3</w:t>
            </w:r>
            <w:r>
              <w:rPr>
                <w:rFonts w:ascii="Times New Roman" w:hAnsi="Times New Roman"/>
                <w:sz w:val="15"/>
                <w:szCs w:val="15"/>
              </w:rPr>
              <w:t>, 17134.3</w:t>
            </w:r>
            <w:r>
              <w:rPr>
                <w:rFonts w:hint="eastAsia" w:ascii="Times New Roman" w:hAnsi="Times New Roman"/>
                <w:sz w:val="15"/>
                <w:szCs w:val="15"/>
              </w:rPr>
              <w:t>8</w:t>
            </w:r>
          </w:p>
        </w:tc>
        <w:tc>
          <w:tcPr>
            <w:tcW w:w="2363" w:type="dxa"/>
            <w:vAlign w:val="center"/>
          </w:tcPr>
          <w:p w14:paraId="4BFD0699">
            <w:pPr>
              <w:adjustRightInd w:val="0"/>
              <w:snapToGrid w:val="0"/>
              <w:jc w:val="center"/>
              <w:rPr>
                <w:rFonts w:ascii="Times New Roman" w:hAnsi="Times New Roman" w:cs="Times New Roman"/>
                <w:sz w:val="15"/>
                <w:szCs w:val="15"/>
              </w:rPr>
            </w:pPr>
            <w:r>
              <w:rPr>
                <w:rFonts w:ascii="Times New Roman" w:hAnsi="Times New Roman"/>
                <w:sz w:val="15"/>
                <w:szCs w:val="15"/>
              </w:rPr>
              <w:t>China's 13th Five-Year Plan for National TB Prevention and Control final evaluation report</w:t>
            </w:r>
            <w:r>
              <w:rPr>
                <w:rFonts w:ascii="Times New Roman" w:hAnsi="Times New Roman"/>
                <w:sz w:val="15"/>
                <w:szCs w:val="15"/>
              </w:rPr>
              <w:fldChar w:fldCharType="begin"/>
            </w:r>
            <w:r>
              <w:rPr>
                <w:rFonts w:ascii="Times New Roman" w:hAnsi="Times New Roman"/>
                <w:sz w:val="15"/>
                <w:szCs w:val="15"/>
              </w:rPr>
              <w:instrText xml:space="preserve"> ADDIN ZOTERO_ITEM CSL_CITATION {"citationID":"SFU6HzGs","properties":{"unsorted":false,"formattedCitation":"\\super [39]\\nosupersub{}","plainCitation":"[39]","noteIndex":0},"citationItems":[{"id":729,"uris":["http://zotero.org/users/17236044/items/RBURSX7I"],"itemData":{"id":729,"type":"report","publisher":"Chinese Center for Disease Control and Prevention","publisher-place":"Beijing","title":"China’s 13th Five-Year Plan for National TB Prevention and Control final evaluation report","author":[{"literal":"National Center for Tuberculosis Control and Prevention"}],"issued":{"date-parts":[["2021"]]}}}],"schema":"https://github.com/citation-style-language/schema/raw/master/csl-citation.json"} </w:instrText>
            </w:r>
            <w:r>
              <w:rPr>
                <w:rFonts w:ascii="Times New Roman" w:hAnsi="Times New Roman"/>
                <w:sz w:val="15"/>
                <w:szCs w:val="15"/>
              </w:rPr>
              <w:fldChar w:fldCharType="separate"/>
            </w:r>
            <w:r>
              <w:rPr>
                <w:rFonts w:ascii="Times New Roman" w:hAnsi="Times New Roman" w:cs="Times New Roman"/>
                <w:kern w:val="0"/>
                <w:sz w:val="15"/>
                <w:vertAlign w:val="superscript"/>
              </w:rPr>
              <w:t>[39]</w:t>
            </w:r>
            <w:r>
              <w:rPr>
                <w:rFonts w:ascii="Times New Roman" w:hAnsi="Times New Roman"/>
                <w:sz w:val="15"/>
                <w:szCs w:val="15"/>
              </w:rPr>
              <w:fldChar w:fldCharType="end"/>
            </w:r>
          </w:p>
        </w:tc>
      </w:tr>
      <w:tr w14:paraId="682C9C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3AD75E37">
            <w:pPr>
              <w:adjustRightInd w:val="0"/>
              <w:snapToGrid w:val="0"/>
              <w:jc w:val="left"/>
              <w:rPr>
                <w:rFonts w:ascii="Times New Roman" w:hAnsi="Times New Roman" w:cs="Times New Roman"/>
                <w:b/>
                <w:bCs/>
                <w:sz w:val="15"/>
                <w:szCs w:val="15"/>
              </w:rPr>
            </w:pPr>
            <w:r>
              <w:rPr>
                <w:rFonts w:ascii="Times New Roman" w:hAnsi="Times New Roman" w:eastAsia="Times New Roman" w:cs="Times New Roman"/>
                <w:b/>
                <w:bCs/>
                <w:sz w:val="15"/>
                <w:szCs w:val="15"/>
              </w:rPr>
              <w:t xml:space="preserve">Utility </w:t>
            </w:r>
            <w:r>
              <w:rPr>
                <w:rFonts w:hint="eastAsia" w:ascii="Times New Roman" w:hAnsi="Times New Roman" w:cs="Times New Roman"/>
                <w:b/>
                <w:bCs/>
                <w:sz w:val="15"/>
                <w:szCs w:val="15"/>
              </w:rPr>
              <w:t>parameters</w:t>
            </w:r>
          </w:p>
        </w:tc>
        <w:tc>
          <w:tcPr>
            <w:tcW w:w="1134" w:type="dxa"/>
            <w:vAlign w:val="center"/>
          </w:tcPr>
          <w:p w14:paraId="7346247E">
            <w:pPr>
              <w:adjustRightInd w:val="0"/>
              <w:snapToGrid w:val="0"/>
              <w:jc w:val="center"/>
              <w:rPr>
                <w:rFonts w:ascii="Times New Roman" w:hAnsi="Times New Roman" w:eastAsia="Times New Roman" w:cs="Times New Roman"/>
                <w:sz w:val="15"/>
                <w:szCs w:val="15"/>
              </w:rPr>
            </w:pPr>
          </w:p>
        </w:tc>
        <w:tc>
          <w:tcPr>
            <w:tcW w:w="1559" w:type="dxa"/>
            <w:vAlign w:val="center"/>
          </w:tcPr>
          <w:p w14:paraId="64F2DEAC">
            <w:pPr>
              <w:adjustRightInd w:val="0"/>
              <w:snapToGrid w:val="0"/>
              <w:jc w:val="center"/>
              <w:rPr>
                <w:rFonts w:ascii="Times New Roman" w:hAnsi="Times New Roman" w:eastAsia="Times New Roman" w:cs="Times New Roman"/>
                <w:sz w:val="15"/>
                <w:szCs w:val="15"/>
              </w:rPr>
            </w:pPr>
          </w:p>
        </w:tc>
        <w:tc>
          <w:tcPr>
            <w:tcW w:w="2363" w:type="dxa"/>
            <w:vAlign w:val="center"/>
          </w:tcPr>
          <w:p w14:paraId="545551B6">
            <w:pPr>
              <w:adjustRightInd w:val="0"/>
              <w:snapToGrid w:val="0"/>
              <w:jc w:val="center"/>
              <w:rPr>
                <w:rFonts w:ascii="Times New Roman" w:hAnsi="Times New Roman" w:eastAsia="Times New Roman" w:cs="Times New Roman"/>
                <w:sz w:val="15"/>
                <w:szCs w:val="15"/>
              </w:rPr>
            </w:pPr>
          </w:p>
        </w:tc>
      </w:tr>
      <w:tr w14:paraId="72BB6D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126FEA6D">
            <w:pPr>
              <w:adjustRightInd w:val="0"/>
              <w:snapToGrid w:val="0"/>
              <w:ind w:left="174" w:leftChars="83"/>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Health</w:t>
            </w:r>
          </w:p>
        </w:tc>
        <w:tc>
          <w:tcPr>
            <w:tcW w:w="1134" w:type="dxa"/>
            <w:vAlign w:val="center"/>
          </w:tcPr>
          <w:p w14:paraId="6A81120A">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1.00</w:t>
            </w:r>
          </w:p>
        </w:tc>
        <w:tc>
          <w:tcPr>
            <w:tcW w:w="1559" w:type="dxa"/>
            <w:vAlign w:val="center"/>
          </w:tcPr>
          <w:p w14:paraId="749DFD8B">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w:t>
            </w:r>
          </w:p>
        </w:tc>
        <w:tc>
          <w:tcPr>
            <w:tcW w:w="2363" w:type="dxa"/>
            <w:vAlign w:val="center"/>
          </w:tcPr>
          <w:p w14:paraId="6C14BD9F">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w:t>
            </w:r>
          </w:p>
        </w:tc>
      </w:tr>
      <w:tr w14:paraId="659EEC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1B76FB58">
            <w:pPr>
              <w:adjustRightInd w:val="0"/>
              <w:snapToGrid w:val="0"/>
              <w:ind w:left="174" w:leftChars="83"/>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LTBI</w:t>
            </w:r>
          </w:p>
        </w:tc>
        <w:tc>
          <w:tcPr>
            <w:tcW w:w="1134" w:type="dxa"/>
            <w:vAlign w:val="center"/>
          </w:tcPr>
          <w:p w14:paraId="3E952B9F">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0.97</w:t>
            </w:r>
          </w:p>
        </w:tc>
        <w:tc>
          <w:tcPr>
            <w:tcW w:w="1559" w:type="dxa"/>
            <w:vAlign w:val="center"/>
          </w:tcPr>
          <w:p w14:paraId="7BB745A1">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0.95, 1.00</w:t>
            </w:r>
          </w:p>
        </w:tc>
        <w:tc>
          <w:tcPr>
            <w:tcW w:w="2363" w:type="dxa"/>
            <w:vAlign w:val="center"/>
          </w:tcPr>
          <w:p w14:paraId="40F72DA5">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Field data</w:t>
            </w:r>
          </w:p>
        </w:tc>
      </w:tr>
      <w:tr w14:paraId="0B516D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1CD1C7A0">
            <w:pPr>
              <w:adjustRightInd w:val="0"/>
              <w:snapToGrid w:val="0"/>
              <w:ind w:left="174" w:leftChars="83"/>
              <w:jc w:val="left"/>
              <w:rPr>
                <w:rFonts w:ascii="Times New Roman" w:hAnsi="Times New Roman" w:eastAsia="宋体" w:cs="Times New Roman"/>
                <w:sz w:val="15"/>
                <w:szCs w:val="15"/>
              </w:rPr>
            </w:pPr>
            <w:r>
              <w:rPr>
                <w:rFonts w:hint="eastAsia" w:ascii="Times New Roman" w:hAnsi="Times New Roman" w:eastAsia="宋体" w:cs="Times New Roman"/>
                <w:sz w:val="15"/>
                <w:szCs w:val="15"/>
              </w:rPr>
              <w:t>sTB</w:t>
            </w:r>
          </w:p>
        </w:tc>
        <w:tc>
          <w:tcPr>
            <w:tcW w:w="1134" w:type="dxa"/>
            <w:vAlign w:val="center"/>
          </w:tcPr>
          <w:p w14:paraId="36E3FB00">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0.8</w:t>
            </w:r>
            <w:r>
              <w:rPr>
                <w:rFonts w:hint="eastAsia" w:ascii="Times New Roman" w:hAnsi="Times New Roman" w:cs="Times New Roman"/>
                <w:sz w:val="15"/>
                <w:szCs w:val="15"/>
              </w:rPr>
              <w:t>5</w:t>
            </w:r>
          </w:p>
        </w:tc>
        <w:tc>
          <w:tcPr>
            <w:tcW w:w="1559" w:type="dxa"/>
            <w:vAlign w:val="center"/>
          </w:tcPr>
          <w:p w14:paraId="6320F97A">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0.7</w:t>
            </w:r>
            <w:r>
              <w:rPr>
                <w:rFonts w:hint="eastAsia" w:ascii="Times New Roman" w:hAnsi="Times New Roman" w:cs="Times New Roman"/>
                <w:sz w:val="15"/>
                <w:szCs w:val="15"/>
              </w:rPr>
              <w:t>0</w:t>
            </w:r>
            <w:r>
              <w:rPr>
                <w:rFonts w:ascii="Times New Roman" w:hAnsi="Times New Roman" w:eastAsia="Times New Roman" w:cs="Times New Roman"/>
                <w:sz w:val="15"/>
                <w:szCs w:val="15"/>
              </w:rPr>
              <w:t>, 0.</w:t>
            </w:r>
            <w:r>
              <w:rPr>
                <w:rFonts w:hint="eastAsia" w:ascii="Times New Roman" w:hAnsi="Times New Roman" w:cs="Times New Roman"/>
                <w:sz w:val="15"/>
                <w:szCs w:val="15"/>
              </w:rPr>
              <w:t>90</w:t>
            </w:r>
          </w:p>
        </w:tc>
        <w:tc>
          <w:tcPr>
            <w:tcW w:w="2363" w:type="dxa"/>
            <w:vAlign w:val="center"/>
          </w:tcPr>
          <w:p w14:paraId="030FAC4B">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Mullie</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{"citationID":"RySnj3OB","properties":{"unsorted":false,"formattedCitation":"\\super [41]\\nosupersub{}","plainCitation":"[41]","noteIndex":0},"citationItems":[{"id":727,"uris":["http://zotero.org/users/17236044/items/5EG7WCFM"],"itemData":{"id":727,"type":"article-journal","abstract":"BACKGROUND: In North America, tuberculosis incidence is now very low and risk to healthcare workers has fallen. Indeed, recent cohort data question routine annual  tuberculosis screening in this context. We compared the cost-effectiveness of  three potential strategies for ongoing screening of North American healthcare  workers at risk of exposure. The analysis did not evaluate the cost-effectiveness  of screening at hiring, and considered only workers with negative baseline tests.  METHODS: A decision analysis model simulated a hypothetical cohort of 1000  workers following negative baseline tests, considering duties, tuberculosis  exposure, testing and treatment. Two tests were modelled, the tuberculin skin  test (TST) and QuantiFERON®-TB-Gold In-Tube (QFT). Three screening strategies  were compared: (1) annual screening, where workers were tested yearly; (2)  targeted screening, where workers with high-risk duties (e.g. respiratory  therapy) were tested yearly and other workers only after recognised exposure; and  (3) post exposure-only screening, where all workers were tested only after  recognised exposure. Workers with high-risk duties had 1% annual risk of  infection, while workers with standard patient care duties had 0.3%. In an  alternate higher-risk scenario, the corresponding annual risks of infection were  3% and 1%, respectively. We projected costs, morbidity, quality-adjusted survival  and mortality over 20 years after hiring. The analysis used the healthcare system  perspective and a 3% annual discount rate. RESULTS: Over 20 years, annual  screening with TST yielded an expected 2.68 active tuberculosis cases/1000  workers, versus 2.83 for targeted screening and 3.03 for post-exposure screening  only. In all cases, annual screening was associated with poorer quality-adjusted  survival, i.e. lost quality-adjusted life years, compared to targeted or  post-exposure screening only. The annual TST screening strategy yielded an  incremental cost estimate of $1,717,539 per additional case prevented versus  targeted TST screening, which in turn cost an incremental $426,678 per additional  case prevented versus post-exposure TST screening only. With the alternate  \"higher-risk\" scenario, the annual TST strategy cost an estimated $426,678 per  additional case prevented versus the targeted TST strategy, which cost an  estimated $52,552 per additional case prevented versus post-exposure TST  screening only. In all cases, QFT was more expensive than TST, with no or limited  added benefit. Sensitivity analysis suggested that, even with limited exposure  recognition, annual screening was poorly cost-effective. CONCLUSIONS: For most  North American healthcare workers, annual tuberculosis screening appears poorly  cost-effective. Reconsideration of screening practices is warranted.","container-title":"Bmc Medicine","DOI":"10.1186/s12916-017-0865-x","ISSN":"1741-7015","issue":"1","journalAbbreviation":"BMC Med","language":"eng","note":"JCR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Q1\n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1</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8.7\n5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9.1\n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A","page":"104","PMID":"28514962","PMCID":"PMC5436424","publisher-place":"England","title":"Revisiting annual screening for latent tuberculosis infection in healthcare workers: A cost-effectiveness analysis.","volume":"15","author":[{"family":"Mullie","given":"Guillaume A."},{"family":"Schwartzman","given":"Kevin"},{"family":"Zwerling","given":"Alice"},{"family":"N'Diaye","given":"Dieynaba S."}],"issued":{"date-parts":[["2017",5,17]]}}}],"schema":"https://github.com/citation-style-language/schema/raw/master/csl-citation.json"}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[41]</w:t>
            </w:r>
            <w:r>
              <w:rPr>
                <w:rFonts w:ascii="Times New Roman" w:hAnsi="Times New Roman" w:eastAsia="Times New Roman" w:cs="Times New Roman"/>
                <w:sz w:val="15"/>
                <w:szCs w:val="15"/>
              </w:rPr>
              <w:fldChar w:fldCharType="end"/>
            </w:r>
          </w:p>
        </w:tc>
      </w:tr>
      <w:tr w14:paraId="671303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4DD3263C">
            <w:pPr>
              <w:adjustRightInd w:val="0"/>
              <w:snapToGrid w:val="0"/>
              <w:ind w:left="174" w:leftChars="83"/>
              <w:jc w:val="left"/>
              <w:rPr>
                <w:rFonts w:ascii="Times New Roman" w:hAnsi="Times New Roman" w:cs="Times New Roman"/>
                <w:sz w:val="15"/>
                <w:szCs w:val="15"/>
              </w:rPr>
            </w:pPr>
            <w:r>
              <w:rPr>
                <w:rFonts w:hint="eastAsia" w:ascii="Times New Roman" w:hAnsi="Times New Roman" w:cs="Times New Roman"/>
                <w:sz w:val="15"/>
                <w:szCs w:val="15"/>
              </w:rPr>
              <w:t>aTB</w:t>
            </w:r>
          </w:p>
        </w:tc>
        <w:tc>
          <w:tcPr>
            <w:tcW w:w="1134" w:type="dxa"/>
            <w:vAlign w:val="center"/>
          </w:tcPr>
          <w:p w14:paraId="386EA793">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0.9</w:t>
            </w:r>
            <w:r>
              <w:rPr>
                <w:rFonts w:hint="eastAsia" w:ascii="Times New Roman" w:hAnsi="Times New Roman" w:cs="Times New Roman"/>
                <w:sz w:val="15"/>
                <w:szCs w:val="15"/>
              </w:rPr>
              <w:t>0</w:t>
            </w:r>
          </w:p>
        </w:tc>
        <w:tc>
          <w:tcPr>
            <w:tcW w:w="1559" w:type="dxa"/>
            <w:vAlign w:val="center"/>
          </w:tcPr>
          <w:p w14:paraId="081F9084">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0.8</w:t>
            </w:r>
            <w:r>
              <w:rPr>
                <w:rFonts w:hint="eastAsia" w:ascii="Times New Roman" w:hAnsi="Times New Roman" w:cs="Times New Roman"/>
                <w:sz w:val="15"/>
                <w:szCs w:val="15"/>
              </w:rPr>
              <w:t>5</w:t>
            </w:r>
            <w:r>
              <w:rPr>
                <w:rFonts w:ascii="Times New Roman" w:hAnsi="Times New Roman" w:eastAsia="Times New Roman" w:cs="Times New Roman"/>
                <w:sz w:val="15"/>
                <w:szCs w:val="15"/>
              </w:rPr>
              <w:t xml:space="preserve">, </w:t>
            </w:r>
            <w:r>
              <w:rPr>
                <w:rFonts w:hint="eastAsia" w:ascii="Times New Roman" w:hAnsi="Times New Roman" w:cs="Times New Roman"/>
                <w:sz w:val="15"/>
                <w:szCs w:val="15"/>
              </w:rPr>
              <w:t>0.95</w:t>
            </w:r>
          </w:p>
        </w:tc>
        <w:tc>
          <w:tcPr>
            <w:tcW w:w="2363" w:type="dxa"/>
            <w:vAlign w:val="center"/>
          </w:tcPr>
          <w:p w14:paraId="3DF7D0D3">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Estimated</w:t>
            </w:r>
          </w:p>
        </w:tc>
      </w:tr>
      <w:tr w14:paraId="044B511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 w:hRule="atLeast"/>
          <w:jc w:val="center"/>
        </w:trPr>
        <w:tc>
          <w:tcPr>
            <w:tcW w:w="3272" w:type="dxa"/>
            <w:vAlign w:val="center"/>
          </w:tcPr>
          <w:p w14:paraId="5F73445E">
            <w:pPr>
              <w:adjustRightInd w:val="0"/>
              <w:snapToGrid w:val="0"/>
              <w:ind w:left="174" w:leftChars="83"/>
              <w:jc w:val="left"/>
              <w:rPr>
                <w:rFonts w:ascii="Times New Roman" w:hAnsi="Times New Roman" w:cs="Times New Roman"/>
                <w:sz w:val="15"/>
                <w:szCs w:val="15"/>
              </w:rPr>
            </w:pPr>
            <w:r>
              <w:rPr>
                <w:rFonts w:ascii="Times New Roman" w:hAnsi="Times New Roman" w:cs="Times New Roman"/>
                <w:sz w:val="15"/>
                <w:szCs w:val="15"/>
              </w:rPr>
              <w:t xml:space="preserve">Recovered </w:t>
            </w:r>
            <w:r>
              <w:rPr>
                <w:rFonts w:hint="eastAsia" w:ascii="Times New Roman" w:hAnsi="Times New Roman" w:cs="Times New Roman"/>
                <w:sz w:val="15"/>
                <w:szCs w:val="15"/>
              </w:rPr>
              <w:t>sTB</w:t>
            </w:r>
            <w:r>
              <w:rPr>
                <w:rFonts w:ascii="Times New Roman" w:hAnsi="Times New Roman" w:cs="Times New Roman"/>
                <w:sz w:val="15"/>
                <w:szCs w:val="15"/>
              </w:rPr>
              <w:t>/aTB patients</w:t>
            </w:r>
          </w:p>
        </w:tc>
        <w:tc>
          <w:tcPr>
            <w:tcW w:w="1134" w:type="dxa"/>
            <w:vAlign w:val="center"/>
          </w:tcPr>
          <w:p w14:paraId="6412B359">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0.95</w:t>
            </w:r>
          </w:p>
        </w:tc>
        <w:tc>
          <w:tcPr>
            <w:tcW w:w="1559" w:type="dxa"/>
            <w:vAlign w:val="center"/>
          </w:tcPr>
          <w:p w14:paraId="3C773812">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0.87</w:t>
            </w:r>
            <w:r>
              <w:rPr>
                <w:rFonts w:hint="eastAsia" w:ascii="Times New Roman" w:hAnsi="Times New Roman" w:cs="Times New Roman"/>
                <w:sz w:val="15"/>
                <w:szCs w:val="15"/>
              </w:rPr>
              <w:t xml:space="preserve">, </w:t>
            </w:r>
            <w:r>
              <w:rPr>
                <w:rFonts w:ascii="Times New Roman" w:hAnsi="Times New Roman" w:eastAsia="Times New Roman" w:cs="Times New Roman"/>
                <w:sz w:val="15"/>
                <w:szCs w:val="15"/>
              </w:rPr>
              <w:t>1.00</w:t>
            </w:r>
          </w:p>
        </w:tc>
        <w:tc>
          <w:tcPr>
            <w:tcW w:w="2363" w:type="dxa"/>
            <w:vAlign w:val="center"/>
          </w:tcPr>
          <w:p w14:paraId="44AEE31B">
            <w:pPr>
              <w:adjustRightInd w:val="0"/>
              <w:snapToGrid w:val="0"/>
              <w:jc w:val="center"/>
              <w:rPr>
                <w:rFonts w:ascii="Times New Roman" w:hAnsi="Times New Roman" w:eastAsia="Times New Roman" w:cs="Times New Roman"/>
                <w:sz w:val="15"/>
                <w:szCs w:val="15"/>
              </w:rPr>
            </w:pPr>
            <w:r>
              <w:rPr>
                <w:rFonts w:ascii="Times New Roman" w:hAnsi="Times New Roman" w:cs="Times New Roman"/>
                <w:sz w:val="15"/>
                <w:szCs w:val="15"/>
              </w:rPr>
              <w:t>Doan</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{"citationID":"cuDiZFKL","properties":{"unsorted":false,"formattedCitation":"\\super [30]\\nosupersub{}","plainCitation":"[30]","noteIndex":0},"citationItems":[{"id":455,"uris":["http://zotero.org/users/17236044/items/T3UGATYX"],"itemData":{"id":455,"type":"article-journal","abstract":"Background: Latent tuberculosis infection (LTBI) is a critical driver of the global burden of active TB, and therefore LTBI treatment is key for TB elimination. Treatment regimens for LTBI include self-administered daily isoniazid for 6 (6H) or 9 (9H) months, self-administered daily rifampicin plus isoniazid for 3 months (3RH), selfadministered daily rifampicin for 4 months (4R) and weekly rifapentine plus isoniazid for 3 months self-administered (3HP-SAT) or administered by a healthcare worker as directly observed therapy (3HP-DOT). Data on the relative cost-effectiveness of these regimens are needed to assist policymakers and clinicians in selecting an LTBI regimen.\nObjectives: To evaluate the cost-effectiveness of all regimens for treating LTBI.\nMethods: We developed a Markov model to investigate the cost-effectiveness of 3HP-DOT, 3HP-SAT, 4R, 3RH, 9H and 6H for LTBI treatment in a cohort of 10000 adults with LTBI. Cost-effectiveness was evaluated from a health system perspective over a 20 year time horizon.\nResults: Compared with no preventive treatment, 3HP-DOT, 3HP-SAT, 4R, 3RH, 9H and 6H prevented 496, 470, 442, 418, 370 and 276 additional cases of active TB per 10000 patients, respectively. All regimens reduced costs and increased QALYs compared with no preventive treatment. 3HP was more cost-effective under DOT than under SAT at a cost of US$27948 per QALY gained.\nConclusions: Three months of weekly rifapentine plus isoniazid is more cost-effective than other regimens. Greater recognition of the beneﬁts of short-course regimens can contribute to the scale-up of prevention and achieving the ‘End TB’ targets.","container-title":"Journal of Antimicrobial Chemotherapy","DOI":"10.1093/jac/dky403","ISSN":"0305-7453, 1460-2091","issue":"1","language":"en","license":"https://academic.oup.com/journals/pages/open_access/funder_policies/chorus/standard_publication_model","page":"218-227","source":"DOI.org (Crossref)","title":"Cost-effectiveness of 3 months of weekly rifapentine and isoniazid compared with other standard treatment regimens for latent tuberculosis infection: A decision analysis study","title-short":"Cost-effectiveness of 3 months of weekly rifapentine and isoniazid compared with other standard treatment regimens for latent tuberculosis infection","volume":"74","author":[{"family":"Doan","given":"Tan N"},{"family":"Fox","given":"Greg J"},{"family":"Meehan","given":"Michael T"},{"family":"Scott","given":"Nick"},{"family":"Ragonnet","given":"Romain"},{"family":"Viney","given":"Kerri"},{"family":"Trauer","given":"James M"},{"family":"McBryde","given":"Emma S"}],"issued":{"date-parts":[["2019",1,1]]}}}],"schema":"https://github.com/citation-style-language/schema/raw/master/csl-citation.json"}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[30]</w:t>
            </w:r>
            <w:r>
              <w:rPr>
                <w:rFonts w:ascii="Times New Roman" w:hAnsi="Times New Roman" w:cs="Times New Roman"/>
                <w:sz w:val="15"/>
                <w:szCs w:val="15"/>
              </w:rPr>
              <w:fldChar w:fldCharType="end"/>
            </w:r>
            <w:r>
              <w:rPr>
                <w:rFonts w:hint="eastAsia" w:ascii="Times New Roman" w:hAnsi="Times New Roman" w:cs="Times New Roman"/>
                <w:sz w:val="15"/>
                <w:szCs w:val="15"/>
              </w:rPr>
              <w:t xml:space="preserve">, </w:t>
            </w:r>
            <w:r>
              <w:rPr>
                <w:rFonts w:ascii="Times New Roman" w:hAnsi="Times New Roman" w:cs="Times New Roman"/>
                <w:sz w:val="15"/>
                <w:szCs w:val="15"/>
              </w:rPr>
              <w:t>Kowada</w:t>
            </w:r>
            <w:r>
              <w:rPr>
                <w:rFonts w:ascii="Times New Roman" w:hAnsi="Times New Roman" w:cs="Times New Roman"/>
                <w:sz w:val="15"/>
                <w:szCs w:val="15"/>
              </w:rPr>
              <w:fldChar w:fldCharType="begin"/>
            </w:r>
            <w:r>
              <w:rPr>
                <w:rFonts w:ascii="Times New Roman" w:hAnsi="Times New Roman" w:cs="Times New Roman"/>
                <w:sz w:val="15"/>
                <w:szCs w:val="15"/>
              </w:rPr>
              <w:instrText xml:space="preserve"> ADDIN ZOTERO_ITEM CSL_CITATION {"citationID":"fH9vaoTa","properties":{"unsorted":false,"formattedCitation":"\\super [42]\\nosupersub{}","plainCitation":"[42]","noteIndex":0},"citationItems":[{"id":725,"uris":["http://zotero.org/users/17236044/items/BP3Z4BS8"],"itemData":{"id":725,"type":"article-journal","abstract":"BACKGROUND: Long-term expatriates from low to high tuberculosis (TB) incidence countries get high rates of active TB and latent TB infection (LTBI). TB  screening for expatriates is important for occupational health. Interferon-gamma  release assays are more accurate than tuberculin skin test (TST). Rifapentine  plus isoniazid for 3 months (3HP) is as effective as 9 months of isoniazid (9H)  with a higher treatment-completion rate. METHODS: Decision trees and Markov  models were constructed using a societal perspective on a lifetime horizon. The  target population was a hypothetical cohort of 30 year-old expatriates. Seven  strategies; TST with 3HP or 9H, QuantiFERON(®)-TB Gold In-Tube (QFT) with 3HP or  9H, T-SPOT(®).TB (TSPOT) with 3HP or 9H and chest X-ray examination (CXR) were  modeled. The main outcome measure of effectiveness was quality-adjusted  life-years (QALYs) gained. RESULTS: QFT with 3HP yielded the greatest benefits  with the lowest cost ($US 674.8; 25.95660 QALYs [year 2012 values]). CXR was the  least cost-effective ($US 13,666.8; 24.62917 QALYs). Cost-effectiveness was  sensitive to adherence rate of 3HP and QFT specificity, but not to BCG  vaccination rate. CONCLUSIONS: Entry LTBI screening using QFT treated with 3HP is  recommended on the basis of cost effectiveness among long-term expatriates from  low to high incidence countries.","container-title":"Travel Medicine and Infectious Disease","DOI":"10.1016/j.tmaid.2016.05.</w:instrText>
            </w:r>
            <w:r>
              <w:rPr>
                <w:rFonts w:hint="eastAsia" w:ascii="Times New Roman" w:hAnsi="Times New Roman" w:cs="Times New Roman"/>
                <w:sz w:val="15"/>
                <w:szCs w:val="15"/>
              </w:rPr>
              <w:instrText xml:space="preserve">010","ISSN":"1873-0442 1477-8939","issue":"5","journalAbbreviation":"Travel Med Infect Dis","language":"eng","license":"Copyright © 2016 Elsevier Ltd. All rights reserved.","note":"JCR分区: Q1\n中科院分区升级版: 医学3区\n影响因子: 5.6\n5年影响因子: 4.4\n南农高质量: A","page":"489-4</w:instrText>
            </w:r>
            <w:r>
              <w:rPr>
                <w:rFonts w:ascii="Times New Roman" w:hAnsi="Times New Roman" w:cs="Times New Roman"/>
                <w:sz w:val="15"/>
                <w:szCs w:val="15"/>
              </w:rPr>
              <w:instrText xml:space="preserve">98","PMID":"27238907","publisher-place":"Netherlands","title":"Cost effectiveness of interferon-gamma release assay for tuberculosis screening using three months of rifapentine and isoniazid among long-term expatriates from  low to high incidence countries.","volume":"14","author":[{"family":"Kowada","given":"Akiko"}],"issued":{"date-parts":[["2016",10]]}}}],"schema":"https://github.com/citation-style-language/schema/raw/master/csl-citation.json"} </w:instrText>
            </w:r>
            <w:r>
              <w:rPr>
                <w:rFonts w:ascii="Times New Roman" w:hAnsi="Times New Roman" w:cs="Times New Roman"/>
                <w:sz w:val="15"/>
                <w:szCs w:val="15"/>
              </w:rPr>
              <w:fldChar w:fldCharType="separate"/>
            </w:r>
            <w:r>
              <w:rPr>
                <w:rFonts w:ascii="Times New Roman" w:hAnsi="Times New Roman" w:cs="Times New Roman"/>
                <w:kern w:val="0"/>
                <w:sz w:val="15"/>
                <w:vertAlign w:val="superscript"/>
              </w:rPr>
              <w:t>[42]</w:t>
            </w:r>
            <w:r>
              <w:rPr>
                <w:rFonts w:ascii="Times New Roman" w:hAnsi="Times New Roman" w:cs="Times New Roman"/>
                <w:sz w:val="15"/>
                <w:szCs w:val="15"/>
              </w:rPr>
              <w:fldChar w:fldCharType="end"/>
            </w:r>
          </w:p>
        </w:tc>
      </w:tr>
      <w:tr w14:paraId="407A632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587371E4">
            <w:pPr>
              <w:adjustRightInd w:val="0"/>
              <w:snapToGrid w:val="0"/>
              <w:ind w:left="174" w:leftChars="83"/>
              <w:jc w:val="left"/>
              <w:rPr>
                <w:rFonts w:ascii="Times New Roman" w:hAnsi="Times New Roman" w:eastAsia="Times New Roman" w:cs="Times New Roman"/>
                <w:sz w:val="15"/>
                <w:szCs w:val="15"/>
              </w:rPr>
            </w:pPr>
            <w:r>
              <w:rPr>
                <w:rFonts w:ascii="Times New Roman" w:hAnsi="Times New Roman" w:eastAsia="Times New Roman" w:cs="Times New Roman"/>
                <w:sz w:val="15"/>
                <w:szCs w:val="15"/>
              </w:rPr>
              <w:t>Death</w:t>
            </w:r>
          </w:p>
        </w:tc>
        <w:tc>
          <w:tcPr>
            <w:tcW w:w="1134" w:type="dxa"/>
            <w:vAlign w:val="center"/>
          </w:tcPr>
          <w:p w14:paraId="5FE5260C">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0.00</w:t>
            </w:r>
          </w:p>
        </w:tc>
        <w:tc>
          <w:tcPr>
            <w:tcW w:w="1559" w:type="dxa"/>
            <w:vAlign w:val="center"/>
          </w:tcPr>
          <w:p w14:paraId="74F17B9D">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w:t>
            </w:r>
          </w:p>
        </w:tc>
        <w:tc>
          <w:tcPr>
            <w:tcW w:w="2363" w:type="dxa"/>
            <w:vAlign w:val="center"/>
          </w:tcPr>
          <w:p w14:paraId="6F202D65">
            <w:pPr>
              <w:adjustRightInd w:val="0"/>
              <w:snapToGrid w:val="0"/>
              <w:jc w:val="center"/>
              <w:rPr>
                <w:rFonts w:ascii="Times New Roman" w:hAnsi="Times New Roman" w:cs="Times New Roman"/>
                <w:sz w:val="15"/>
                <w:szCs w:val="15"/>
              </w:rPr>
            </w:pPr>
            <w:r>
              <w:rPr>
                <w:rFonts w:hint="eastAsia" w:ascii="Times New Roman" w:hAnsi="Times New Roman" w:cs="Times New Roman"/>
                <w:sz w:val="15"/>
                <w:szCs w:val="15"/>
              </w:rPr>
              <w:t>-</w:t>
            </w:r>
          </w:p>
        </w:tc>
      </w:tr>
      <w:tr w14:paraId="0F316C4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272" w:type="dxa"/>
            <w:vAlign w:val="center"/>
          </w:tcPr>
          <w:p w14:paraId="323B3C9E">
            <w:pPr>
              <w:adjustRightInd w:val="0"/>
              <w:snapToGrid w:val="0"/>
              <w:jc w:val="left"/>
              <w:rPr>
                <w:rFonts w:ascii="Times New Roman" w:hAnsi="Times New Roman" w:eastAsia="Times New Roman" w:cs="Times New Roman"/>
                <w:b/>
                <w:bCs/>
                <w:sz w:val="15"/>
                <w:szCs w:val="15"/>
              </w:rPr>
            </w:pPr>
            <w:r>
              <w:rPr>
                <w:rFonts w:ascii="Times New Roman" w:hAnsi="Times New Roman" w:eastAsia="Times New Roman" w:cs="Times New Roman"/>
                <w:b/>
                <w:bCs/>
                <w:sz w:val="15"/>
                <w:szCs w:val="15"/>
              </w:rPr>
              <w:t>Discount rate (annual)</w:t>
            </w:r>
          </w:p>
        </w:tc>
        <w:tc>
          <w:tcPr>
            <w:tcW w:w="1134" w:type="dxa"/>
            <w:vAlign w:val="center"/>
          </w:tcPr>
          <w:p w14:paraId="259144A1">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0.03</w:t>
            </w:r>
          </w:p>
        </w:tc>
        <w:tc>
          <w:tcPr>
            <w:tcW w:w="1559" w:type="dxa"/>
            <w:vAlign w:val="center"/>
          </w:tcPr>
          <w:p w14:paraId="5102960D">
            <w:pPr>
              <w:adjustRightInd w:val="0"/>
              <w:snapToGrid w:val="0"/>
              <w:jc w:val="center"/>
              <w:rPr>
                <w:rFonts w:ascii="Times New Roman" w:hAnsi="Times New Roman" w:eastAsia="Times New Roman" w:cs="Times New Roman"/>
                <w:sz w:val="15"/>
                <w:szCs w:val="15"/>
              </w:rPr>
            </w:pPr>
            <w:r>
              <w:rPr>
                <w:rFonts w:ascii="Times New Roman" w:hAnsi="Times New Roman" w:eastAsia="Times New Roman" w:cs="Times New Roman"/>
                <w:sz w:val="15"/>
                <w:szCs w:val="15"/>
              </w:rPr>
              <w:t>0.01, 0.07</w:t>
            </w:r>
          </w:p>
        </w:tc>
        <w:tc>
          <w:tcPr>
            <w:tcW w:w="2363" w:type="dxa"/>
            <w:vAlign w:val="center"/>
          </w:tcPr>
          <w:p w14:paraId="6B434816">
            <w:pPr>
              <w:adjustRightInd w:val="0"/>
              <w:snapToGrid w:val="0"/>
              <w:jc w:val="center"/>
              <w:rPr>
                <w:rFonts w:ascii="Times New Roman" w:hAnsi="Times New Roman" w:cs="Times New Roman"/>
                <w:sz w:val="15"/>
                <w:szCs w:val="15"/>
              </w:rPr>
            </w:pPr>
            <w:r>
              <w:rPr>
                <w:rFonts w:ascii="Times New Roman" w:hAnsi="Times New Roman" w:eastAsia="Times New Roman" w:cs="Times New Roman"/>
                <w:sz w:val="15"/>
                <w:szCs w:val="15"/>
              </w:rPr>
              <w:t>Smith</w:t>
            </w:r>
            <w:r>
              <w:rPr>
                <w:rFonts w:ascii="Times New Roman" w:hAnsi="Times New Roman" w:eastAsia="Times New Roman" w:cs="Times New Roman"/>
                <w:sz w:val="15"/>
                <w:szCs w:val="15"/>
              </w:rPr>
              <w:fldChar w:fldCharType="begin"/>
            </w:r>
            <w:r>
              <w:rPr>
                <w:rFonts w:ascii="Times New Roman" w:hAnsi="Times New Roman" w:eastAsia="Times New Roman" w:cs="Times New Roman"/>
                <w:sz w:val="15"/>
                <w:szCs w:val="15"/>
              </w:rPr>
              <w:instrText xml:space="preserve"> ADDIN ZOTERO_ITEM CSL_CITATION {"citationID":"sPzG9dgV","properties":{"unsorted":false,"formattedCitation":"\\super [40]\\nosupersub{}","plainCitation":"[40]","noteIndex":0},"citationItems":[{"id":131,"uris":["http://zotero.org/users/17236044/items/IQ7R3G4L"],"itemData":{"id":131,"type":"article-journal","abstract":"Objectives: Discounting of costs in health-related economic evaluation is generally regarded as uncontroversial, but there is disagreement about discounting health beneﬁts. We sought to explore the current recommendations and practice in health economic evaluations with regard to discounting of costs and beneﬁts.\nMethods: Recommendations for best practice on discounting for health effects as set out by government agencies, regulatory bodies, learned journals, and leading health economics texts were surveyed. A review of a sample of primary literature on health economic evaluations was undertaken to ascertain the actual current practice on discounting health effects and costs.\nResults: All of the ofﬁcial sources recommended a positive discount rate for both health effects and costs, and most recommended a speciﬁc rate (range, 1% to 8%). The most frequently speciﬁed rates were 3% and 5%. A total of 147 studies were reviewed; most of these used a discount rate for health of either 0% (n = 50) or 5% (n = 67). Over 90% of studies used the same discount rate for both health and cost. While 28% used a zero rate for both health and cost, in 64% a nonzero rate was used for both. Studies where the health measure was in natural clinical units (direct) were signiﬁcantly more likely to have a zero discount rate.\nConclusion: The ﬁnding that 28% of studies did not discount costs or beneﬁts is surprising and concerning. A lower likelihood of discounting for beneﬁts when they are in natural units may indicate confusion regarding the rationale for discounting health effects.","container-title":"International Journal of Technology Assessment in Health Care","DOI":"10.1017/S0266462300105094","ISSN":"0266-4623, 1471-6348","issue":"2","journalAbbreviation":"Int J Technol Assess Health Care","language":"en","license":"https://www.cambridge.org/core/terms","note":"JCR</w:instrText>
            </w:r>
            <w:r>
              <w:rPr>
                <w:rFonts w:hint="eastAsia" w:ascii="宋体" w:hAnsi="宋体" w:eastAsia="宋体" w:cs="宋体"/>
                <w:sz w:val="15"/>
                <w:szCs w:val="15"/>
              </w:rPr>
              <w:instrText xml:space="preserve">分区</w:instrText>
            </w:r>
            <w:r>
              <w:rPr>
                <w:rFonts w:ascii="Times New Roman" w:hAnsi="Times New Roman" w:eastAsia="Times New Roman" w:cs="Times New Roman"/>
                <w:sz w:val="15"/>
                <w:szCs w:val="15"/>
              </w:rPr>
              <w:instrText xml:space="preserve">: Q2\n</w:instrText>
            </w:r>
            <w:r>
              <w:rPr>
                <w:rFonts w:hint="eastAsia" w:ascii="宋体" w:hAnsi="宋体" w:eastAsia="宋体" w:cs="宋体"/>
                <w:sz w:val="15"/>
                <w:szCs w:val="15"/>
              </w:rPr>
              <w:instrText xml:space="preserve">中科院分区升级版</w:instrText>
            </w:r>
            <w:r>
              <w:rPr>
                <w:rFonts w:ascii="Times New Roman" w:hAnsi="Times New Roman" w:eastAsia="Times New Roman" w:cs="Times New Roman"/>
                <w:sz w:val="15"/>
                <w:szCs w:val="15"/>
              </w:rPr>
              <w:instrText xml:space="preserve">: </w:instrText>
            </w:r>
            <w:r>
              <w:rPr>
                <w:rFonts w:hint="eastAsia" w:ascii="宋体" w:hAnsi="宋体" w:eastAsia="宋体" w:cs="宋体"/>
                <w:sz w:val="15"/>
                <w:szCs w:val="15"/>
              </w:rPr>
              <w:instrText xml:space="preserve">医学</w:instrText>
            </w:r>
            <w:r>
              <w:rPr>
                <w:rFonts w:ascii="Times New Roman" w:hAnsi="Times New Roman" w:eastAsia="Times New Roman" w:cs="Times New Roman"/>
                <w:sz w:val="15"/>
                <w:szCs w:val="15"/>
              </w:rPr>
              <w:instrText xml:space="preserve">4</w:instrText>
            </w:r>
            <w:r>
              <w:rPr>
                <w:rFonts w:hint="eastAsia" w:ascii="宋体" w:hAnsi="宋体" w:eastAsia="宋体" w:cs="宋体"/>
                <w:sz w:val="15"/>
                <w:szCs w:val="15"/>
              </w:rPr>
              <w:instrText xml:space="preserve">区</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影响因子</w:instrText>
            </w:r>
            <w:r>
              <w:rPr>
                <w:rFonts w:ascii="Times New Roman" w:hAnsi="Times New Roman" w:eastAsia="Times New Roman" w:cs="Times New Roman"/>
                <w:sz w:val="15"/>
                <w:szCs w:val="15"/>
              </w:rPr>
              <w:instrText xml:space="preserve">: 2.6\n5</w:instrText>
            </w:r>
            <w:r>
              <w:rPr>
                <w:rFonts w:hint="eastAsia" w:ascii="宋体" w:hAnsi="宋体" w:eastAsia="宋体" w:cs="宋体"/>
                <w:sz w:val="15"/>
                <w:szCs w:val="15"/>
              </w:rPr>
              <w:instrText xml:space="preserve">年影响因子</w:instrText>
            </w:r>
            <w:r>
              <w:rPr>
                <w:rFonts w:ascii="Times New Roman" w:hAnsi="Times New Roman" w:eastAsia="Times New Roman" w:cs="Times New Roman"/>
                <w:sz w:val="15"/>
                <w:szCs w:val="15"/>
              </w:rPr>
              <w:instrText xml:space="preserve">: 2.6\nEI: </w:instrText>
            </w:r>
            <w:r>
              <w:rPr>
                <w:rFonts w:hint="eastAsia" w:ascii="宋体" w:hAnsi="宋体" w:eastAsia="宋体" w:cs="宋体"/>
                <w:sz w:val="15"/>
                <w:szCs w:val="15"/>
              </w:rPr>
              <w:instrText xml:space="preserve">是</w:instrText>
            </w:r>
            <w:r>
              <w:rPr>
                <w:rFonts w:ascii="Times New Roman" w:hAnsi="Times New Roman" w:eastAsia="Times New Roman" w:cs="Times New Roman"/>
                <w:sz w:val="15"/>
                <w:szCs w:val="15"/>
              </w:rPr>
              <w:instrText xml:space="preserve">\n</w:instrText>
            </w:r>
            <w:r>
              <w:rPr>
                <w:rFonts w:hint="eastAsia" w:ascii="宋体" w:hAnsi="宋体" w:eastAsia="宋体" w:cs="宋体"/>
                <w:sz w:val="15"/>
                <w:szCs w:val="15"/>
              </w:rPr>
              <w:instrText xml:space="preserve">南农高质量</w:instrText>
            </w:r>
            <w:r>
              <w:rPr>
                <w:rFonts w:ascii="Times New Roman" w:hAnsi="Times New Roman" w:eastAsia="Times New Roman" w:cs="Times New Roman"/>
                <w:sz w:val="15"/>
                <w:szCs w:val="15"/>
              </w:rPr>
              <w:instrText xml:space="preserve">: B","page":"236-243","source":"DOI.org (Crossref)","title":"The practice of discounting in economic evaluations of healthcare interventions","volume":"17","author":[{"family":"Smith","given":"David H."},{"family":"Gravelle","given":"Hugh"}],"issued":{"date-parts":[["2001",4]]}}}],"schema":"https://github.com/citation-style-language/schema/raw/master/csl-citation.json"} </w:instrText>
            </w:r>
            <w:r>
              <w:rPr>
                <w:rFonts w:ascii="Times New Roman" w:hAnsi="Times New Roman" w:eastAsia="Times New Roman" w:cs="Times New Roman"/>
                <w:sz w:val="15"/>
                <w:szCs w:val="15"/>
              </w:rPr>
              <w:fldChar w:fldCharType="separate"/>
            </w:r>
            <w:r>
              <w:rPr>
                <w:rFonts w:ascii="Times New Roman" w:hAnsi="Times New Roman" w:cs="Times New Roman"/>
                <w:kern w:val="0"/>
                <w:sz w:val="15"/>
                <w:vertAlign w:val="superscript"/>
              </w:rPr>
              <w:t>[40]</w:t>
            </w:r>
            <w:r>
              <w:rPr>
                <w:rFonts w:ascii="Times New Roman" w:hAnsi="Times New Roman" w:eastAsia="Times New Roman" w:cs="Times New Roman"/>
                <w:sz w:val="15"/>
                <w:szCs w:val="15"/>
              </w:rPr>
              <w:fldChar w:fldCharType="end"/>
            </w:r>
          </w:p>
        </w:tc>
      </w:tr>
    </w:tbl>
    <w:p w14:paraId="7612C19E">
      <w:pPr>
        <w:snapToGrid w:val="0"/>
        <w:rPr>
          <w:rFonts w:hint="default" w:ascii="Times New Roman" w:hAnsi="Times New Roman" w:cs="Times New Roman" w:eastAsiaTheme="minorEastAsia"/>
          <w:kern w:val="0"/>
          <w:sz w:val="18"/>
          <w:szCs w:val="18"/>
          <w:lang w:val="en-US" w:eastAsia="zh-CN"/>
        </w:rPr>
      </w:pPr>
      <w:r>
        <w:rPr>
          <w:rFonts w:ascii="Times New Roman" w:hAnsi="Times New Roman" w:cs="Times New Roman"/>
          <w:kern w:val="0"/>
          <w:sz w:val="18"/>
          <w:szCs w:val="18"/>
        </w:rPr>
        <w:t xml:space="preserve">Abbreviations: </w:t>
      </w:r>
      <w:r>
        <w:rPr>
          <w:rFonts w:hint="eastAsia" w:ascii="Times New Roman" w:hAnsi="Times New Roman" w:cs="Times New Roman"/>
          <w:kern w:val="0"/>
          <w:sz w:val="18"/>
          <w:szCs w:val="18"/>
        </w:rPr>
        <w:t>s</w:t>
      </w:r>
      <w:r>
        <w:rPr>
          <w:rFonts w:ascii="Times New Roman" w:hAnsi="Times New Roman" w:cs="Times New Roman"/>
          <w:kern w:val="0"/>
          <w:sz w:val="18"/>
          <w:szCs w:val="18"/>
        </w:rPr>
        <w:t xml:space="preserve">TB, </w:t>
      </w:r>
      <w:r>
        <w:rPr>
          <w:rFonts w:hint="eastAsia" w:ascii="Times New Roman" w:hAnsi="Times New Roman" w:cs="Times New Roman"/>
          <w:kern w:val="0"/>
          <w:sz w:val="18"/>
          <w:szCs w:val="18"/>
        </w:rPr>
        <w:t>symptomatic tuberculosis</w:t>
      </w:r>
      <w:r>
        <w:rPr>
          <w:rFonts w:ascii="Times New Roman" w:hAnsi="Times New Roman" w:cs="Times New Roman"/>
          <w:kern w:val="0"/>
          <w:sz w:val="18"/>
          <w:szCs w:val="18"/>
        </w:rPr>
        <w:t>; aTB, asymptomatic tuberculosis; CAD, computer-aided detection; ¥, Chinese yuan; LTBI, latent tuberculosis infection; PCF, passive case finding; TBST, Tuberculosis Infection Screening Test</w:t>
      </w:r>
      <w:r>
        <w:rPr>
          <w:rFonts w:hint="eastAsia" w:ascii="Times New Roman" w:hAnsi="Times New Roman" w:cs="Times New Roman"/>
          <w:kern w:val="0"/>
          <w:sz w:val="18"/>
          <w:szCs w:val="18"/>
          <w:lang w:val="en-US" w:eastAsia="zh-CN"/>
        </w:rPr>
        <w:t>; TPT,Tuberculosis Preventive Treatment.</w:t>
      </w:r>
    </w:p>
    <w:p w14:paraId="56864CE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617C1"/>
    <w:rsid w:val="003003C5"/>
    <w:rsid w:val="005443CD"/>
    <w:rsid w:val="00F528E4"/>
    <w:rsid w:val="010062D9"/>
    <w:rsid w:val="01893C7B"/>
    <w:rsid w:val="01904416"/>
    <w:rsid w:val="019113AB"/>
    <w:rsid w:val="019320BF"/>
    <w:rsid w:val="01B9238D"/>
    <w:rsid w:val="01DD1304"/>
    <w:rsid w:val="01E349B1"/>
    <w:rsid w:val="020C55BF"/>
    <w:rsid w:val="02165FC2"/>
    <w:rsid w:val="02901310"/>
    <w:rsid w:val="02D7434D"/>
    <w:rsid w:val="02E00448"/>
    <w:rsid w:val="032E37A6"/>
    <w:rsid w:val="0338102B"/>
    <w:rsid w:val="03406566"/>
    <w:rsid w:val="038F5D47"/>
    <w:rsid w:val="03983BE2"/>
    <w:rsid w:val="03A24FE7"/>
    <w:rsid w:val="045355B1"/>
    <w:rsid w:val="049B2CB7"/>
    <w:rsid w:val="04AD0CA8"/>
    <w:rsid w:val="04C96327"/>
    <w:rsid w:val="04D55806"/>
    <w:rsid w:val="050C1C0E"/>
    <w:rsid w:val="051A7A4D"/>
    <w:rsid w:val="052E4A05"/>
    <w:rsid w:val="055E6BE8"/>
    <w:rsid w:val="0567448B"/>
    <w:rsid w:val="05945C0E"/>
    <w:rsid w:val="059469AA"/>
    <w:rsid w:val="05F65430"/>
    <w:rsid w:val="05F72E83"/>
    <w:rsid w:val="061A7C84"/>
    <w:rsid w:val="06500F7F"/>
    <w:rsid w:val="06605B8B"/>
    <w:rsid w:val="068431C0"/>
    <w:rsid w:val="06B938BD"/>
    <w:rsid w:val="06CC4BA5"/>
    <w:rsid w:val="07374A99"/>
    <w:rsid w:val="073D03B2"/>
    <w:rsid w:val="07655169"/>
    <w:rsid w:val="07B61707"/>
    <w:rsid w:val="07C04EA6"/>
    <w:rsid w:val="07FC21E0"/>
    <w:rsid w:val="08121CBF"/>
    <w:rsid w:val="08371E1F"/>
    <w:rsid w:val="08894572"/>
    <w:rsid w:val="08AD42F2"/>
    <w:rsid w:val="08BD4FFF"/>
    <w:rsid w:val="08F457DE"/>
    <w:rsid w:val="08FF1DBC"/>
    <w:rsid w:val="091A7355"/>
    <w:rsid w:val="09CC4DBE"/>
    <w:rsid w:val="09F8599C"/>
    <w:rsid w:val="0A3B6972"/>
    <w:rsid w:val="0A793356"/>
    <w:rsid w:val="0AA731D0"/>
    <w:rsid w:val="0ABB2207"/>
    <w:rsid w:val="0AD35D57"/>
    <w:rsid w:val="0AEE223E"/>
    <w:rsid w:val="0B035E1A"/>
    <w:rsid w:val="0B4C2EF6"/>
    <w:rsid w:val="0B600384"/>
    <w:rsid w:val="0B6B498B"/>
    <w:rsid w:val="0B8445BC"/>
    <w:rsid w:val="0B861E8A"/>
    <w:rsid w:val="0B883306"/>
    <w:rsid w:val="0B911365"/>
    <w:rsid w:val="0B955512"/>
    <w:rsid w:val="0C652DFF"/>
    <w:rsid w:val="0C906D52"/>
    <w:rsid w:val="0C9D6D9F"/>
    <w:rsid w:val="0CBA4BF6"/>
    <w:rsid w:val="0CD51A0F"/>
    <w:rsid w:val="0CDD1316"/>
    <w:rsid w:val="0D1F0EFF"/>
    <w:rsid w:val="0D692731"/>
    <w:rsid w:val="0E0F5E89"/>
    <w:rsid w:val="0E40323E"/>
    <w:rsid w:val="0E7C14C7"/>
    <w:rsid w:val="0E893EE7"/>
    <w:rsid w:val="0E9E4A27"/>
    <w:rsid w:val="0EA301C7"/>
    <w:rsid w:val="0EAF1A4F"/>
    <w:rsid w:val="0EAF5589"/>
    <w:rsid w:val="0EC00B62"/>
    <w:rsid w:val="0F2A0F4F"/>
    <w:rsid w:val="0F82775D"/>
    <w:rsid w:val="0F9613DE"/>
    <w:rsid w:val="10343769"/>
    <w:rsid w:val="103A5033"/>
    <w:rsid w:val="1045751C"/>
    <w:rsid w:val="10913E12"/>
    <w:rsid w:val="10A91418"/>
    <w:rsid w:val="110E2501"/>
    <w:rsid w:val="110F3DC5"/>
    <w:rsid w:val="111B7316"/>
    <w:rsid w:val="11285D33"/>
    <w:rsid w:val="119621BD"/>
    <w:rsid w:val="11AB1E89"/>
    <w:rsid w:val="11B75FA6"/>
    <w:rsid w:val="120765CA"/>
    <w:rsid w:val="12124F36"/>
    <w:rsid w:val="121374B1"/>
    <w:rsid w:val="121E0682"/>
    <w:rsid w:val="126F4265"/>
    <w:rsid w:val="129B7815"/>
    <w:rsid w:val="12E90E0C"/>
    <w:rsid w:val="12FF1711"/>
    <w:rsid w:val="133D2C6A"/>
    <w:rsid w:val="13824A94"/>
    <w:rsid w:val="13A12E65"/>
    <w:rsid w:val="13F5741D"/>
    <w:rsid w:val="140B4C70"/>
    <w:rsid w:val="14186438"/>
    <w:rsid w:val="141D6C2C"/>
    <w:rsid w:val="144B11BB"/>
    <w:rsid w:val="14A40820"/>
    <w:rsid w:val="14B309FB"/>
    <w:rsid w:val="14FB6D36"/>
    <w:rsid w:val="14FC2C3A"/>
    <w:rsid w:val="15026443"/>
    <w:rsid w:val="1512579E"/>
    <w:rsid w:val="1530326B"/>
    <w:rsid w:val="155111B9"/>
    <w:rsid w:val="15733CF1"/>
    <w:rsid w:val="15843296"/>
    <w:rsid w:val="158B265A"/>
    <w:rsid w:val="15A729BF"/>
    <w:rsid w:val="15B770AD"/>
    <w:rsid w:val="15C122E0"/>
    <w:rsid w:val="15D10736"/>
    <w:rsid w:val="15F53473"/>
    <w:rsid w:val="16460BD1"/>
    <w:rsid w:val="169846B5"/>
    <w:rsid w:val="16B844B4"/>
    <w:rsid w:val="16BA508C"/>
    <w:rsid w:val="16C13AF8"/>
    <w:rsid w:val="16C3769B"/>
    <w:rsid w:val="16D60A8C"/>
    <w:rsid w:val="17800386"/>
    <w:rsid w:val="17870780"/>
    <w:rsid w:val="17C06429"/>
    <w:rsid w:val="17C90120"/>
    <w:rsid w:val="17D344DA"/>
    <w:rsid w:val="17F868BF"/>
    <w:rsid w:val="18090370"/>
    <w:rsid w:val="18163BED"/>
    <w:rsid w:val="18471B4E"/>
    <w:rsid w:val="184935EA"/>
    <w:rsid w:val="18607C9D"/>
    <w:rsid w:val="18BE0027"/>
    <w:rsid w:val="18D42B0D"/>
    <w:rsid w:val="19636F40"/>
    <w:rsid w:val="19862AB5"/>
    <w:rsid w:val="19890F94"/>
    <w:rsid w:val="19957DCD"/>
    <w:rsid w:val="19CC2B1C"/>
    <w:rsid w:val="19DC73DA"/>
    <w:rsid w:val="1A76140A"/>
    <w:rsid w:val="1A8611EC"/>
    <w:rsid w:val="1AB27E79"/>
    <w:rsid w:val="1AC90D17"/>
    <w:rsid w:val="1B614633"/>
    <w:rsid w:val="1BA82400"/>
    <w:rsid w:val="1BBC6546"/>
    <w:rsid w:val="1BD94EE8"/>
    <w:rsid w:val="1BEF2F48"/>
    <w:rsid w:val="1BF11F56"/>
    <w:rsid w:val="1BFB6BE8"/>
    <w:rsid w:val="1C247335"/>
    <w:rsid w:val="1C376601"/>
    <w:rsid w:val="1C417300"/>
    <w:rsid w:val="1C5666CA"/>
    <w:rsid w:val="1C5A4219"/>
    <w:rsid w:val="1C8659A6"/>
    <w:rsid w:val="1D002C65"/>
    <w:rsid w:val="1D034B62"/>
    <w:rsid w:val="1D255924"/>
    <w:rsid w:val="1D386816"/>
    <w:rsid w:val="1D6361A9"/>
    <w:rsid w:val="1D774DC2"/>
    <w:rsid w:val="1D792CA4"/>
    <w:rsid w:val="1DAF11AC"/>
    <w:rsid w:val="1DB850BD"/>
    <w:rsid w:val="1DC72820"/>
    <w:rsid w:val="1DDC309E"/>
    <w:rsid w:val="1E4E30E1"/>
    <w:rsid w:val="1E8A5E83"/>
    <w:rsid w:val="1EAE3131"/>
    <w:rsid w:val="1EDA0A0A"/>
    <w:rsid w:val="1F54399A"/>
    <w:rsid w:val="1F5D60DC"/>
    <w:rsid w:val="1F632C95"/>
    <w:rsid w:val="1FCD58CB"/>
    <w:rsid w:val="1FE06082"/>
    <w:rsid w:val="207B4A7C"/>
    <w:rsid w:val="209304E5"/>
    <w:rsid w:val="20CE3866"/>
    <w:rsid w:val="210B6A1F"/>
    <w:rsid w:val="212B5D22"/>
    <w:rsid w:val="213D1918"/>
    <w:rsid w:val="214324E9"/>
    <w:rsid w:val="216D5194"/>
    <w:rsid w:val="21947178"/>
    <w:rsid w:val="21EC1446"/>
    <w:rsid w:val="22354883"/>
    <w:rsid w:val="223A070F"/>
    <w:rsid w:val="22834F3D"/>
    <w:rsid w:val="228A29A7"/>
    <w:rsid w:val="22A732E9"/>
    <w:rsid w:val="22B401CA"/>
    <w:rsid w:val="22DB1AE5"/>
    <w:rsid w:val="231C3DC7"/>
    <w:rsid w:val="233F79D9"/>
    <w:rsid w:val="234156E2"/>
    <w:rsid w:val="2344402D"/>
    <w:rsid w:val="23C87BF1"/>
    <w:rsid w:val="23C92E70"/>
    <w:rsid w:val="24297D4C"/>
    <w:rsid w:val="24A66D54"/>
    <w:rsid w:val="24B9595E"/>
    <w:rsid w:val="24E96515"/>
    <w:rsid w:val="24F10967"/>
    <w:rsid w:val="250D1E2F"/>
    <w:rsid w:val="250D524C"/>
    <w:rsid w:val="255E259B"/>
    <w:rsid w:val="257B468E"/>
    <w:rsid w:val="259F1A9B"/>
    <w:rsid w:val="25C829C5"/>
    <w:rsid w:val="25CD0046"/>
    <w:rsid w:val="25CE3BA2"/>
    <w:rsid w:val="25DF2225"/>
    <w:rsid w:val="261C4D0E"/>
    <w:rsid w:val="26504FAD"/>
    <w:rsid w:val="266C00C4"/>
    <w:rsid w:val="266D616D"/>
    <w:rsid w:val="26DD28CB"/>
    <w:rsid w:val="2713701F"/>
    <w:rsid w:val="27694ACF"/>
    <w:rsid w:val="27B21891"/>
    <w:rsid w:val="280C33FB"/>
    <w:rsid w:val="28545B90"/>
    <w:rsid w:val="28592CBF"/>
    <w:rsid w:val="28717C1D"/>
    <w:rsid w:val="287959C2"/>
    <w:rsid w:val="28803369"/>
    <w:rsid w:val="28931F30"/>
    <w:rsid w:val="28AB1930"/>
    <w:rsid w:val="28E50108"/>
    <w:rsid w:val="29304592"/>
    <w:rsid w:val="293E3735"/>
    <w:rsid w:val="296C7BAC"/>
    <w:rsid w:val="2989065F"/>
    <w:rsid w:val="298E1FC3"/>
    <w:rsid w:val="29BD3671"/>
    <w:rsid w:val="29EE0EA2"/>
    <w:rsid w:val="2AD4385B"/>
    <w:rsid w:val="2AF3473F"/>
    <w:rsid w:val="2B131170"/>
    <w:rsid w:val="2B581805"/>
    <w:rsid w:val="2B6B1940"/>
    <w:rsid w:val="2B800E7D"/>
    <w:rsid w:val="2BD00EE3"/>
    <w:rsid w:val="2BE70FC6"/>
    <w:rsid w:val="2C04618D"/>
    <w:rsid w:val="2C1E7A2E"/>
    <w:rsid w:val="2C68324B"/>
    <w:rsid w:val="2CB3446D"/>
    <w:rsid w:val="2D0566F6"/>
    <w:rsid w:val="2D10256C"/>
    <w:rsid w:val="2DC04187"/>
    <w:rsid w:val="2E6931E8"/>
    <w:rsid w:val="2E8E3059"/>
    <w:rsid w:val="2E9F3AE6"/>
    <w:rsid w:val="2EDA3CEE"/>
    <w:rsid w:val="2F0470B8"/>
    <w:rsid w:val="2F0E78F2"/>
    <w:rsid w:val="2F275319"/>
    <w:rsid w:val="2F4D61DE"/>
    <w:rsid w:val="2F7B2527"/>
    <w:rsid w:val="2FAF433C"/>
    <w:rsid w:val="2FB52DF4"/>
    <w:rsid w:val="301F1C23"/>
    <w:rsid w:val="30861A5E"/>
    <w:rsid w:val="31257917"/>
    <w:rsid w:val="31883F5F"/>
    <w:rsid w:val="318A26C8"/>
    <w:rsid w:val="319F004F"/>
    <w:rsid w:val="31AC242D"/>
    <w:rsid w:val="31E66E37"/>
    <w:rsid w:val="31F925C1"/>
    <w:rsid w:val="32046DDA"/>
    <w:rsid w:val="3215045E"/>
    <w:rsid w:val="323420E2"/>
    <w:rsid w:val="323C57EF"/>
    <w:rsid w:val="32716B13"/>
    <w:rsid w:val="32732999"/>
    <w:rsid w:val="32E22F3B"/>
    <w:rsid w:val="32EA3F3A"/>
    <w:rsid w:val="331B6371"/>
    <w:rsid w:val="33797B7A"/>
    <w:rsid w:val="33B2090E"/>
    <w:rsid w:val="33B67EA3"/>
    <w:rsid w:val="33C70BA8"/>
    <w:rsid w:val="33C849D9"/>
    <w:rsid w:val="33F279E5"/>
    <w:rsid w:val="33F7465E"/>
    <w:rsid w:val="341C579A"/>
    <w:rsid w:val="341D0A7A"/>
    <w:rsid w:val="342070CC"/>
    <w:rsid w:val="346B03CA"/>
    <w:rsid w:val="34796041"/>
    <w:rsid w:val="347B008C"/>
    <w:rsid w:val="348E6CE2"/>
    <w:rsid w:val="349A157E"/>
    <w:rsid w:val="35423723"/>
    <w:rsid w:val="354677B2"/>
    <w:rsid w:val="358A3769"/>
    <w:rsid w:val="35D726E8"/>
    <w:rsid w:val="35E03E77"/>
    <w:rsid w:val="35E810CE"/>
    <w:rsid w:val="35EB110E"/>
    <w:rsid w:val="35F82019"/>
    <w:rsid w:val="36116578"/>
    <w:rsid w:val="369E2AA5"/>
    <w:rsid w:val="36B37183"/>
    <w:rsid w:val="36D35DAF"/>
    <w:rsid w:val="37C157F4"/>
    <w:rsid w:val="37C4401B"/>
    <w:rsid w:val="37EA61CC"/>
    <w:rsid w:val="38235B6C"/>
    <w:rsid w:val="385A3E69"/>
    <w:rsid w:val="38B04718"/>
    <w:rsid w:val="38C012DB"/>
    <w:rsid w:val="38C04165"/>
    <w:rsid w:val="38E835BE"/>
    <w:rsid w:val="38EE512C"/>
    <w:rsid w:val="38F53135"/>
    <w:rsid w:val="393F35C0"/>
    <w:rsid w:val="399B4A5F"/>
    <w:rsid w:val="39EB4B2E"/>
    <w:rsid w:val="39F6171B"/>
    <w:rsid w:val="3A194951"/>
    <w:rsid w:val="3A305ACC"/>
    <w:rsid w:val="3A4E550F"/>
    <w:rsid w:val="3A900A65"/>
    <w:rsid w:val="3AB11C32"/>
    <w:rsid w:val="3ABC2672"/>
    <w:rsid w:val="3AD64CAC"/>
    <w:rsid w:val="3AE57DC6"/>
    <w:rsid w:val="3AF25732"/>
    <w:rsid w:val="3B2B3558"/>
    <w:rsid w:val="3B4008C3"/>
    <w:rsid w:val="3B485876"/>
    <w:rsid w:val="3B537880"/>
    <w:rsid w:val="3B590792"/>
    <w:rsid w:val="3B625E43"/>
    <w:rsid w:val="3B90513D"/>
    <w:rsid w:val="3B9C2683"/>
    <w:rsid w:val="3B9E546A"/>
    <w:rsid w:val="3BB174E8"/>
    <w:rsid w:val="3C1200A4"/>
    <w:rsid w:val="3C2568ED"/>
    <w:rsid w:val="3C287C68"/>
    <w:rsid w:val="3C87051F"/>
    <w:rsid w:val="3C9B70AD"/>
    <w:rsid w:val="3CA534DA"/>
    <w:rsid w:val="3CF62938"/>
    <w:rsid w:val="3D1361CD"/>
    <w:rsid w:val="3D23609A"/>
    <w:rsid w:val="3D413F91"/>
    <w:rsid w:val="3D457064"/>
    <w:rsid w:val="3D76602E"/>
    <w:rsid w:val="3D9E0AF5"/>
    <w:rsid w:val="3DB72C42"/>
    <w:rsid w:val="3DDB6A19"/>
    <w:rsid w:val="3E4B755D"/>
    <w:rsid w:val="3E5666FD"/>
    <w:rsid w:val="3E640633"/>
    <w:rsid w:val="3E740B9C"/>
    <w:rsid w:val="3E917DBD"/>
    <w:rsid w:val="3EF145C1"/>
    <w:rsid w:val="3EF153D9"/>
    <w:rsid w:val="3F3849B6"/>
    <w:rsid w:val="3F552C40"/>
    <w:rsid w:val="3F6D7CAE"/>
    <w:rsid w:val="3FC31148"/>
    <w:rsid w:val="3FC3603A"/>
    <w:rsid w:val="3FD917A7"/>
    <w:rsid w:val="405419F0"/>
    <w:rsid w:val="40F6520B"/>
    <w:rsid w:val="410D6DD2"/>
    <w:rsid w:val="41322F19"/>
    <w:rsid w:val="41620426"/>
    <w:rsid w:val="41672DAC"/>
    <w:rsid w:val="4169520D"/>
    <w:rsid w:val="418A51FF"/>
    <w:rsid w:val="41941466"/>
    <w:rsid w:val="41A55966"/>
    <w:rsid w:val="41F92F8D"/>
    <w:rsid w:val="421361E0"/>
    <w:rsid w:val="423415FF"/>
    <w:rsid w:val="4271269C"/>
    <w:rsid w:val="42997725"/>
    <w:rsid w:val="42E969CA"/>
    <w:rsid w:val="433A6A98"/>
    <w:rsid w:val="43432227"/>
    <w:rsid w:val="43981C99"/>
    <w:rsid w:val="444C2642"/>
    <w:rsid w:val="446103FE"/>
    <w:rsid w:val="446603AD"/>
    <w:rsid w:val="44A6514D"/>
    <w:rsid w:val="44B34442"/>
    <w:rsid w:val="44E975BE"/>
    <w:rsid w:val="450D7E72"/>
    <w:rsid w:val="45274C05"/>
    <w:rsid w:val="454111EE"/>
    <w:rsid w:val="455B2AAC"/>
    <w:rsid w:val="458D553C"/>
    <w:rsid w:val="45932ED0"/>
    <w:rsid w:val="45AF16B2"/>
    <w:rsid w:val="45BF5D8C"/>
    <w:rsid w:val="45D052DB"/>
    <w:rsid w:val="45D35DCE"/>
    <w:rsid w:val="45E40346"/>
    <w:rsid w:val="46065A56"/>
    <w:rsid w:val="463C4E98"/>
    <w:rsid w:val="466001EA"/>
    <w:rsid w:val="4682035D"/>
    <w:rsid w:val="46C84C5F"/>
    <w:rsid w:val="46F8184C"/>
    <w:rsid w:val="474D487B"/>
    <w:rsid w:val="47613C78"/>
    <w:rsid w:val="479C4CA1"/>
    <w:rsid w:val="488B6E5A"/>
    <w:rsid w:val="48A54B91"/>
    <w:rsid w:val="491367BE"/>
    <w:rsid w:val="49236C1D"/>
    <w:rsid w:val="492A3BF4"/>
    <w:rsid w:val="49461D18"/>
    <w:rsid w:val="49FF37BB"/>
    <w:rsid w:val="4A115922"/>
    <w:rsid w:val="4A7343EA"/>
    <w:rsid w:val="4A7E70F6"/>
    <w:rsid w:val="4A891D7F"/>
    <w:rsid w:val="4AA27EC5"/>
    <w:rsid w:val="4AA973DB"/>
    <w:rsid w:val="4ACF256C"/>
    <w:rsid w:val="4AE7769F"/>
    <w:rsid w:val="4AF168D8"/>
    <w:rsid w:val="4B312176"/>
    <w:rsid w:val="4B804312"/>
    <w:rsid w:val="4BAD2005"/>
    <w:rsid w:val="4C060F55"/>
    <w:rsid w:val="4C14635A"/>
    <w:rsid w:val="4C30501F"/>
    <w:rsid w:val="4CE602B8"/>
    <w:rsid w:val="4CF6083E"/>
    <w:rsid w:val="4D065DEA"/>
    <w:rsid w:val="4DBB2568"/>
    <w:rsid w:val="4DDB047A"/>
    <w:rsid w:val="4DFE113C"/>
    <w:rsid w:val="4E47452D"/>
    <w:rsid w:val="4E5B2402"/>
    <w:rsid w:val="4EA923BB"/>
    <w:rsid w:val="4ED3781B"/>
    <w:rsid w:val="4F232985"/>
    <w:rsid w:val="4F5038EA"/>
    <w:rsid w:val="4F662553"/>
    <w:rsid w:val="4F71036C"/>
    <w:rsid w:val="4FA53807"/>
    <w:rsid w:val="4FE52B08"/>
    <w:rsid w:val="50124EF2"/>
    <w:rsid w:val="5027759B"/>
    <w:rsid w:val="503E137F"/>
    <w:rsid w:val="50427DD3"/>
    <w:rsid w:val="50737E12"/>
    <w:rsid w:val="50A40961"/>
    <w:rsid w:val="50AC2B04"/>
    <w:rsid w:val="50B804ED"/>
    <w:rsid w:val="50BD5C0F"/>
    <w:rsid w:val="511365FB"/>
    <w:rsid w:val="51250CBD"/>
    <w:rsid w:val="512C0FA5"/>
    <w:rsid w:val="516E687A"/>
    <w:rsid w:val="51A31777"/>
    <w:rsid w:val="51AA5D40"/>
    <w:rsid w:val="51DD0E98"/>
    <w:rsid w:val="52037C68"/>
    <w:rsid w:val="520D7357"/>
    <w:rsid w:val="526A167C"/>
    <w:rsid w:val="52A03AF1"/>
    <w:rsid w:val="52C25803"/>
    <w:rsid w:val="52C82644"/>
    <w:rsid w:val="52F80387"/>
    <w:rsid w:val="53183285"/>
    <w:rsid w:val="53276005"/>
    <w:rsid w:val="536B4BA8"/>
    <w:rsid w:val="5390706C"/>
    <w:rsid w:val="53D50A52"/>
    <w:rsid w:val="54002343"/>
    <w:rsid w:val="54042E5A"/>
    <w:rsid w:val="541C01EC"/>
    <w:rsid w:val="54730600"/>
    <w:rsid w:val="548B567A"/>
    <w:rsid w:val="54B94816"/>
    <w:rsid w:val="54EA6EA9"/>
    <w:rsid w:val="55071F21"/>
    <w:rsid w:val="55300F66"/>
    <w:rsid w:val="5575339F"/>
    <w:rsid w:val="55987424"/>
    <w:rsid w:val="55997854"/>
    <w:rsid w:val="55A92ED5"/>
    <w:rsid w:val="560A3E35"/>
    <w:rsid w:val="562B234F"/>
    <w:rsid w:val="566653A6"/>
    <w:rsid w:val="569B19B3"/>
    <w:rsid w:val="56CC33EF"/>
    <w:rsid w:val="574A5E8C"/>
    <w:rsid w:val="574D52F4"/>
    <w:rsid w:val="57584B21"/>
    <w:rsid w:val="57857990"/>
    <w:rsid w:val="5795623A"/>
    <w:rsid w:val="57B062F0"/>
    <w:rsid w:val="57B8050A"/>
    <w:rsid w:val="57C12C17"/>
    <w:rsid w:val="57CD5768"/>
    <w:rsid w:val="58215108"/>
    <w:rsid w:val="58DD76BF"/>
    <w:rsid w:val="5909644F"/>
    <w:rsid w:val="59651C69"/>
    <w:rsid w:val="59D75240"/>
    <w:rsid w:val="5A7E6AAF"/>
    <w:rsid w:val="5AC40AF4"/>
    <w:rsid w:val="5B101ABD"/>
    <w:rsid w:val="5B113397"/>
    <w:rsid w:val="5B335CD4"/>
    <w:rsid w:val="5B5B684D"/>
    <w:rsid w:val="5BA25CAD"/>
    <w:rsid w:val="5BE52147"/>
    <w:rsid w:val="5BEF4236"/>
    <w:rsid w:val="5C383788"/>
    <w:rsid w:val="5C5A2015"/>
    <w:rsid w:val="5C5E4D12"/>
    <w:rsid w:val="5C9D00A1"/>
    <w:rsid w:val="5CF43543"/>
    <w:rsid w:val="5D0409E1"/>
    <w:rsid w:val="5D155313"/>
    <w:rsid w:val="5D2720D2"/>
    <w:rsid w:val="5D440D4E"/>
    <w:rsid w:val="5D56734A"/>
    <w:rsid w:val="5DA52E6D"/>
    <w:rsid w:val="5DD602DF"/>
    <w:rsid w:val="5DF476C0"/>
    <w:rsid w:val="5E0749D9"/>
    <w:rsid w:val="5E1F3CDB"/>
    <w:rsid w:val="5E670687"/>
    <w:rsid w:val="5E897AC0"/>
    <w:rsid w:val="5EA625F7"/>
    <w:rsid w:val="5EC947C4"/>
    <w:rsid w:val="5F072D80"/>
    <w:rsid w:val="5F1257C4"/>
    <w:rsid w:val="5F4675AF"/>
    <w:rsid w:val="5FB209A6"/>
    <w:rsid w:val="5FE70241"/>
    <w:rsid w:val="60213510"/>
    <w:rsid w:val="60220F95"/>
    <w:rsid w:val="605367FF"/>
    <w:rsid w:val="605A2116"/>
    <w:rsid w:val="60A84C4D"/>
    <w:rsid w:val="612530A3"/>
    <w:rsid w:val="614F16D1"/>
    <w:rsid w:val="6180165C"/>
    <w:rsid w:val="61AC2E7E"/>
    <w:rsid w:val="622236C7"/>
    <w:rsid w:val="62326FD6"/>
    <w:rsid w:val="62392B96"/>
    <w:rsid w:val="627F1C2F"/>
    <w:rsid w:val="62961800"/>
    <w:rsid w:val="629635EB"/>
    <w:rsid w:val="62A310E0"/>
    <w:rsid w:val="62A41774"/>
    <w:rsid w:val="62B0276C"/>
    <w:rsid w:val="633E696B"/>
    <w:rsid w:val="6340688E"/>
    <w:rsid w:val="635F3077"/>
    <w:rsid w:val="6398695F"/>
    <w:rsid w:val="63B27EA0"/>
    <w:rsid w:val="63DF557E"/>
    <w:rsid w:val="64103EAA"/>
    <w:rsid w:val="6483504F"/>
    <w:rsid w:val="649B2380"/>
    <w:rsid w:val="64A45689"/>
    <w:rsid w:val="64DA37C0"/>
    <w:rsid w:val="64E86E1B"/>
    <w:rsid w:val="64FF4DD6"/>
    <w:rsid w:val="6500633D"/>
    <w:rsid w:val="651C6231"/>
    <w:rsid w:val="6532567A"/>
    <w:rsid w:val="65432C80"/>
    <w:rsid w:val="65452D60"/>
    <w:rsid w:val="65883A05"/>
    <w:rsid w:val="65995A26"/>
    <w:rsid w:val="659D5477"/>
    <w:rsid w:val="65E23E2C"/>
    <w:rsid w:val="65E87331"/>
    <w:rsid w:val="663F79C5"/>
    <w:rsid w:val="66551807"/>
    <w:rsid w:val="66D251F5"/>
    <w:rsid w:val="66D45A87"/>
    <w:rsid w:val="66E3496A"/>
    <w:rsid w:val="66EE13C0"/>
    <w:rsid w:val="66F82E10"/>
    <w:rsid w:val="670875F4"/>
    <w:rsid w:val="673603BF"/>
    <w:rsid w:val="675909B6"/>
    <w:rsid w:val="67753750"/>
    <w:rsid w:val="67766C87"/>
    <w:rsid w:val="67A22BFC"/>
    <w:rsid w:val="67B956A7"/>
    <w:rsid w:val="68B83C34"/>
    <w:rsid w:val="68CE0D48"/>
    <w:rsid w:val="692322C1"/>
    <w:rsid w:val="69815E7C"/>
    <w:rsid w:val="69961433"/>
    <w:rsid w:val="699E64C4"/>
    <w:rsid w:val="69E0432F"/>
    <w:rsid w:val="69ED0DE5"/>
    <w:rsid w:val="69FA771B"/>
    <w:rsid w:val="6A0809C9"/>
    <w:rsid w:val="6A153FA8"/>
    <w:rsid w:val="6A282E52"/>
    <w:rsid w:val="6A6C1D64"/>
    <w:rsid w:val="6AF030C6"/>
    <w:rsid w:val="6B216FB2"/>
    <w:rsid w:val="6B346045"/>
    <w:rsid w:val="6B4E249E"/>
    <w:rsid w:val="6B5A7C1B"/>
    <w:rsid w:val="6B5E2353"/>
    <w:rsid w:val="6B6A5A7D"/>
    <w:rsid w:val="6BB06152"/>
    <w:rsid w:val="6BBE73A2"/>
    <w:rsid w:val="6BC03F70"/>
    <w:rsid w:val="6BC35AF9"/>
    <w:rsid w:val="6BED4D87"/>
    <w:rsid w:val="6CB77EA3"/>
    <w:rsid w:val="6CEB68A8"/>
    <w:rsid w:val="6CEE36C0"/>
    <w:rsid w:val="6D026668"/>
    <w:rsid w:val="6D7F17AE"/>
    <w:rsid w:val="6DA85D7E"/>
    <w:rsid w:val="6DB052C5"/>
    <w:rsid w:val="6E1940CE"/>
    <w:rsid w:val="6E231F3D"/>
    <w:rsid w:val="6E481889"/>
    <w:rsid w:val="6E9B4AD2"/>
    <w:rsid w:val="6EA72F2A"/>
    <w:rsid w:val="6EB067BF"/>
    <w:rsid w:val="6F6B47FD"/>
    <w:rsid w:val="6F7B6062"/>
    <w:rsid w:val="6FAC42B1"/>
    <w:rsid w:val="6FBA0C6A"/>
    <w:rsid w:val="6FBD020A"/>
    <w:rsid w:val="6FC02C5A"/>
    <w:rsid w:val="6FC266AC"/>
    <w:rsid w:val="703C6627"/>
    <w:rsid w:val="705F2C57"/>
    <w:rsid w:val="709C0DD8"/>
    <w:rsid w:val="70E549F7"/>
    <w:rsid w:val="70E86B64"/>
    <w:rsid w:val="71377AB8"/>
    <w:rsid w:val="71A93AC1"/>
    <w:rsid w:val="71D32D9D"/>
    <w:rsid w:val="72206A0E"/>
    <w:rsid w:val="72223B48"/>
    <w:rsid w:val="722C5B16"/>
    <w:rsid w:val="72401285"/>
    <w:rsid w:val="72C77517"/>
    <w:rsid w:val="72DC7E3D"/>
    <w:rsid w:val="72ED0C3A"/>
    <w:rsid w:val="73303C59"/>
    <w:rsid w:val="736B3456"/>
    <w:rsid w:val="73783476"/>
    <w:rsid w:val="739F06D6"/>
    <w:rsid w:val="73C752DD"/>
    <w:rsid w:val="740D3131"/>
    <w:rsid w:val="747A6243"/>
    <w:rsid w:val="74820E82"/>
    <w:rsid w:val="74856C0E"/>
    <w:rsid w:val="74F374C6"/>
    <w:rsid w:val="75047A79"/>
    <w:rsid w:val="75162429"/>
    <w:rsid w:val="75516F5E"/>
    <w:rsid w:val="757B4246"/>
    <w:rsid w:val="75F10087"/>
    <w:rsid w:val="76032BE9"/>
    <w:rsid w:val="76173310"/>
    <w:rsid w:val="7682610E"/>
    <w:rsid w:val="76AF3D42"/>
    <w:rsid w:val="76B760FC"/>
    <w:rsid w:val="76D13B82"/>
    <w:rsid w:val="76D874D2"/>
    <w:rsid w:val="76FD7281"/>
    <w:rsid w:val="775532AD"/>
    <w:rsid w:val="777E6C3E"/>
    <w:rsid w:val="778550C2"/>
    <w:rsid w:val="77CB491B"/>
    <w:rsid w:val="77F14A3D"/>
    <w:rsid w:val="78254387"/>
    <w:rsid w:val="78713C9D"/>
    <w:rsid w:val="78877127"/>
    <w:rsid w:val="789C200E"/>
    <w:rsid w:val="79103CB3"/>
    <w:rsid w:val="79146AB7"/>
    <w:rsid w:val="79292D8D"/>
    <w:rsid w:val="7944161E"/>
    <w:rsid w:val="799074B2"/>
    <w:rsid w:val="799636F5"/>
    <w:rsid w:val="79E35C68"/>
    <w:rsid w:val="7A1514B7"/>
    <w:rsid w:val="7A1A507F"/>
    <w:rsid w:val="7A295530"/>
    <w:rsid w:val="7A2D34D3"/>
    <w:rsid w:val="7A5D40EC"/>
    <w:rsid w:val="7A64273D"/>
    <w:rsid w:val="7A8E43EE"/>
    <w:rsid w:val="7A9E6CC7"/>
    <w:rsid w:val="7AA730C0"/>
    <w:rsid w:val="7ACE0D12"/>
    <w:rsid w:val="7ADA2CE1"/>
    <w:rsid w:val="7B386976"/>
    <w:rsid w:val="7B4B1E9A"/>
    <w:rsid w:val="7B956A93"/>
    <w:rsid w:val="7C293935"/>
    <w:rsid w:val="7C913174"/>
    <w:rsid w:val="7CBA51B4"/>
    <w:rsid w:val="7CBC5AD2"/>
    <w:rsid w:val="7CCB49D3"/>
    <w:rsid w:val="7D1D24BD"/>
    <w:rsid w:val="7D594456"/>
    <w:rsid w:val="7D6C4ED6"/>
    <w:rsid w:val="7D917E9C"/>
    <w:rsid w:val="7D920050"/>
    <w:rsid w:val="7E146971"/>
    <w:rsid w:val="7E2F501B"/>
    <w:rsid w:val="7E370D00"/>
    <w:rsid w:val="7E3F1101"/>
    <w:rsid w:val="7E751222"/>
    <w:rsid w:val="7E751E52"/>
    <w:rsid w:val="7E852BA3"/>
    <w:rsid w:val="7E920730"/>
    <w:rsid w:val="7E973388"/>
    <w:rsid w:val="7F145950"/>
    <w:rsid w:val="7F264426"/>
    <w:rsid w:val="7F3A48D1"/>
    <w:rsid w:val="7F4D5228"/>
    <w:rsid w:val="7F843B60"/>
    <w:rsid w:val="7F8E25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网格型2"/>
    <w:basedOn w:val="2"/>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2025-07-14T02:33:00Z</dcterms:created>
  <dc:creator>71482</dc:creator>
  <cp:lastModifiedBy>lijinhao</cp:lastModifiedBy>
  <dcterms:modified xsi:type="dcterms:W3CDTF">2026-08-23T11:57:08Z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A5044F737866428CBFD4665B1F01D4DC_12</vt:lpwstr>
  </property>
  <property fmtid="{D5CDD505-2E9C-101B-9397-08002B2CF9AE}" pid="4" name="KSOTemplateDocerSaveRecord">
    <vt:lpwstr>eyJoZGlkIjoiMTU1ZDcwZGE2MTA3YjI0ZmQwODFiYTU1MzdmM2UxMWYiLCJ1c2VySWQiOiI0MjAyNjE2MzIifQ==</vt:lpwstr>
  </property>
</Properties>
</file>