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9EDB7">
      <w:pPr>
        <w:spacing w:after="312" w:afterLines="100"/>
        <w:ind w:right="420" w:rightChars="200"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32"/>
          <w:lang w:bidi="ar"/>
        </w:rPr>
        <w:t>·Supplement·</w:t>
      </w:r>
    </w:p>
    <w:p w14:paraId="1549A1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Cost-effectiveness of </w:t>
      </w:r>
      <w:r>
        <w:rPr>
          <w:rFonts w:hint="eastAsia"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b/>
          <w:bCs/>
          <w:sz w:val="24"/>
        </w:rPr>
        <w:t xml:space="preserve">ctive </w:t>
      </w:r>
      <w:r>
        <w:rPr>
          <w:rFonts w:hint="eastAsia"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 xml:space="preserve">creening </w:t>
      </w:r>
      <w:r>
        <w:rPr>
          <w:rFonts w:hint="eastAsia"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 xml:space="preserve">trategies for </w:t>
      </w:r>
      <w:r>
        <w:rPr>
          <w:rFonts w:hint="eastAsia" w:ascii="Times New Roman" w:hAnsi="Times New Roman" w:cs="Times New Roman"/>
          <w:b/>
          <w:bCs/>
          <w:sz w:val="24"/>
        </w:rPr>
        <w:t>D</w:t>
      </w:r>
      <w:r>
        <w:rPr>
          <w:rFonts w:ascii="Times New Roman" w:hAnsi="Times New Roman" w:cs="Times New Roman"/>
          <w:b/>
          <w:bCs/>
          <w:sz w:val="24"/>
        </w:rPr>
        <w:t xml:space="preserve">etecting </w:t>
      </w:r>
    </w:p>
    <w:p w14:paraId="44B6CB1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b/>
          <w:bCs/>
          <w:sz w:val="24"/>
        </w:rPr>
        <w:t xml:space="preserve">symptomatic </w:t>
      </w:r>
      <w:r>
        <w:rPr>
          <w:rFonts w:hint="eastAsia" w:ascii="Times New Roman" w:hAnsi="Times New Roman" w:cs="Times New Roman"/>
          <w:b/>
          <w:bCs/>
          <w:sz w:val="24"/>
        </w:rPr>
        <w:t>T</w:t>
      </w:r>
      <w:r>
        <w:rPr>
          <w:rFonts w:ascii="Times New Roman" w:hAnsi="Times New Roman" w:cs="Times New Roman"/>
          <w:b/>
          <w:bCs/>
          <w:sz w:val="24"/>
        </w:rPr>
        <w:t>uberculosis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in China: A </w:t>
      </w:r>
      <w:r>
        <w:rPr>
          <w:rFonts w:ascii="Times New Roman" w:hAnsi="Times New Roman" w:cs="Times New Roman"/>
          <w:b/>
          <w:bCs/>
          <w:sz w:val="24"/>
        </w:rPr>
        <w:t>Markov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Model</w:t>
      </w:r>
    </w:p>
    <w:p w14:paraId="339A57B3">
      <w:pPr>
        <w:spacing w:line="360" w:lineRule="auto"/>
        <w:jc w:val="center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w:t xml:space="preserve">Caihong Xu </w:t>
      </w:r>
      <w:r>
        <w:rPr>
          <w:rFonts w:ascii="Times New Roman" w:hAnsi="Times New Roman" w:eastAsia="宋体" w:cs="Times New Roman"/>
          <w:sz w:val="18"/>
          <w:szCs w:val="18"/>
          <w:vertAlign w:val="superscript"/>
        </w:rPr>
        <w:t xml:space="preserve">a, </w:t>
      </w:r>
      <w:r>
        <w:rPr>
          <w:rFonts w:hint="eastAsia" w:ascii="Times New Roman" w:hAnsi="Times New Roman" w:eastAsia="宋体" w:cs="Times New Roman"/>
          <w:sz w:val="18"/>
          <w:szCs w:val="18"/>
          <w:vertAlign w:val="superscript"/>
        </w:rPr>
        <w:t>b</w:t>
      </w:r>
      <w:r>
        <w:rPr>
          <w:rFonts w:ascii="Times New Roman" w:hAnsi="Times New Roman" w:eastAsia="宋体" w:cs="Times New Roman"/>
          <w:sz w:val="18"/>
          <w:szCs w:val="18"/>
          <w:vertAlign w:val="superscript"/>
        </w:rPr>
        <w:t>, *</w:t>
      </w:r>
      <w:r>
        <w:rPr>
          <w:rFonts w:ascii="Times New Roman" w:hAnsi="Times New Roman" w:eastAsia="宋体" w:cs="Times New Roman"/>
          <w:sz w:val="18"/>
          <w:szCs w:val="18"/>
        </w:rPr>
        <w:t xml:space="preserve">, Jinhao Li </w:t>
      </w:r>
      <w:r>
        <w:rPr>
          <w:rFonts w:hint="eastAsia" w:ascii="Times New Roman" w:hAnsi="Times New Roman" w:eastAsia="宋体" w:cs="Times New Roman"/>
          <w:sz w:val="18"/>
          <w:szCs w:val="18"/>
          <w:vertAlign w:val="superscript"/>
        </w:rPr>
        <w:t>b, *</w:t>
      </w:r>
      <w:r>
        <w:rPr>
          <w:rFonts w:ascii="Times New Roman" w:hAnsi="Times New Roman" w:eastAsia="宋体" w:cs="Times New Roman"/>
          <w:sz w:val="18"/>
          <w:szCs w:val="18"/>
        </w:rPr>
        <w:t xml:space="preserve">, Yaxin Wen </w:t>
      </w:r>
      <w:r>
        <w:rPr>
          <w:rFonts w:hint="eastAsia" w:ascii="Times New Roman" w:hAnsi="Times New Roman" w:eastAsia="宋体" w:cs="Times New Roman"/>
          <w:sz w:val="18"/>
          <w:szCs w:val="18"/>
          <w:vertAlign w:val="superscript"/>
        </w:rPr>
        <w:t>b</w:t>
      </w:r>
      <w:r>
        <w:rPr>
          <w:rFonts w:ascii="Times New Roman" w:hAnsi="Times New Roman" w:eastAsia="宋体" w:cs="Times New Roman"/>
          <w:sz w:val="18"/>
          <w:szCs w:val="18"/>
        </w:rPr>
        <w:t xml:space="preserve">, Fangjun Ge </w:t>
      </w:r>
      <w:r>
        <w:rPr>
          <w:rFonts w:hint="eastAsia" w:ascii="Times New Roman" w:hAnsi="Times New Roman" w:eastAsia="宋体" w:cs="Times New Roman"/>
          <w:sz w:val="18"/>
          <w:szCs w:val="18"/>
          <w:vertAlign w:val="superscript"/>
        </w:rPr>
        <w:t>b</w:t>
      </w:r>
      <w:r>
        <w:rPr>
          <w:rFonts w:ascii="Times New Roman" w:hAnsi="Times New Roman" w:eastAsia="宋体" w:cs="Times New Roman"/>
          <w:sz w:val="18"/>
          <w:szCs w:val="18"/>
        </w:rPr>
        <w:t>,</w:t>
      </w:r>
      <w:r>
        <w:rPr>
          <w:rFonts w:hint="eastAsia" w:ascii="Times New Roman" w:hAnsi="Times New Roman" w:eastAsia="宋体" w:cs="Times New Roman"/>
          <w:sz w:val="18"/>
          <w:szCs w:val="18"/>
        </w:rPr>
        <w:t xml:space="preserve"> Yanlin Zhao</w:t>
      </w:r>
      <w:r>
        <w:rPr>
          <w:rFonts w:ascii="Times New Roman" w:hAnsi="Times New Roman" w:eastAsia="宋体" w:cs="Times New Roman"/>
          <w:sz w:val="18"/>
          <w:szCs w:val="18"/>
        </w:rPr>
        <w:t xml:space="preserve"> </w:t>
      </w:r>
      <w:r>
        <w:rPr>
          <w:rFonts w:hint="eastAsia" w:ascii="Times New Roman" w:hAnsi="Times New Roman" w:eastAsia="宋体" w:cs="Times New Roman"/>
          <w:sz w:val="18"/>
          <w:szCs w:val="18"/>
          <w:vertAlign w:val="superscript"/>
        </w:rPr>
        <w:t>a, c, #</w:t>
      </w:r>
      <w:r>
        <w:rPr>
          <w:rFonts w:hint="eastAsia" w:ascii="Times New Roman" w:hAnsi="Times New Roman" w:eastAsia="宋体" w:cs="Times New Roman"/>
          <w:sz w:val="18"/>
          <w:szCs w:val="18"/>
        </w:rPr>
        <w:t>, Biao Kan</w:t>
      </w:r>
      <w:r>
        <w:rPr>
          <w:rFonts w:ascii="Times New Roman" w:hAnsi="Times New Roman" w:eastAsia="宋体" w:cs="Times New Roman"/>
          <w:sz w:val="18"/>
          <w:szCs w:val="18"/>
        </w:rPr>
        <w:t xml:space="preserve"> </w:t>
      </w:r>
      <w:r>
        <w:rPr>
          <w:rFonts w:hint="eastAsia" w:ascii="Times New Roman" w:hAnsi="Times New Roman" w:eastAsia="宋体" w:cs="Times New Roman"/>
          <w:sz w:val="18"/>
          <w:szCs w:val="18"/>
          <w:vertAlign w:val="superscript"/>
        </w:rPr>
        <w:t>a, c, e, #</w:t>
      </w:r>
    </w:p>
    <w:p w14:paraId="43232ACB">
      <w:pPr>
        <w:rPr>
          <w:rFonts w:ascii="Times New Roman" w:hAnsi="Times New Roman" w:eastAsia="宋体" w:cs="Times New Roman"/>
          <w:i/>
          <w:iCs/>
          <w:sz w:val="15"/>
          <w:szCs w:val="15"/>
        </w:rPr>
      </w:pPr>
      <w:r>
        <w:rPr>
          <w:rFonts w:ascii="Times New Roman" w:hAnsi="Times New Roman" w:eastAsia="宋体" w:cs="Times New Roman"/>
          <w:i/>
          <w:iCs/>
          <w:sz w:val="15"/>
          <w:szCs w:val="15"/>
          <w:vertAlign w:val="superscript"/>
        </w:rPr>
        <w:t>a</w:t>
      </w:r>
      <w:r>
        <w:rPr>
          <w:rFonts w:ascii="Times New Roman" w:hAnsi="Times New Roman" w:eastAsia="宋体" w:cs="Times New Roman"/>
          <w:i/>
          <w:iCs/>
          <w:sz w:val="15"/>
          <w:szCs w:val="15"/>
        </w:rPr>
        <w:t xml:space="preserve"> Department of Epidemiology, School of Public Health, Nanjing</w:t>
      </w:r>
      <w:r>
        <w:rPr>
          <w:rFonts w:hint="eastAsia" w:ascii="Times New Roman" w:hAnsi="Times New Roman" w:eastAsia="宋体" w:cs="Times New Roman"/>
          <w:i/>
          <w:iCs/>
          <w:sz w:val="15"/>
          <w:szCs w:val="15"/>
        </w:rPr>
        <w:t xml:space="preserve"> </w:t>
      </w:r>
      <w:r>
        <w:rPr>
          <w:rFonts w:ascii="Times New Roman" w:hAnsi="Times New Roman" w:eastAsia="宋体" w:cs="Times New Roman"/>
          <w:i/>
          <w:iCs/>
          <w:sz w:val="15"/>
          <w:szCs w:val="15"/>
        </w:rPr>
        <w:t>Medical University, Nanjing City, Jiangsu Province, China</w:t>
      </w:r>
      <w:r>
        <w:rPr>
          <w:rFonts w:hint="eastAsia" w:ascii="Times New Roman" w:hAnsi="Times New Roman" w:eastAsia="宋体" w:cs="Times New Roman"/>
          <w:i/>
          <w:iCs/>
          <w:sz w:val="15"/>
          <w:szCs w:val="15"/>
        </w:rPr>
        <w:t>.</w:t>
      </w:r>
    </w:p>
    <w:p w14:paraId="372D9380">
      <w:pPr>
        <w:rPr>
          <w:rFonts w:ascii="Times New Roman" w:hAnsi="Times New Roman" w:eastAsia="宋体" w:cs="Times New Roman"/>
          <w:i/>
          <w:iCs/>
          <w:sz w:val="15"/>
          <w:szCs w:val="15"/>
        </w:rPr>
      </w:pPr>
      <w:r>
        <w:rPr>
          <w:rFonts w:ascii="Times New Roman" w:hAnsi="Times New Roman" w:eastAsia="宋体" w:cs="Times New Roman"/>
          <w:i/>
          <w:iCs/>
          <w:sz w:val="15"/>
          <w:szCs w:val="15"/>
          <w:vertAlign w:val="superscript"/>
        </w:rPr>
        <w:t>b</w:t>
      </w:r>
      <w:r>
        <w:rPr>
          <w:rFonts w:ascii="Times New Roman" w:hAnsi="Times New Roman" w:eastAsia="宋体" w:cs="Times New Roman"/>
          <w:i/>
          <w:iCs/>
          <w:sz w:val="15"/>
          <w:szCs w:val="15"/>
        </w:rPr>
        <w:t xml:space="preserve"> National Center for Tuberculosis Control and Prevention, Chinese Center for Disease Control and Prevention, Beijing 102206, China.</w:t>
      </w:r>
    </w:p>
    <w:p w14:paraId="6A806299">
      <w:pPr>
        <w:rPr>
          <w:rFonts w:ascii="Times New Roman" w:hAnsi="Times New Roman" w:eastAsia="宋体" w:cs="Times New Roman"/>
          <w:i/>
          <w:iCs/>
          <w:sz w:val="15"/>
          <w:szCs w:val="15"/>
        </w:rPr>
      </w:pPr>
      <w:r>
        <w:rPr>
          <w:rFonts w:hint="eastAsia" w:ascii="Times New Roman" w:hAnsi="Times New Roman" w:eastAsia="宋体" w:cs="Times New Roman"/>
          <w:i/>
          <w:iCs/>
          <w:sz w:val="15"/>
          <w:szCs w:val="15"/>
          <w:vertAlign w:val="superscript"/>
        </w:rPr>
        <w:t>c</w:t>
      </w:r>
      <w:r>
        <w:rPr>
          <w:rFonts w:ascii="Times New Roman" w:hAnsi="Times New Roman" w:eastAsia="宋体" w:cs="Times New Roman"/>
          <w:i/>
          <w:iCs/>
          <w:sz w:val="15"/>
          <w:szCs w:val="15"/>
        </w:rPr>
        <w:t xml:space="preserve"> National Key Laboratory of Intelligent Tracking and Forecasting for Infectious Diseases, Chinese Center for Disease Control and Prevention, Beijing</w:t>
      </w:r>
      <w:r>
        <w:rPr>
          <w:rFonts w:ascii="Times New Roman" w:hAnsi="Times New Roman" w:eastAsia="宋体" w:cs="Times New Roman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i/>
          <w:iCs/>
          <w:sz w:val="15"/>
          <w:szCs w:val="15"/>
        </w:rPr>
        <w:t>102206, China</w:t>
      </w:r>
    </w:p>
    <w:p w14:paraId="5A538443">
      <w:pPr>
        <w:rPr>
          <w:rFonts w:ascii="Times New Roman" w:hAnsi="Times New Roman" w:eastAsia="宋体" w:cs="Times New Roman"/>
          <w:i/>
          <w:iCs/>
          <w:sz w:val="15"/>
          <w:szCs w:val="15"/>
        </w:rPr>
      </w:pPr>
      <w:r>
        <w:rPr>
          <w:rFonts w:hint="eastAsia" w:ascii="Times New Roman" w:hAnsi="Times New Roman" w:eastAsia="宋体" w:cs="Times New Roman"/>
          <w:i/>
          <w:iCs/>
          <w:sz w:val="15"/>
          <w:szCs w:val="15"/>
          <w:vertAlign w:val="superscript"/>
        </w:rPr>
        <w:t>e</w:t>
      </w:r>
      <w:r>
        <w:rPr>
          <w:rFonts w:hint="eastAsia" w:ascii="Times New Roman" w:hAnsi="Times New Roman" w:eastAsia="宋体" w:cs="Times New Roman"/>
          <w:i/>
          <w:iCs/>
          <w:sz w:val="15"/>
          <w:szCs w:val="15"/>
        </w:rPr>
        <w:t xml:space="preserve"> National Institute for Communicable Disease Control and Prevention, Chinese Center for Disease Control and Prevention &amp; Chinese Academy of Preventive Medicine, Beijing, China.</w:t>
      </w:r>
    </w:p>
    <w:p w14:paraId="5105E1C5">
      <w:pPr>
        <w:rPr>
          <w:rFonts w:ascii="Times New Roman" w:hAnsi="Times New Roman" w:eastAsia="宋体" w:cs="Times New Roman"/>
          <w:i/>
          <w:iCs/>
          <w:sz w:val="15"/>
          <w:szCs w:val="15"/>
        </w:rPr>
      </w:pPr>
      <w:r>
        <w:rPr>
          <w:rFonts w:hint="eastAsia" w:ascii="Times New Roman" w:hAnsi="Times New Roman" w:eastAsia="宋体" w:cs="Times New Roman"/>
          <w:i/>
          <w:iCs/>
          <w:sz w:val="15"/>
          <w:szCs w:val="15"/>
          <w:vertAlign w:val="superscript"/>
        </w:rPr>
        <w:t>*</w:t>
      </w:r>
      <w:r>
        <w:rPr>
          <w:rFonts w:hint="eastAsia" w:ascii="Times New Roman" w:hAnsi="Times New Roman" w:eastAsia="宋体" w:cs="Times New Roman"/>
          <w:i/>
          <w:iCs/>
          <w:sz w:val="15"/>
          <w:szCs w:val="15"/>
        </w:rPr>
        <w:t xml:space="preserve"> </w:t>
      </w:r>
      <w:r>
        <w:rPr>
          <w:rFonts w:ascii="Times New Roman" w:hAnsi="Times New Roman" w:eastAsia="宋体" w:cs="Times New Roman"/>
          <w:i/>
          <w:iCs/>
          <w:sz w:val="15"/>
          <w:szCs w:val="15"/>
        </w:rPr>
        <w:t>These authors contributed equally to this work.</w:t>
      </w:r>
    </w:p>
    <w:p w14:paraId="69B31DD4">
      <w:pPr>
        <w:rPr>
          <w:rFonts w:ascii="Times New Roman" w:hAnsi="Times New Roman" w:eastAsia="宋体" w:cs="Times New Roman"/>
          <w:i/>
          <w:iCs/>
          <w:sz w:val="15"/>
          <w:szCs w:val="15"/>
        </w:rPr>
      </w:pPr>
      <w:r>
        <w:rPr>
          <w:rFonts w:hint="eastAsia" w:ascii="Times New Roman" w:hAnsi="Times New Roman" w:eastAsia="宋体" w:cs="Times New Roman"/>
          <w:i/>
          <w:iCs/>
          <w:sz w:val="15"/>
          <w:szCs w:val="15"/>
          <w:vertAlign w:val="superscript"/>
        </w:rPr>
        <w:t xml:space="preserve"># </w:t>
      </w:r>
      <w:r>
        <w:rPr>
          <w:rFonts w:ascii="Times New Roman" w:hAnsi="Times New Roman" w:eastAsia="宋体" w:cs="Times New Roman"/>
          <w:i/>
          <w:iCs/>
          <w:sz w:val="15"/>
          <w:szCs w:val="15"/>
        </w:rPr>
        <w:t>Corresponding authors: Yanlin Zhao, E-mail address:</w:t>
      </w:r>
      <w:r>
        <w:rPr>
          <w:rFonts w:hint="eastAsia" w:ascii="Times New Roman" w:hAnsi="Times New Roman" w:eastAsia="宋体" w:cs="Times New Roman"/>
          <w:i/>
          <w:iCs/>
          <w:sz w:val="15"/>
          <w:szCs w:val="15"/>
        </w:rPr>
        <w:t xml:space="preserve"> </w:t>
      </w:r>
      <w:r>
        <w:rPr>
          <w:rStyle w:val="5"/>
          <w:rFonts w:ascii="Times New Roman" w:hAnsi="Times New Roman" w:eastAsia="宋体" w:cs="Times New Roman"/>
          <w:i/>
          <w:iCs/>
          <w:color w:val="auto"/>
          <w:sz w:val="15"/>
          <w:szCs w:val="15"/>
          <w:u w:val="none"/>
        </w:rPr>
        <w:t>zhaoyl@chinacdc.cn</w:t>
      </w:r>
      <w:r>
        <w:rPr>
          <w:rStyle w:val="5"/>
          <w:rFonts w:hint="eastAsia" w:ascii="Times New Roman" w:hAnsi="Times New Roman" w:eastAsia="宋体" w:cs="Times New Roman"/>
          <w:i/>
          <w:iCs/>
          <w:color w:val="auto"/>
          <w:sz w:val="15"/>
          <w:szCs w:val="15"/>
          <w:u w:val="none"/>
        </w:rPr>
        <w:t>;</w:t>
      </w:r>
      <w:r>
        <w:rPr>
          <w:rFonts w:hint="eastAsia" w:ascii="Times New Roman" w:hAnsi="Times New Roman" w:eastAsia="宋体" w:cs="Times New Roman"/>
          <w:i/>
          <w:iCs/>
          <w:sz w:val="15"/>
          <w:szCs w:val="15"/>
        </w:rPr>
        <w:t xml:space="preserve"> Biao Kan, kanbiao@icdc.cn.</w:t>
      </w:r>
    </w:p>
    <w:p w14:paraId="68054932">
      <w:pPr>
        <w:rPr>
          <w:rFonts w:hint="eastAsia" w:eastAsiaTheme="minorEastAsia"/>
          <w:lang w:eastAsia="zh-CN"/>
        </w:rPr>
      </w:pPr>
      <w:bookmarkStart w:id="0" w:name="_GoBack"/>
      <w:bookmarkEnd w:id="0"/>
    </w:p>
    <w:p w14:paraId="7A4E3301">
      <w:pPr>
        <w:rPr>
          <w:rFonts w:hint="eastAsia" w:eastAsiaTheme="minorEastAsia"/>
          <w:lang w:eastAsia="zh-CN"/>
        </w:rPr>
      </w:pPr>
    </w:p>
    <w:p w14:paraId="3F0DC076">
      <w:pPr>
        <w:rPr>
          <w:rFonts w:hint="eastAsia" w:eastAsiaTheme="minorEastAsia"/>
          <w:lang w:eastAsia="zh-CN"/>
        </w:rPr>
      </w:pPr>
    </w:p>
    <w:p w14:paraId="70651FC3">
      <w:pPr>
        <w:rPr>
          <w:rFonts w:hint="default" w:ascii="Times New Roman" w:hAnsi="Times New Roman" w:cs="Times New Roman"/>
          <w:bCs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966085"/>
            <wp:effectExtent l="0" t="0" r="0" b="5715"/>
            <wp:docPr id="1" name="图片 1" descr="Supplemental Fig. 1 Cost-effectiveness analysis of different strategies at the 20-year time horiz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l Fig. 1 Cost-effectiveness analysis of different strategies at the 20-year time horizo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756F1">
      <w:pPr>
        <w:jc w:val="center"/>
        <w:rPr>
          <w:rFonts w:hint="default" w:ascii="Times New Roman" w:hAnsi="Times New Roman" w:cs="Times New Roman"/>
          <w:bCs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 w:bidi="ar"/>
        </w:rPr>
        <w:t xml:space="preserve">Supplementary </w:t>
      </w:r>
      <w:r>
        <w:rPr>
          <w:rFonts w:hint="default" w:ascii="Times New Roman" w:hAnsi="Times New Roman" w:cs="Times New Roman"/>
          <w:b/>
          <w:bCs w:val="0"/>
          <w:lang w:val="en-US" w:eastAsia="zh-CN"/>
        </w:rPr>
        <w:t>Fig. 1</w:t>
      </w:r>
      <w:r>
        <w:rPr>
          <w:rFonts w:hint="default" w:ascii="Times New Roman" w:hAnsi="Times New Roman" w:cs="Times New Roman"/>
          <w:bCs/>
          <w:lang w:val="en-US" w:eastAsia="zh-CN"/>
        </w:rPr>
        <w:t xml:space="preserve"> Cost-effectiveness analysis of different strategies </w:t>
      </w:r>
    </w:p>
    <w:p w14:paraId="70C4D479">
      <w:pPr>
        <w:jc w:val="center"/>
        <w:rPr>
          <w:rFonts w:hint="default" w:ascii="Times New Roman" w:hAnsi="Times New Roman" w:cs="Times New Roman"/>
          <w:bCs/>
          <w:lang w:val="en-US" w:eastAsia="zh-CN"/>
        </w:rPr>
      </w:pPr>
      <w:r>
        <w:rPr>
          <w:rFonts w:hint="default" w:ascii="Times New Roman" w:hAnsi="Times New Roman" w:cs="Times New Roman"/>
          <w:bCs/>
          <w:lang w:val="en-US" w:eastAsia="zh-CN"/>
        </w:rPr>
        <w:t>at the 20-year time horizon</w:t>
      </w:r>
    </w:p>
    <w:p w14:paraId="43FF6EE2">
      <w:pPr>
        <w:jc w:val="both"/>
        <w:rPr>
          <w:rFonts w:hint="default" w:ascii="Times New Roman" w:hAnsi="Times New Roman" w:cs="Times New Roman"/>
          <w:bCs/>
          <w:lang w:val="en-US" w:eastAsia="zh-CN"/>
        </w:rPr>
      </w:pPr>
    </w:p>
    <w:p w14:paraId="679EDAA6">
      <w:pPr>
        <w:rPr>
          <w:rFonts w:hint="default" w:ascii="Times New Roman" w:hAnsi="Times New Roman" w:cs="Times New Roman"/>
          <w:bCs/>
          <w:lang w:val="en-US" w:eastAsia="zh-CN"/>
        </w:rPr>
      </w:pPr>
      <w:r>
        <w:rPr>
          <w:rFonts w:hint="default" w:ascii="Times New Roman" w:hAnsi="Times New Roman" w:cs="Times New Roman"/>
          <w:bCs/>
          <w:lang w:val="en-US" w:eastAsia="zh-CN"/>
        </w:rPr>
        <w:br w:type="page"/>
      </w:r>
    </w:p>
    <w:p w14:paraId="0DB37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 w:bidi="ar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1</w:t>
      </w:r>
      <w:r>
        <w:rPr>
          <w:rFonts w:hint="default" w:ascii="Times New Roman" w:hAnsi="Times New Roman" w:cs="Times New Roman"/>
          <w:bCs/>
        </w:rPr>
        <w:t xml:space="preserve"> 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Changes in the ICERs across the prevalence range of aTB </w:t>
      </w:r>
    </w:p>
    <w:p w14:paraId="3C9F0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>among close contacts from 0.0335 to 0.0626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202"/>
        <w:gridCol w:w="1188"/>
        <w:gridCol w:w="1200"/>
        <w:gridCol w:w="1214"/>
        <w:gridCol w:w="1200"/>
        <w:gridCol w:w="1316"/>
      </w:tblGrid>
      <w:tr w14:paraId="58FD24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A9688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Variable</w:t>
            </w:r>
          </w:p>
        </w:tc>
        <w:tc>
          <w:tcPr>
            <w:tcW w:w="1202" w:type="dxa"/>
            <w:tcBorders>
              <w:bottom w:val="single" w:color="auto" w:sz="4" w:space="0"/>
            </w:tcBorders>
            <w:vAlign w:val="center"/>
          </w:tcPr>
          <w:p w14:paraId="615A99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Stategies</w:t>
            </w:r>
          </w:p>
        </w:tc>
        <w:tc>
          <w:tcPr>
            <w:tcW w:w="1188" w:type="dxa"/>
            <w:tcBorders>
              <w:bottom w:val="single" w:color="auto" w:sz="4" w:space="0"/>
            </w:tcBorders>
            <w:vAlign w:val="center"/>
          </w:tcPr>
          <w:p w14:paraId="7A6C08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Cost (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¥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vAlign w:val="center"/>
          </w:tcPr>
          <w:p w14:paraId="25BD6E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Incremental cost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¥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214" w:type="dxa"/>
            <w:tcBorders>
              <w:bottom w:val="single" w:color="auto" w:sz="4" w:space="0"/>
            </w:tcBorders>
            <w:vAlign w:val="center"/>
          </w:tcPr>
          <w:p w14:paraId="1506C4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Effectiveness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(QALY)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vAlign w:val="center"/>
          </w:tcPr>
          <w:p w14:paraId="55C01A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Incremental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ffectiveness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(QALY)</w:t>
            </w:r>
          </w:p>
        </w:tc>
        <w:tc>
          <w:tcPr>
            <w:tcW w:w="1316" w:type="dxa"/>
            <w:tcBorders>
              <w:bottom w:val="single" w:color="auto" w:sz="4" w:space="0"/>
            </w:tcBorders>
            <w:vAlign w:val="center"/>
          </w:tcPr>
          <w:p w14:paraId="6BDA4B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ICER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 (¥/QALY)</w:t>
            </w:r>
          </w:p>
        </w:tc>
      </w:tr>
      <w:tr w14:paraId="202683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  <w:tcBorders>
              <w:top w:val="single" w:color="auto" w:sz="4" w:space="0"/>
            </w:tcBorders>
            <w:vAlign w:val="center"/>
          </w:tcPr>
          <w:p w14:paraId="08CF8B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0.0335</w:t>
            </w:r>
          </w:p>
        </w:tc>
        <w:tc>
          <w:tcPr>
            <w:tcW w:w="1202" w:type="dxa"/>
            <w:tcBorders>
              <w:top w:val="single" w:color="auto" w:sz="4" w:space="0"/>
            </w:tcBorders>
            <w:vAlign w:val="center"/>
          </w:tcPr>
          <w:p w14:paraId="3C2ED4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tcBorders>
              <w:top w:val="single" w:color="auto" w:sz="4" w:space="0"/>
            </w:tcBorders>
            <w:vAlign w:val="center"/>
          </w:tcPr>
          <w:p w14:paraId="4EF77F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1576.57</w:t>
            </w:r>
          </w:p>
        </w:tc>
        <w:tc>
          <w:tcPr>
            <w:tcW w:w="1200" w:type="dxa"/>
            <w:tcBorders>
              <w:top w:val="single" w:color="auto" w:sz="4" w:space="0"/>
            </w:tcBorders>
            <w:vAlign w:val="center"/>
          </w:tcPr>
          <w:p w14:paraId="13ED28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  <w:tc>
          <w:tcPr>
            <w:tcW w:w="1214" w:type="dxa"/>
            <w:tcBorders>
              <w:top w:val="single" w:color="auto" w:sz="4" w:space="0"/>
            </w:tcBorders>
            <w:vAlign w:val="center"/>
          </w:tcPr>
          <w:p w14:paraId="46706E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19.22</w:t>
            </w:r>
          </w:p>
        </w:tc>
        <w:tc>
          <w:tcPr>
            <w:tcW w:w="1200" w:type="dxa"/>
            <w:tcBorders>
              <w:top w:val="single" w:color="auto" w:sz="4" w:space="0"/>
            </w:tcBorders>
            <w:vAlign w:val="center"/>
          </w:tcPr>
          <w:p w14:paraId="71872D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  <w:tc>
          <w:tcPr>
            <w:tcW w:w="1316" w:type="dxa"/>
            <w:tcBorders>
              <w:top w:val="single" w:color="auto" w:sz="4" w:space="0"/>
            </w:tcBorders>
            <w:vAlign w:val="center"/>
          </w:tcPr>
          <w:p w14:paraId="777279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</w:tr>
      <w:tr w14:paraId="2B4E0A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  <w:vAlign w:val="center"/>
          </w:tcPr>
          <w:p w14:paraId="77DEBE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476906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42ECCE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1965.14</w:t>
            </w:r>
          </w:p>
        </w:tc>
        <w:tc>
          <w:tcPr>
            <w:tcW w:w="1200" w:type="dxa"/>
            <w:vAlign w:val="center"/>
          </w:tcPr>
          <w:p w14:paraId="1A283B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388.57</w:t>
            </w:r>
          </w:p>
        </w:tc>
        <w:tc>
          <w:tcPr>
            <w:tcW w:w="1214" w:type="dxa"/>
            <w:vAlign w:val="center"/>
          </w:tcPr>
          <w:p w14:paraId="7B4ACC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19.76</w:t>
            </w:r>
          </w:p>
        </w:tc>
        <w:tc>
          <w:tcPr>
            <w:tcW w:w="1200" w:type="dxa"/>
            <w:vAlign w:val="center"/>
          </w:tcPr>
          <w:p w14:paraId="3F5445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0.53</w:t>
            </w:r>
          </w:p>
        </w:tc>
        <w:tc>
          <w:tcPr>
            <w:tcW w:w="1316" w:type="dxa"/>
            <w:vAlign w:val="center"/>
          </w:tcPr>
          <w:p w14:paraId="34665D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727.14</w:t>
            </w:r>
          </w:p>
        </w:tc>
      </w:tr>
      <w:tr w14:paraId="3F0EAA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  <w:vAlign w:val="center"/>
          </w:tcPr>
          <w:p w14:paraId="40DB27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0.0423</w:t>
            </w:r>
          </w:p>
        </w:tc>
        <w:tc>
          <w:tcPr>
            <w:tcW w:w="1202" w:type="dxa"/>
            <w:vAlign w:val="center"/>
          </w:tcPr>
          <w:p w14:paraId="4D8041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vAlign w:val="center"/>
          </w:tcPr>
          <w:p w14:paraId="115DD9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1672.26</w:t>
            </w:r>
          </w:p>
        </w:tc>
        <w:tc>
          <w:tcPr>
            <w:tcW w:w="1200" w:type="dxa"/>
            <w:vAlign w:val="center"/>
          </w:tcPr>
          <w:p w14:paraId="770E9E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  <w:tc>
          <w:tcPr>
            <w:tcW w:w="1214" w:type="dxa"/>
            <w:vAlign w:val="center"/>
          </w:tcPr>
          <w:p w14:paraId="341964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19.23</w:t>
            </w:r>
          </w:p>
        </w:tc>
        <w:tc>
          <w:tcPr>
            <w:tcW w:w="1200" w:type="dxa"/>
            <w:vAlign w:val="center"/>
          </w:tcPr>
          <w:p w14:paraId="05446D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  <w:tc>
          <w:tcPr>
            <w:tcW w:w="1316" w:type="dxa"/>
            <w:vAlign w:val="center"/>
          </w:tcPr>
          <w:p w14:paraId="10B2D7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</w:tr>
      <w:tr w14:paraId="2C12B1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  <w:vAlign w:val="center"/>
          </w:tcPr>
          <w:p w14:paraId="1CC7DE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2D6357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1C0C9D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2107.91</w:t>
            </w:r>
          </w:p>
        </w:tc>
        <w:tc>
          <w:tcPr>
            <w:tcW w:w="1200" w:type="dxa"/>
            <w:vAlign w:val="center"/>
          </w:tcPr>
          <w:p w14:paraId="59F16A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435.65</w:t>
            </w:r>
          </w:p>
        </w:tc>
        <w:tc>
          <w:tcPr>
            <w:tcW w:w="1214" w:type="dxa"/>
            <w:vAlign w:val="center"/>
          </w:tcPr>
          <w:p w14:paraId="670EED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19.76</w:t>
            </w:r>
          </w:p>
        </w:tc>
        <w:tc>
          <w:tcPr>
            <w:tcW w:w="1200" w:type="dxa"/>
            <w:vAlign w:val="center"/>
          </w:tcPr>
          <w:p w14:paraId="78EABB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0.53</w:t>
            </w:r>
          </w:p>
        </w:tc>
        <w:tc>
          <w:tcPr>
            <w:tcW w:w="1316" w:type="dxa"/>
            <w:vAlign w:val="center"/>
          </w:tcPr>
          <w:p w14:paraId="2CDBED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814.96</w:t>
            </w:r>
          </w:p>
        </w:tc>
      </w:tr>
      <w:tr w14:paraId="295D1A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  <w:vAlign w:val="center"/>
          </w:tcPr>
          <w:p w14:paraId="2A93BE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0.0491</w:t>
            </w:r>
          </w:p>
        </w:tc>
        <w:tc>
          <w:tcPr>
            <w:tcW w:w="1202" w:type="dxa"/>
            <w:vAlign w:val="center"/>
          </w:tcPr>
          <w:p w14:paraId="7C5B65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vAlign w:val="center"/>
          </w:tcPr>
          <w:p w14:paraId="1D5158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1734.62</w:t>
            </w:r>
          </w:p>
        </w:tc>
        <w:tc>
          <w:tcPr>
            <w:tcW w:w="1200" w:type="dxa"/>
            <w:vAlign w:val="center"/>
          </w:tcPr>
          <w:p w14:paraId="5077FC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  <w:tc>
          <w:tcPr>
            <w:tcW w:w="1214" w:type="dxa"/>
            <w:vAlign w:val="center"/>
          </w:tcPr>
          <w:p w14:paraId="79DF0E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19.24</w:t>
            </w:r>
          </w:p>
        </w:tc>
        <w:tc>
          <w:tcPr>
            <w:tcW w:w="1200" w:type="dxa"/>
            <w:vAlign w:val="center"/>
          </w:tcPr>
          <w:p w14:paraId="30DFBD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  <w:tc>
          <w:tcPr>
            <w:tcW w:w="1316" w:type="dxa"/>
            <w:vAlign w:val="center"/>
          </w:tcPr>
          <w:p w14:paraId="515020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</w:tr>
      <w:tr w14:paraId="562BE5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  <w:vAlign w:val="center"/>
          </w:tcPr>
          <w:p w14:paraId="2CB695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640803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3B95A3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2213.84</w:t>
            </w:r>
          </w:p>
        </w:tc>
        <w:tc>
          <w:tcPr>
            <w:tcW w:w="1200" w:type="dxa"/>
            <w:vAlign w:val="center"/>
          </w:tcPr>
          <w:p w14:paraId="014CD1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479.21</w:t>
            </w:r>
          </w:p>
        </w:tc>
        <w:tc>
          <w:tcPr>
            <w:tcW w:w="1214" w:type="dxa"/>
            <w:vAlign w:val="center"/>
          </w:tcPr>
          <w:p w14:paraId="39DB12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19.75</w:t>
            </w:r>
          </w:p>
        </w:tc>
        <w:tc>
          <w:tcPr>
            <w:tcW w:w="1200" w:type="dxa"/>
            <w:vAlign w:val="center"/>
          </w:tcPr>
          <w:p w14:paraId="7CABEC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0.51</w:t>
            </w:r>
          </w:p>
        </w:tc>
        <w:tc>
          <w:tcPr>
            <w:tcW w:w="1316" w:type="dxa"/>
            <w:vAlign w:val="center"/>
          </w:tcPr>
          <w:p w14:paraId="2D76C8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943.82</w:t>
            </w:r>
          </w:p>
        </w:tc>
      </w:tr>
      <w:tr w14:paraId="68CE0D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  <w:vAlign w:val="center"/>
          </w:tcPr>
          <w:p w14:paraId="5B4776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0.0558</w:t>
            </w:r>
          </w:p>
        </w:tc>
        <w:tc>
          <w:tcPr>
            <w:tcW w:w="1202" w:type="dxa"/>
            <w:vAlign w:val="center"/>
          </w:tcPr>
          <w:p w14:paraId="3A7DEA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vAlign w:val="center"/>
          </w:tcPr>
          <w:p w14:paraId="3E2634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1765.06</w:t>
            </w:r>
          </w:p>
        </w:tc>
        <w:tc>
          <w:tcPr>
            <w:tcW w:w="1200" w:type="dxa"/>
            <w:vAlign w:val="center"/>
          </w:tcPr>
          <w:p w14:paraId="5F955C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  <w:tc>
          <w:tcPr>
            <w:tcW w:w="1214" w:type="dxa"/>
            <w:vAlign w:val="center"/>
          </w:tcPr>
          <w:p w14:paraId="1FE6CA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19.26</w:t>
            </w:r>
          </w:p>
        </w:tc>
        <w:tc>
          <w:tcPr>
            <w:tcW w:w="1200" w:type="dxa"/>
            <w:vAlign w:val="center"/>
          </w:tcPr>
          <w:p w14:paraId="6E9EDD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  <w:tc>
          <w:tcPr>
            <w:tcW w:w="1316" w:type="dxa"/>
            <w:vAlign w:val="center"/>
          </w:tcPr>
          <w:p w14:paraId="08CC3D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</w:tr>
      <w:tr w14:paraId="6D3CA2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  <w:vAlign w:val="center"/>
          </w:tcPr>
          <w:p w14:paraId="683212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1CF687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3A7C01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2364.28</w:t>
            </w:r>
          </w:p>
        </w:tc>
        <w:tc>
          <w:tcPr>
            <w:tcW w:w="1200" w:type="dxa"/>
            <w:vAlign w:val="center"/>
          </w:tcPr>
          <w:p w14:paraId="2F7D9E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599.23</w:t>
            </w:r>
          </w:p>
        </w:tc>
        <w:tc>
          <w:tcPr>
            <w:tcW w:w="1214" w:type="dxa"/>
            <w:vAlign w:val="center"/>
          </w:tcPr>
          <w:p w14:paraId="431A59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19.76</w:t>
            </w:r>
          </w:p>
        </w:tc>
        <w:tc>
          <w:tcPr>
            <w:tcW w:w="1200" w:type="dxa"/>
            <w:vAlign w:val="center"/>
          </w:tcPr>
          <w:p w14:paraId="2FD898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0.50</w:t>
            </w:r>
          </w:p>
        </w:tc>
        <w:tc>
          <w:tcPr>
            <w:tcW w:w="1316" w:type="dxa"/>
            <w:vAlign w:val="center"/>
          </w:tcPr>
          <w:p w14:paraId="377F07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1195.33</w:t>
            </w:r>
          </w:p>
        </w:tc>
      </w:tr>
      <w:tr w14:paraId="28B948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  <w:vAlign w:val="center"/>
          </w:tcPr>
          <w:p w14:paraId="3ED8B8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0.063</w:t>
            </w:r>
          </w:p>
        </w:tc>
        <w:tc>
          <w:tcPr>
            <w:tcW w:w="1202" w:type="dxa"/>
            <w:vAlign w:val="center"/>
          </w:tcPr>
          <w:p w14:paraId="418DF9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vAlign w:val="center"/>
          </w:tcPr>
          <w:p w14:paraId="1DFF28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1817.41</w:t>
            </w:r>
          </w:p>
        </w:tc>
        <w:tc>
          <w:tcPr>
            <w:tcW w:w="1200" w:type="dxa"/>
            <w:vAlign w:val="center"/>
          </w:tcPr>
          <w:p w14:paraId="0C1C6A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  <w:tc>
          <w:tcPr>
            <w:tcW w:w="1214" w:type="dxa"/>
            <w:vAlign w:val="center"/>
          </w:tcPr>
          <w:p w14:paraId="262A10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19.24</w:t>
            </w:r>
          </w:p>
        </w:tc>
        <w:tc>
          <w:tcPr>
            <w:tcW w:w="1200" w:type="dxa"/>
            <w:vAlign w:val="center"/>
          </w:tcPr>
          <w:p w14:paraId="3065E0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  <w:tc>
          <w:tcPr>
            <w:tcW w:w="1316" w:type="dxa"/>
            <w:vAlign w:val="center"/>
          </w:tcPr>
          <w:p w14:paraId="052A3C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0.00</w:t>
            </w:r>
          </w:p>
        </w:tc>
      </w:tr>
      <w:tr w14:paraId="2C58C4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  <w:vAlign w:val="center"/>
          </w:tcPr>
          <w:p w14:paraId="3E5358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3412BA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3720C1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2594.22</w:t>
            </w:r>
          </w:p>
        </w:tc>
        <w:tc>
          <w:tcPr>
            <w:tcW w:w="1200" w:type="dxa"/>
            <w:vAlign w:val="center"/>
          </w:tcPr>
          <w:p w14:paraId="7F675B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776.81</w:t>
            </w:r>
          </w:p>
        </w:tc>
        <w:tc>
          <w:tcPr>
            <w:tcW w:w="1214" w:type="dxa"/>
            <w:vAlign w:val="center"/>
          </w:tcPr>
          <w:p w14:paraId="78185C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19.76</w:t>
            </w:r>
          </w:p>
        </w:tc>
        <w:tc>
          <w:tcPr>
            <w:tcW w:w="1200" w:type="dxa"/>
            <w:vAlign w:val="center"/>
          </w:tcPr>
          <w:p w14:paraId="21E158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0.52</w:t>
            </w:r>
          </w:p>
        </w:tc>
        <w:tc>
          <w:tcPr>
            <w:tcW w:w="1316" w:type="dxa"/>
            <w:vAlign w:val="center"/>
          </w:tcPr>
          <w:p w14:paraId="6B4C21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1498.41</w:t>
            </w:r>
          </w:p>
        </w:tc>
      </w:tr>
    </w:tbl>
    <w:p w14:paraId="163AF72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cs="Times New Roman"/>
          <w:kern w:val="0"/>
          <w:sz w:val="18"/>
          <w:szCs w:val="18"/>
          <w:lang w:val="en-US"/>
        </w:rPr>
      </w:pP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Abbreviations: QALY, quality-adjusted life years; ICER, incremental cost-effectiveness ratio.</w:t>
      </w:r>
    </w:p>
    <w:p w14:paraId="7FB911B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/>
        <w:jc w:val="both"/>
        <w:textAlignment w:val="auto"/>
      </w:pP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*Strategy 3, an active case-finding strategy based on chest radiography with computer-aided detection; Strategy 4, an active case-finding strategy based on pooled GeneXpert testing</w:t>
      </w:r>
    </w:p>
    <w:p w14:paraId="305A996D">
      <w:pPr>
        <w:jc w:val="both"/>
      </w:pPr>
    </w:p>
    <w:p w14:paraId="736D7EA3">
      <w:pPr>
        <w:jc w:val="both"/>
      </w:pPr>
    </w:p>
    <w:p w14:paraId="1BFC4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 w:bidi="ar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cs="Times New Roman"/>
          <w:bCs/>
        </w:rPr>
        <w:t xml:space="preserve"> 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Changes in the ICERs across the sensitivity of chest radiography </w:t>
      </w:r>
    </w:p>
    <w:p w14:paraId="3199C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with CAD interpretation from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  <w:t>0.23 to 0.48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202"/>
        <w:gridCol w:w="1188"/>
        <w:gridCol w:w="1200"/>
        <w:gridCol w:w="1214"/>
        <w:gridCol w:w="1200"/>
        <w:gridCol w:w="1316"/>
      </w:tblGrid>
      <w:tr w14:paraId="739660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B4E3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Variable</w:t>
            </w:r>
          </w:p>
        </w:tc>
        <w:tc>
          <w:tcPr>
            <w:tcW w:w="1202" w:type="dxa"/>
            <w:tcBorders>
              <w:bottom w:val="single" w:color="auto" w:sz="4" w:space="0"/>
            </w:tcBorders>
            <w:vAlign w:val="center"/>
          </w:tcPr>
          <w:p w14:paraId="7E5BC3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Stategies</w:t>
            </w:r>
          </w:p>
        </w:tc>
        <w:tc>
          <w:tcPr>
            <w:tcW w:w="1188" w:type="dxa"/>
            <w:tcBorders>
              <w:bottom w:val="single" w:color="auto" w:sz="4" w:space="0"/>
            </w:tcBorders>
            <w:vAlign w:val="center"/>
          </w:tcPr>
          <w:p w14:paraId="424A7B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Cost (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¥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vAlign w:val="center"/>
          </w:tcPr>
          <w:p w14:paraId="50F321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Incremental cost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¥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214" w:type="dxa"/>
            <w:tcBorders>
              <w:bottom w:val="single" w:color="auto" w:sz="4" w:space="0"/>
            </w:tcBorders>
            <w:vAlign w:val="center"/>
          </w:tcPr>
          <w:p w14:paraId="7A90FB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Effectiveness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(QALY)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vAlign w:val="center"/>
          </w:tcPr>
          <w:p w14:paraId="615298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Incremental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ffectiveness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(QALY)</w:t>
            </w:r>
          </w:p>
        </w:tc>
        <w:tc>
          <w:tcPr>
            <w:tcW w:w="1316" w:type="dxa"/>
            <w:tcBorders>
              <w:bottom w:val="single" w:color="auto" w:sz="4" w:space="0"/>
            </w:tcBorders>
            <w:vAlign w:val="center"/>
          </w:tcPr>
          <w:p w14:paraId="200BD2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ICER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 (¥/QALY)</w:t>
            </w:r>
          </w:p>
        </w:tc>
      </w:tr>
      <w:tr w14:paraId="132C32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tcBorders>
              <w:top w:val="single" w:color="auto" w:sz="4" w:space="0"/>
            </w:tcBorders>
            <w:vAlign w:val="center"/>
          </w:tcPr>
          <w:p w14:paraId="77DC8A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0.23</w:t>
            </w:r>
          </w:p>
        </w:tc>
        <w:tc>
          <w:tcPr>
            <w:tcW w:w="1202" w:type="dxa"/>
            <w:tcBorders>
              <w:top w:val="single" w:color="auto" w:sz="4" w:space="0"/>
            </w:tcBorders>
            <w:vAlign w:val="center"/>
          </w:tcPr>
          <w:p w14:paraId="6C0167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tcBorders>
              <w:top w:val="single" w:color="auto" w:sz="4" w:space="0"/>
            </w:tcBorders>
            <w:vAlign w:val="center"/>
          </w:tcPr>
          <w:p w14:paraId="4BF825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1600.63 </w:t>
            </w:r>
          </w:p>
        </w:tc>
        <w:tc>
          <w:tcPr>
            <w:tcW w:w="1200" w:type="dxa"/>
            <w:tcBorders>
              <w:top w:val="single" w:color="auto" w:sz="4" w:space="0"/>
            </w:tcBorders>
            <w:vAlign w:val="center"/>
          </w:tcPr>
          <w:p w14:paraId="3BF471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214" w:type="dxa"/>
            <w:tcBorders>
              <w:top w:val="single" w:color="auto" w:sz="4" w:space="0"/>
            </w:tcBorders>
            <w:vAlign w:val="center"/>
          </w:tcPr>
          <w:p w14:paraId="465888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19.25 </w:t>
            </w:r>
          </w:p>
        </w:tc>
        <w:tc>
          <w:tcPr>
            <w:tcW w:w="1200" w:type="dxa"/>
            <w:tcBorders>
              <w:top w:val="single" w:color="auto" w:sz="4" w:space="0"/>
            </w:tcBorders>
            <w:vAlign w:val="center"/>
          </w:tcPr>
          <w:p w14:paraId="305C8A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316" w:type="dxa"/>
            <w:tcBorders>
              <w:top w:val="single" w:color="auto" w:sz="4" w:space="0"/>
            </w:tcBorders>
            <w:vAlign w:val="center"/>
          </w:tcPr>
          <w:p w14:paraId="513046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</w:tr>
      <w:tr w14:paraId="30158A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41AE36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38722F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11B4ED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2213.84 </w:t>
            </w:r>
          </w:p>
        </w:tc>
        <w:tc>
          <w:tcPr>
            <w:tcW w:w="1200" w:type="dxa"/>
            <w:vAlign w:val="center"/>
          </w:tcPr>
          <w:p w14:paraId="7D8455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613.21 </w:t>
            </w:r>
          </w:p>
        </w:tc>
        <w:tc>
          <w:tcPr>
            <w:tcW w:w="1214" w:type="dxa"/>
            <w:vAlign w:val="center"/>
          </w:tcPr>
          <w:p w14:paraId="157474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19.75 </w:t>
            </w:r>
          </w:p>
        </w:tc>
        <w:tc>
          <w:tcPr>
            <w:tcW w:w="1200" w:type="dxa"/>
            <w:vAlign w:val="center"/>
          </w:tcPr>
          <w:p w14:paraId="6E9EEC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0.50 </w:t>
            </w:r>
          </w:p>
        </w:tc>
        <w:tc>
          <w:tcPr>
            <w:tcW w:w="1316" w:type="dxa"/>
            <w:vAlign w:val="center"/>
          </w:tcPr>
          <w:p w14:paraId="475773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1222.01 </w:t>
            </w:r>
          </w:p>
        </w:tc>
      </w:tr>
      <w:tr w14:paraId="782A83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56A63B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0.2925</w:t>
            </w:r>
          </w:p>
        </w:tc>
        <w:tc>
          <w:tcPr>
            <w:tcW w:w="1202" w:type="dxa"/>
            <w:vAlign w:val="center"/>
          </w:tcPr>
          <w:p w14:paraId="2EA6FA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vAlign w:val="center"/>
          </w:tcPr>
          <w:p w14:paraId="689480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1654.99 </w:t>
            </w:r>
          </w:p>
        </w:tc>
        <w:tc>
          <w:tcPr>
            <w:tcW w:w="1200" w:type="dxa"/>
            <w:vAlign w:val="center"/>
          </w:tcPr>
          <w:p w14:paraId="0BDE68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214" w:type="dxa"/>
            <w:vAlign w:val="center"/>
          </w:tcPr>
          <w:p w14:paraId="3C642E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19.23 </w:t>
            </w:r>
          </w:p>
        </w:tc>
        <w:tc>
          <w:tcPr>
            <w:tcW w:w="1200" w:type="dxa"/>
            <w:vAlign w:val="center"/>
          </w:tcPr>
          <w:p w14:paraId="5C0765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316" w:type="dxa"/>
            <w:vAlign w:val="center"/>
          </w:tcPr>
          <w:p w14:paraId="061326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</w:tr>
      <w:tr w14:paraId="682C74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557E5E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26BBB0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7D6491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2213.84 </w:t>
            </w:r>
          </w:p>
        </w:tc>
        <w:tc>
          <w:tcPr>
            <w:tcW w:w="1200" w:type="dxa"/>
            <w:vAlign w:val="center"/>
          </w:tcPr>
          <w:p w14:paraId="220FAE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558.85 </w:t>
            </w:r>
          </w:p>
        </w:tc>
        <w:tc>
          <w:tcPr>
            <w:tcW w:w="1214" w:type="dxa"/>
            <w:vAlign w:val="center"/>
          </w:tcPr>
          <w:p w14:paraId="435C8C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19.75 </w:t>
            </w:r>
          </w:p>
        </w:tc>
        <w:tc>
          <w:tcPr>
            <w:tcW w:w="1200" w:type="dxa"/>
            <w:vAlign w:val="center"/>
          </w:tcPr>
          <w:p w14:paraId="28D029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0.51 </w:t>
            </w:r>
          </w:p>
        </w:tc>
        <w:tc>
          <w:tcPr>
            <w:tcW w:w="1316" w:type="dxa"/>
            <w:vAlign w:val="center"/>
          </w:tcPr>
          <w:p w14:paraId="11F5A3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1088.47 </w:t>
            </w:r>
          </w:p>
        </w:tc>
      </w:tr>
      <w:tr w14:paraId="6F6ABD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0D51A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0.355</w:t>
            </w:r>
          </w:p>
        </w:tc>
        <w:tc>
          <w:tcPr>
            <w:tcW w:w="1202" w:type="dxa"/>
            <w:vAlign w:val="center"/>
          </w:tcPr>
          <w:p w14:paraId="3F8CB2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vAlign w:val="center"/>
          </w:tcPr>
          <w:p w14:paraId="1171A4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1732.59 </w:t>
            </w:r>
          </w:p>
        </w:tc>
        <w:tc>
          <w:tcPr>
            <w:tcW w:w="1200" w:type="dxa"/>
            <w:vAlign w:val="center"/>
          </w:tcPr>
          <w:p w14:paraId="3FAD94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214" w:type="dxa"/>
            <w:vAlign w:val="center"/>
          </w:tcPr>
          <w:p w14:paraId="7D70EB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19.24 </w:t>
            </w:r>
          </w:p>
        </w:tc>
        <w:tc>
          <w:tcPr>
            <w:tcW w:w="1200" w:type="dxa"/>
            <w:vAlign w:val="center"/>
          </w:tcPr>
          <w:p w14:paraId="1E05B9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316" w:type="dxa"/>
            <w:vAlign w:val="center"/>
          </w:tcPr>
          <w:p w14:paraId="2BCCBD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</w:tr>
      <w:tr w14:paraId="2C9B26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3499ED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7033CE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158FFE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2213.84 </w:t>
            </w:r>
          </w:p>
        </w:tc>
        <w:tc>
          <w:tcPr>
            <w:tcW w:w="1200" w:type="dxa"/>
            <w:vAlign w:val="center"/>
          </w:tcPr>
          <w:p w14:paraId="15BEF2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481.25 </w:t>
            </w:r>
          </w:p>
        </w:tc>
        <w:tc>
          <w:tcPr>
            <w:tcW w:w="1214" w:type="dxa"/>
            <w:vAlign w:val="center"/>
          </w:tcPr>
          <w:p w14:paraId="3A9D66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19.75 </w:t>
            </w:r>
          </w:p>
        </w:tc>
        <w:tc>
          <w:tcPr>
            <w:tcW w:w="1200" w:type="dxa"/>
            <w:vAlign w:val="center"/>
          </w:tcPr>
          <w:p w14:paraId="72246E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0.51 </w:t>
            </w:r>
          </w:p>
        </w:tc>
        <w:tc>
          <w:tcPr>
            <w:tcW w:w="1316" w:type="dxa"/>
            <w:vAlign w:val="center"/>
          </w:tcPr>
          <w:p w14:paraId="44CD4F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949.43 </w:t>
            </w:r>
          </w:p>
        </w:tc>
      </w:tr>
      <w:tr w14:paraId="142B22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2F2CDC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0.4175</w:t>
            </w:r>
          </w:p>
        </w:tc>
        <w:tc>
          <w:tcPr>
            <w:tcW w:w="1202" w:type="dxa"/>
            <w:vAlign w:val="center"/>
          </w:tcPr>
          <w:p w14:paraId="54207F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vAlign w:val="center"/>
          </w:tcPr>
          <w:p w14:paraId="1F9E93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1809.56 </w:t>
            </w:r>
          </w:p>
        </w:tc>
        <w:tc>
          <w:tcPr>
            <w:tcW w:w="1200" w:type="dxa"/>
            <w:vAlign w:val="center"/>
          </w:tcPr>
          <w:p w14:paraId="5BA02E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214" w:type="dxa"/>
            <w:vAlign w:val="center"/>
          </w:tcPr>
          <w:p w14:paraId="1AA892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19.24 </w:t>
            </w:r>
          </w:p>
        </w:tc>
        <w:tc>
          <w:tcPr>
            <w:tcW w:w="1200" w:type="dxa"/>
            <w:vAlign w:val="center"/>
          </w:tcPr>
          <w:p w14:paraId="71209A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316" w:type="dxa"/>
            <w:vAlign w:val="center"/>
          </w:tcPr>
          <w:p w14:paraId="34FD99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</w:tr>
      <w:tr w14:paraId="2AE3F0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0FEC7D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4C42DD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698D08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2213.84 </w:t>
            </w:r>
          </w:p>
        </w:tc>
        <w:tc>
          <w:tcPr>
            <w:tcW w:w="1200" w:type="dxa"/>
            <w:vAlign w:val="center"/>
          </w:tcPr>
          <w:p w14:paraId="1505A4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404.28 </w:t>
            </w:r>
          </w:p>
        </w:tc>
        <w:tc>
          <w:tcPr>
            <w:tcW w:w="1214" w:type="dxa"/>
            <w:vAlign w:val="center"/>
          </w:tcPr>
          <w:p w14:paraId="3F036D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19.75 </w:t>
            </w:r>
          </w:p>
        </w:tc>
        <w:tc>
          <w:tcPr>
            <w:tcW w:w="1200" w:type="dxa"/>
            <w:vAlign w:val="center"/>
          </w:tcPr>
          <w:p w14:paraId="492BBA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0.51 </w:t>
            </w:r>
          </w:p>
        </w:tc>
        <w:tc>
          <w:tcPr>
            <w:tcW w:w="1316" w:type="dxa"/>
            <w:vAlign w:val="center"/>
          </w:tcPr>
          <w:p w14:paraId="6244B0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792.42 </w:t>
            </w:r>
          </w:p>
        </w:tc>
      </w:tr>
      <w:tr w14:paraId="47D988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7BDAE3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0.48</w:t>
            </w:r>
          </w:p>
        </w:tc>
        <w:tc>
          <w:tcPr>
            <w:tcW w:w="1202" w:type="dxa"/>
            <w:vAlign w:val="center"/>
          </w:tcPr>
          <w:p w14:paraId="49C464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vAlign w:val="center"/>
          </w:tcPr>
          <w:p w14:paraId="3AD39E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1923.60 </w:t>
            </w:r>
          </w:p>
        </w:tc>
        <w:tc>
          <w:tcPr>
            <w:tcW w:w="1200" w:type="dxa"/>
            <w:vAlign w:val="center"/>
          </w:tcPr>
          <w:p w14:paraId="25D5B2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214" w:type="dxa"/>
            <w:vAlign w:val="center"/>
          </w:tcPr>
          <w:p w14:paraId="4E7AE7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19.25 </w:t>
            </w:r>
          </w:p>
        </w:tc>
        <w:tc>
          <w:tcPr>
            <w:tcW w:w="1200" w:type="dxa"/>
            <w:vAlign w:val="center"/>
          </w:tcPr>
          <w:p w14:paraId="67913B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316" w:type="dxa"/>
            <w:vAlign w:val="center"/>
          </w:tcPr>
          <w:p w14:paraId="36020F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</w:tr>
      <w:tr w14:paraId="347F74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69915D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1B3F24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5AC7B2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2213.84 </w:t>
            </w:r>
          </w:p>
        </w:tc>
        <w:tc>
          <w:tcPr>
            <w:tcW w:w="1200" w:type="dxa"/>
            <w:vAlign w:val="center"/>
          </w:tcPr>
          <w:p w14:paraId="7C04B1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290.23 </w:t>
            </w:r>
          </w:p>
        </w:tc>
        <w:tc>
          <w:tcPr>
            <w:tcW w:w="1214" w:type="dxa"/>
            <w:vAlign w:val="center"/>
          </w:tcPr>
          <w:p w14:paraId="04105B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19.75 </w:t>
            </w:r>
          </w:p>
        </w:tc>
        <w:tc>
          <w:tcPr>
            <w:tcW w:w="1200" w:type="dxa"/>
            <w:vAlign w:val="center"/>
          </w:tcPr>
          <w:p w14:paraId="045C79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0.50 </w:t>
            </w:r>
          </w:p>
        </w:tc>
        <w:tc>
          <w:tcPr>
            <w:tcW w:w="1316" w:type="dxa"/>
            <w:vAlign w:val="center"/>
          </w:tcPr>
          <w:p w14:paraId="09495C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579.03 </w:t>
            </w:r>
          </w:p>
        </w:tc>
      </w:tr>
    </w:tbl>
    <w:p w14:paraId="30C18C0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cs="Times New Roman"/>
          <w:kern w:val="0"/>
          <w:sz w:val="18"/>
          <w:szCs w:val="18"/>
          <w:lang w:val="en-US"/>
        </w:rPr>
      </w:pP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Abbreviations: QALY, quality-adjusted life years; ICER, incremental cost-effectiveness ratio.</w:t>
      </w:r>
    </w:p>
    <w:p w14:paraId="5BC90A6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cs="Times New Roman"/>
          <w:kern w:val="0"/>
          <w:sz w:val="18"/>
          <w:szCs w:val="18"/>
          <w:lang w:val="en-US"/>
        </w:rPr>
      </w:pP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*Strategy 3, an active case-finding strategy based on chest radiography with computer-aided detection; Strategy 4, an active case-finding strategy based on pooled GeneXpert testing</w:t>
      </w:r>
    </w:p>
    <w:p w14:paraId="6F347BA3">
      <w:pPr>
        <w:rPr>
          <w:rFonts w:hint="default" w:ascii="Times New Roman" w:hAnsi="Times New Roman" w:cs="Times New Roman"/>
          <w:bCs/>
          <w:lang w:val="en-US" w:eastAsia="zh-CN"/>
        </w:rPr>
      </w:pPr>
    </w:p>
    <w:p w14:paraId="01BE7855">
      <w:pPr>
        <w:rPr>
          <w:rFonts w:hint="default" w:ascii="Times New Roman" w:hAnsi="Times New Roman" w:cs="Times New Roman"/>
          <w:bCs/>
          <w:lang w:val="en-US" w:eastAsia="zh-CN"/>
        </w:rPr>
      </w:pPr>
    </w:p>
    <w:p w14:paraId="21A55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 w:bidi="ar"/>
        </w:rPr>
        <w:t>Supplementary</w:t>
      </w:r>
      <w:r>
        <w:rPr>
          <w:rFonts w:hint="default" w:ascii="Times New Roman" w:hAnsi="Times New Roman" w:eastAsia="黑体" w:cs="Times New Roman"/>
          <w:b/>
          <w:bCs/>
          <w:i w:val="0"/>
          <w:iCs w:val="0"/>
          <w:color w:val="auto"/>
          <w:sz w:val="20"/>
          <w:szCs w:val="20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Table</w:t>
      </w:r>
      <w:r>
        <w:rPr>
          <w:rFonts w:hint="default" w:ascii="Times New Roman" w:hAnsi="Times New Roman" w:cs="Times New Roman"/>
          <w:b/>
          <w:bCs w:val="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 w:val="0"/>
          <w:lang w:val="en-US" w:eastAsia="zh-CN"/>
        </w:rPr>
        <w:t>3</w:t>
      </w:r>
      <w:r>
        <w:rPr>
          <w:rFonts w:hint="default" w:ascii="Times New Roman" w:hAnsi="Times New Roman" w:cs="Times New Roman"/>
          <w:bCs/>
        </w:rPr>
        <w:t xml:space="preserve"> 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Changes in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  <w:t>the sensitivity of pooled GeneXpert testing</w:t>
      </w:r>
      <w:r>
        <w:rPr>
          <w:rFonts w:hint="default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  <w:t>from 0.63 to 0.81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202"/>
        <w:gridCol w:w="1188"/>
        <w:gridCol w:w="1200"/>
        <w:gridCol w:w="1214"/>
        <w:gridCol w:w="1200"/>
        <w:gridCol w:w="1316"/>
      </w:tblGrid>
      <w:tr w14:paraId="6CA34C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58C1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Variable</w:t>
            </w:r>
          </w:p>
        </w:tc>
        <w:tc>
          <w:tcPr>
            <w:tcW w:w="1202" w:type="dxa"/>
            <w:tcBorders>
              <w:bottom w:val="single" w:color="auto" w:sz="4" w:space="0"/>
            </w:tcBorders>
            <w:vAlign w:val="center"/>
          </w:tcPr>
          <w:p w14:paraId="1C1AC6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Stategies</w:t>
            </w:r>
          </w:p>
        </w:tc>
        <w:tc>
          <w:tcPr>
            <w:tcW w:w="1188" w:type="dxa"/>
            <w:tcBorders>
              <w:bottom w:val="single" w:color="auto" w:sz="4" w:space="0"/>
            </w:tcBorders>
            <w:vAlign w:val="center"/>
          </w:tcPr>
          <w:p w14:paraId="15DBCA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Cost (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¥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vAlign w:val="center"/>
          </w:tcPr>
          <w:p w14:paraId="2AFB62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Incremental cost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¥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214" w:type="dxa"/>
            <w:tcBorders>
              <w:bottom w:val="single" w:color="auto" w:sz="4" w:space="0"/>
            </w:tcBorders>
            <w:vAlign w:val="center"/>
          </w:tcPr>
          <w:p w14:paraId="22AA26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Effectiveness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(QALY)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vAlign w:val="center"/>
          </w:tcPr>
          <w:p w14:paraId="62F399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Incremental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ffectiveness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(QALY)</w:t>
            </w:r>
          </w:p>
        </w:tc>
        <w:tc>
          <w:tcPr>
            <w:tcW w:w="1316" w:type="dxa"/>
            <w:tcBorders>
              <w:bottom w:val="single" w:color="auto" w:sz="4" w:space="0"/>
            </w:tcBorders>
            <w:vAlign w:val="center"/>
          </w:tcPr>
          <w:p w14:paraId="12F532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ICER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 (¥/QALY)</w:t>
            </w:r>
          </w:p>
        </w:tc>
      </w:tr>
      <w:tr w14:paraId="5190C2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tcBorders>
              <w:top w:val="single" w:color="auto" w:sz="4" w:space="0"/>
            </w:tcBorders>
            <w:vAlign w:val="center"/>
          </w:tcPr>
          <w:p w14:paraId="67871C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0.23</w:t>
            </w:r>
          </w:p>
        </w:tc>
        <w:tc>
          <w:tcPr>
            <w:tcW w:w="1202" w:type="dxa"/>
            <w:tcBorders>
              <w:top w:val="single" w:color="auto" w:sz="4" w:space="0"/>
            </w:tcBorders>
            <w:vAlign w:val="center"/>
          </w:tcPr>
          <w:p w14:paraId="7436FB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tcBorders>
              <w:top w:val="single" w:color="auto" w:sz="4" w:space="0"/>
            </w:tcBorders>
            <w:vAlign w:val="center"/>
          </w:tcPr>
          <w:p w14:paraId="6799DC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1731.99 </w:t>
            </w:r>
          </w:p>
        </w:tc>
        <w:tc>
          <w:tcPr>
            <w:tcW w:w="1200" w:type="dxa"/>
            <w:tcBorders>
              <w:top w:val="single" w:color="auto" w:sz="4" w:space="0"/>
            </w:tcBorders>
            <w:vAlign w:val="center"/>
          </w:tcPr>
          <w:p w14:paraId="51F42A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214" w:type="dxa"/>
            <w:tcBorders>
              <w:top w:val="single" w:color="auto" w:sz="4" w:space="0"/>
            </w:tcBorders>
            <w:vAlign w:val="center"/>
          </w:tcPr>
          <w:p w14:paraId="4C7CE4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19.24 </w:t>
            </w:r>
          </w:p>
        </w:tc>
        <w:tc>
          <w:tcPr>
            <w:tcW w:w="1200" w:type="dxa"/>
            <w:tcBorders>
              <w:top w:val="single" w:color="auto" w:sz="4" w:space="0"/>
            </w:tcBorders>
            <w:vAlign w:val="center"/>
          </w:tcPr>
          <w:p w14:paraId="551124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316" w:type="dxa"/>
            <w:tcBorders>
              <w:top w:val="single" w:color="auto" w:sz="4" w:space="0"/>
            </w:tcBorders>
            <w:vAlign w:val="center"/>
          </w:tcPr>
          <w:p w14:paraId="21EB05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</w:tr>
      <w:tr w14:paraId="5A7C2F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3756B8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405AB2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175D47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2134.49 </w:t>
            </w:r>
          </w:p>
        </w:tc>
        <w:tc>
          <w:tcPr>
            <w:tcW w:w="1200" w:type="dxa"/>
            <w:vAlign w:val="center"/>
          </w:tcPr>
          <w:p w14:paraId="357BE7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402.49 </w:t>
            </w:r>
          </w:p>
        </w:tc>
        <w:tc>
          <w:tcPr>
            <w:tcW w:w="1214" w:type="dxa"/>
            <w:vAlign w:val="center"/>
          </w:tcPr>
          <w:p w14:paraId="5448AC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19.78 </w:t>
            </w:r>
          </w:p>
        </w:tc>
        <w:tc>
          <w:tcPr>
            <w:tcW w:w="1200" w:type="dxa"/>
            <w:vAlign w:val="center"/>
          </w:tcPr>
          <w:p w14:paraId="2A930C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0.54 </w:t>
            </w:r>
          </w:p>
        </w:tc>
        <w:tc>
          <w:tcPr>
            <w:tcW w:w="1316" w:type="dxa"/>
            <w:vAlign w:val="center"/>
          </w:tcPr>
          <w:p w14:paraId="6B0EE0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749.56 </w:t>
            </w:r>
          </w:p>
        </w:tc>
      </w:tr>
      <w:tr w14:paraId="567888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562717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0.2925</w:t>
            </w:r>
          </w:p>
        </w:tc>
        <w:tc>
          <w:tcPr>
            <w:tcW w:w="1202" w:type="dxa"/>
            <w:vAlign w:val="center"/>
          </w:tcPr>
          <w:p w14:paraId="5AA9E2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vAlign w:val="center"/>
          </w:tcPr>
          <w:p w14:paraId="4211DD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1731.99 </w:t>
            </w:r>
          </w:p>
        </w:tc>
        <w:tc>
          <w:tcPr>
            <w:tcW w:w="1200" w:type="dxa"/>
            <w:vAlign w:val="center"/>
          </w:tcPr>
          <w:p w14:paraId="07459B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214" w:type="dxa"/>
            <w:vAlign w:val="center"/>
          </w:tcPr>
          <w:p w14:paraId="3928B1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19.24 </w:t>
            </w:r>
          </w:p>
        </w:tc>
        <w:tc>
          <w:tcPr>
            <w:tcW w:w="1200" w:type="dxa"/>
            <w:vAlign w:val="center"/>
          </w:tcPr>
          <w:p w14:paraId="186E4B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316" w:type="dxa"/>
            <w:vAlign w:val="center"/>
          </w:tcPr>
          <w:p w14:paraId="3781AC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</w:tr>
      <w:tr w14:paraId="0D60EA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0C9B81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69FA35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4FB300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2206.31 </w:t>
            </w:r>
          </w:p>
        </w:tc>
        <w:tc>
          <w:tcPr>
            <w:tcW w:w="1200" w:type="dxa"/>
            <w:vAlign w:val="center"/>
          </w:tcPr>
          <w:p w14:paraId="366D68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474.32 </w:t>
            </w:r>
          </w:p>
        </w:tc>
        <w:tc>
          <w:tcPr>
            <w:tcW w:w="1214" w:type="dxa"/>
            <w:vAlign w:val="center"/>
          </w:tcPr>
          <w:p w14:paraId="2BD6B4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19.77 </w:t>
            </w:r>
          </w:p>
        </w:tc>
        <w:tc>
          <w:tcPr>
            <w:tcW w:w="1200" w:type="dxa"/>
            <w:vAlign w:val="center"/>
          </w:tcPr>
          <w:p w14:paraId="03D161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0.53 </w:t>
            </w:r>
          </w:p>
        </w:tc>
        <w:tc>
          <w:tcPr>
            <w:tcW w:w="1316" w:type="dxa"/>
            <w:vAlign w:val="center"/>
          </w:tcPr>
          <w:p w14:paraId="111314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897.58 </w:t>
            </w:r>
          </w:p>
        </w:tc>
      </w:tr>
      <w:tr w14:paraId="5E34AE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33326E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0.355</w:t>
            </w:r>
          </w:p>
        </w:tc>
        <w:tc>
          <w:tcPr>
            <w:tcW w:w="1202" w:type="dxa"/>
            <w:vAlign w:val="center"/>
          </w:tcPr>
          <w:p w14:paraId="16BB53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vAlign w:val="center"/>
          </w:tcPr>
          <w:p w14:paraId="7C07BE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1731.99 </w:t>
            </w:r>
          </w:p>
        </w:tc>
        <w:tc>
          <w:tcPr>
            <w:tcW w:w="1200" w:type="dxa"/>
            <w:vAlign w:val="center"/>
          </w:tcPr>
          <w:p w14:paraId="4B6DBB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214" w:type="dxa"/>
            <w:vAlign w:val="center"/>
          </w:tcPr>
          <w:p w14:paraId="6D7CA2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19.24 </w:t>
            </w:r>
          </w:p>
        </w:tc>
        <w:tc>
          <w:tcPr>
            <w:tcW w:w="1200" w:type="dxa"/>
            <w:vAlign w:val="center"/>
          </w:tcPr>
          <w:p w14:paraId="076CC1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316" w:type="dxa"/>
            <w:vAlign w:val="center"/>
          </w:tcPr>
          <w:p w14:paraId="45BBD4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</w:tr>
      <w:tr w14:paraId="426EDE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4976EB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1E1412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41CA07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2213.84 </w:t>
            </w:r>
          </w:p>
        </w:tc>
        <w:tc>
          <w:tcPr>
            <w:tcW w:w="1200" w:type="dxa"/>
            <w:vAlign w:val="center"/>
          </w:tcPr>
          <w:p w14:paraId="20D0E4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481.84 </w:t>
            </w:r>
          </w:p>
        </w:tc>
        <w:tc>
          <w:tcPr>
            <w:tcW w:w="1214" w:type="dxa"/>
            <w:vAlign w:val="center"/>
          </w:tcPr>
          <w:p w14:paraId="43B5CD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19.75 </w:t>
            </w:r>
          </w:p>
        </w:tc>
        <w:tc>
          <w:tcPr>
            <w:tcW w:w="1200" w:type="dxa"/>
            <w:vAlign w:val="center"/>
          </w:tcPr>
          <w:p w14:paraId="6F2B71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0.51 </w:t>
            </w:r>
          </w:p>
        </w:tc>
        <w:tc>
          <w:tcPr>
            <w:tcW w:w="1316" w:type="dxa"/>
            <w:vAlign w:val="center"/>
          </w:tcPr>
          <w:p w14:paraId="40A3BF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949.35 </w:t>
            </w:r>
          </w:p>
        </w:tc>
      </w:tr>
      <w:tr w14:paraId="23742E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164B49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0.4175</w:t>
            </w:r>
          </w:p>
        </w:tc>
        <w:tc>
          <w:tcPr>
            <w:tcW w:w="1202" w:type="dxa"/>
            <w:vAlign w:val="center"/>
          </w:tcPr>
          <w:p w14:paraId="18E40D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vAlign w:val="center"/>
          </w:tcPr>
          <w:p w14:paraId="7E4BB3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1731.99 </w:t>
            </w:r>
          </w:p>
        </w:tc>
        <w:tc>
          <w:tcPr>
            <w:tcW w:w="1200" w:type="dxa"/>
            <w:vAlign w:val="center"/>
          </w:tcPr>
          <w:p w14:paraId="3C3FEB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214" w:type="dxa"/>
            <w:vAlign w:val="center"/>
          </w:tcPr>
          <w:p w14:paraId="37D8C9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19.24 </w:t>
            </w:r>
          </w:p>
        </w:tc>
        <w:tc>
          <w:tcPr>
            <w:tcW w:w="1200" w:type="dxa"/>
            <w:vAlign w:val="center"/>
          </w:tcPr>
          <w:p w14:paraId="1B8AC0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316" w:type="dxa"/>
            <w:vAlign w:val="center"/>
          </w:tcPr>
          <w:p w14:paraId="5088B0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</w:tr>
      <w:tr w14:paraId="4D56EC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2ED5CD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4FE080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7645DB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2306.23 </w:t>
            </w:r>
          </w:p>
        </w:tc>
        <w:tc>
          <w:tcPr>
            <w:tcW w:w="1200" w:type="dxa"/>
            <w:vAlign w:val="center"/>
          </w:tcPr>
          <w:p w14:paraId="325580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574.24 </w:t>
            </w:r>
          </w:p>
        </w:tc>
        <w:tc>
          <w:tcPr>
            <w:tcW w:w="1214" w:type="dxa"/>
            <w:vAlign w:val="center"/>
          </w:tcPr>
          <w:p w14:paraId="638A3A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19.76 </w:t>
            </w:r>
          </w:p>
        </w:tc>
        <w:tc>
          <w:tcPr>
            <w:tcW w:w="1200" w:type="dxa"/>
            <w:vAlign w:val="center"/>
          </w:tcPr>
          <w:p w14:paraId="52DDF2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0.52 </w:t>
            </w:r>
          </w:p>
        </w:tc>
        <w:tc>
          <w:tcPr>
            <w:tcW w:w="1316" w:type="dxa"/>
            <w:vAlign w:val="center"/>
          </w:tcPr>
          <w:p w14:paraId="5C4455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1113.45 </w:t>
            </w:r>
          </w:p>
        </w:tc>
      </w:tr>
      <w:tr w14:paraId="1731C2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5C1E25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0.48</w:t>
            </w:r>
          </w:p>
        </w:tc>
        <w:tc>
          <w:tcPr>
            <w:tcW w:w="1202" w:type="dxa"/>
            <w:vAlign w:val="center"/>
          </w:tcPr>
          <w:p w14:paraId="2E4609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1188" w:type="dxa"/>
            <w:vAlign w:val="center"/>
          </w:tcPr>
          <w:p w14:paraId="3017D3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1731.99 </w:t>
            </w:r>
          </w:p>
        </w:tc>
        <w:tc>
          <w:tcPr>
            <w:tcW w:w="1200" w:type="dxa"/>
            <w:vAlign w:val="center"/>
          </w:tcPr>
          <w:p w14:paraId="5715D2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214" w:type="dxa"/>
            <w:vAlign w:val="center"/>
          </w:tcPr>
          <w:p w14:paraId="16CF17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19.24 </w:t>
            </w:r>
          </w:p>
        </w:tc>
        <w:tc>
          <w:tcPr>
            <w:tcW w:w="1200" w:type="dxa"/>
            <w:vAlign w:val="center"/>
          </w:tcPr>
          <w:p w14:paraId="6AD71C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  <w:tc>
          <w:tcPr>
            <w:tcW w:w="1316" w:type="dxa"/>
            <w:vAlign w:val="center"/>
          </w:tcPr>
          <w:p w14:paraId="3F936F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0.00 </w:t>
            </w:r>
          </w:p>
        </w:tc>
      </w:tr>
      <w:tr w14:paraId="3B2E2D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Align w:val="center"/>
          </w:tcPr>
          <w:p w14:paraId="794A92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02" w:type="dxa"/>
            <w:vAlign w:val="center"/>
          </w:tcPr>
          <w:p w14:paraId="154774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1188" w:type="dxa"/>
            <w:vAlign w:val="center"/>
          </w:tcPr>
          <w:p w14:paraId="3CA468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2385.95 </w:t>
            </w:r>
          </w:p>
        </w:tc>
        <w:tc>
          <w:tcPr>
            <w:tcW w:w="1200" w:type="dxa"/>
            <w:vAlign w:val="center"/>
          </w:tcPr>
          <w:p w14:paraId="2EC4A7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653.95 </w:t>
            </w:r>
          </w:p>
        </w:tc>
        <w:tc>
          <w:tcPr>
            <w:tcW w:w="1214" w:type="dxa"/>
            <w:vAlign w:val="center"/>
          </w:tcPr>
          <w:p w14:paraId="392F1A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19.76 </w:t>
            </w:r>
          </w:p>
        </w:tc>
        <w:tc>
          <w:tcPr>
            <w:tcW w:w="1200" w:type="dxa"/>
            <w:vAlign w:val="center"/>
          </w:tcPr>
          <w:p w14:paraId="3D81D7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0.52 </w:t>
            </w:r>
          </w:p>
        </w:tc>
        <w:tc>
          <w:tcPr>
            <w:tcW w:w="1316" w:type="dxa"/>
            <w:vAlign w:val="center"/>
          </w:tcPr>
          <w:p w14:paraId="742706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 xml:space="preserve">1264.54 </w:t>
            </w:r>
          </w:p>
        </w:tc>
      </w:tr>
    </w:tbl>
    <w:p w14:paraId="4C0B53E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cs="Times New Roman"/>
          <w:kern w:val="0"/>
          <w:sz w:val="18"/>
          <w:szCs w:val="18"/>
          <w:lang w:val="en-US"/>
        </w:rPr>
      </w:pP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Abbreviations: QALY, quality-adjusted life years; ICER, incremental cost-effectiveness ratio.</w:t>
      </w:r>
    </w:p>
    <w:p w14:paraId="327ADC8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/>
        <w:ind w:left="0" w:right="0"/>
        <w:jc w:val="both"/>
        <w:textAlignment w:val="auto"/>
        <w:rPr>
          <w:rFonts w:hint="default" w:ascii="Times New Roman" w:hAnsi="Times New Roman" w:cs="Times New Roman"/>
          <w:kern w:val="0"/>
          <w:sz w:val="18"/>
          <w:szCs w:val="18"/>
          <w:lang w:val="en-US"/>
        </w:rPr>
      </w:pPr>
      <w:r>
        <w:rPr>
          <w:rFonts w:hint="default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*Strategy 3, an active case-finding strategy based on chest radiography with computer-aided detection; Strategy 4, an active case-finding strategy based on pooled GeneXpert testing</w:t>
      </w:r>
    </w:p>
    <w:p w14:paraId="5752C77A">
      <w:r>
        <w:br w:type="page"/>
      </w:r>
    </w:p>
    <w:p w14:paraId="0D45E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 w:bidi="ar"/>
        </w:rPr>
        <w:t>Supplementary Table 4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  <w:t xml:space="preserve">Cost-effectiveness acceptability probabilities </w:t>
      </w:r>
    </w:p>
    <w:p w14:paraId="6C901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  <w:t xml:space="preserve">across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"/>
        </w:rPr>
        <w:t>W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  <w:t>illingness-to-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  <w:t>ay thresholds</w:t>
      </w:r>
    </w:p>
    <w:p w14:paraId="11945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/>
          <w:lang w:val="en-US"/>
        </w:rPr>
      </w:pPr>
    </w:p>
    <w:tbl>
      <w:tblPr>
        <w:tblStyle w:val="3"/>
        <w:tblW w:w="499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3229"/>
        <w:gridCol w:w="3090"/>
      </w:tblGrid>
      <w:tr w14:paraId="0FBE4B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1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BDA3C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illingness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noBreakHyphen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noBreakHyphen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ay</w:t>
            </w:r>
          </w:p>
        </w:tc>
        <w:tc>
          <w:tcPr>
            <w:tcW w:w="1895" w:type="pct"/>
            <w:tcBorders>
              <w:bottom w:val="single" w:color="auto" w:sz="4" w:space="0"/>
            </w:tcBorders>
            <w:vAlign w:val="center"/>
          </w:tcPr>
          <w:p w14:paraId="4CBF05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Stategies</w:t>
            </w:r>
          </w:p>
        </w:tc>
        <w:tc>
          <w:tcPr>
            <w:tcW w:w="1813" w:type="pct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44257E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cceptability</w:t>
            </w:r>
          </w:p>
        </w:tc>
      </w:tr>
      <w:tr w14:paraId="4173CD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tcBorders>
              <w:top w:val="single" w:color="auto" w:sz="4" w:space="0"/>
            </w:tcBorders>
            <w:vAlign w:val="center"/>
          </w:tcPr>
          <w:p w14:paraId="348526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3229" w:type="dxa"/>
            <w:tcBorders>
              <w:top w:val="single" w:color="auto" w:sz="4" w:space="0"/>
            </w:tcBorders>
            <w:vAlign w:val="center"/>
          </w:tcPr>
          <w:p w14:paraId="72CBC6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1</w:t>
            </w:r>
          </w:p>
        </w:tc>
        <w:tc>
          <w:tcPr>
            <w:tcW w:w="3090" w:type="dxa"/>
            <w:tcBorders>
              <w:top w:val="single" w:color="auto" w:sz="4" w:space="0"/>
            </w:tcBorders>
            <w:vAlign w:val="center"/>
          </w:tcPr>
          <w:p w14:paraId="62CA56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028025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58991E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59F73B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2</w:t>
            </w:r>
          </w:p>
        </w:tc>
        <w:tc>
          <w:tcPr>
            <w:tcW w:w="3090" w:type="dxa"/>
            <w:vAlign w:val="center"/>
          </w:tcPr>
          <w:p w14:paraId="7D539F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40371A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39EA9D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44D4BD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3090" w:type="dxa"/>
            <w:vAlign w:val="center"/>
          </w:tcPr>
          <w:p w14:paraId="0160BF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</w:t>
            </w:r>
          </w:p>
        </w:tc>
      </w:tr>
      <w:tr w14:paraId="755C2E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32292F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520F27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3090" w:type="dxa"/>
            <w:vAlign w:val="center"/>
          </w:tcPr>
          <w:p w14:paraId="384BA4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7C679E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4DB12A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597.99</w:t>
            </w:r>
          </w:p>
        </w:tc>
        <w:tc>
          <w:tcPr>
            <w:tcW w:w="3229" w:type="dxa"/>
            <w:vAlign w:val="center"/>
          </w:tcPr>
          <w:p w14:paraId="550ED5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1</w:t>
            </w:r>
          </w:p>
        </w:tc>
        <w:tc>
          <w:tcPr>
            <w:tcW w:w="3090" w:type="dxa"/>
            <w:vAlign w:val="center"/>
          </w:tcPr>
          <w:p w14:paraId="48B0D5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256033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713EB0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1E5387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2</w:t>
            </w:r>
          </w:p>
        </w:tc>
        <w:tc>
          <w:tcPr>
            <w:tcW w:w="3090" w:type="dxa"/>
            <w:vAlign w:val="center"/>
          </w:tcPr>
          <w:p w14:paraId="176603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19DC9A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7D85F3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5CB73E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3090" w:type="dxa"/>
            <w:vAlign w:val="center"/>
          </w:tcPr>
          <w:p w14:paraId="02A3B2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</w:t>
            </w:r>
          </w:p>
        </w:tc>
      </w:tr>
      <w:tr w14:paraId="151204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5E2703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70EA94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3090" w:type="dxa"/>
            <w:vAlign w:val="center"/>
          </w:tcPr>
          <w:p w14:paraId="7D2FD1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353E98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0C5350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1195.98</w:t>
            </w:r>
          </w:p>
        </w:tc>
        <w:tc>
          <w:tcPr>
            <w:tcW w:w="3229" w:type="dxa"/>
            <w:vAlign w:val="center"/>
          </w:tcPr>
          <w:p w14:paraId="3A029C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1</w:t>
            </w:r>
          </w:p>
        </w:tc>
        <w:tc>
          <w:tcPr>
            <w:tcW w:w="3090" w:type="dxa"/>
            <w:vAlign w:val="center"/>
          </w:tcPr>
          <w:p w14:paraId="1BA3A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2C9E7D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40D733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2E7A25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2</w:t>
            </w:r>
          </w:p>
        </w:tc>
        <w:tc>
          <w:tcPr>
            <w:tcW w:w="3090" w:type="dxa"/>
            <w:vAlign w:val="center"/>
          </w:tcPr>
          <w:p w14:paraId="4DD1EC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677233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2824C0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365531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3090" w:type="dxa"/>
            <w:vAlign w:val="center"/>
          </w:tcPr>
          <w:p w14:paraId="1E60E4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00F132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13992E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707766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3090" w:type="dxa"/>
            <w:vAlign w:val="center"/>
          </w:tcPr>
          <w:p w14:paraId="5C1144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</w:t>
            </w:r>
          </w:p>
        </w:tc>
      </w:tr>
      <w:tr w14:paraId="39DA42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70C819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1793.97</w:t>
            </w:r>
          </w:p>
        </w:tc>
        <w:tc>
          <w:tcPr>
            <w:tcW w:w="3229" w:type="dxa"/>
            <w:vAlign w:val="center"/>
          </w:tcPr>
          <w:p w14:paraId="2E0D0F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1</w:t>
            </w:r>
          </w:p>
        </w:tc>
        <w:tc>
          <w:tcPr>
            <w:tcW w:w="3090" w:type="dxa"/>
            <w:vAlign w:val="center"/>
          </w:tcPr>
          <w:p w14:paraId="4D7921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1B3A93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785D2B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2FF418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2</w:t>
            </w:r>
          </w:p>
        </w:tc>
        <w:tc>
          <w:tcPr>
            <w:tcW w:w="3090" w:type="dxa"/>
            <w:vAlign w:val="center"/>
          </w:tcPr>
          <w:p w14:paraId="006DFF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475332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2CD237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7BBD8B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3090" w:type="dxa"/>
            <w:vAlign w:val="center"/>
          </w:tcPr>
          <w:p w14:paraId="6ADB1E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1A6302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3AE2D9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768899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3090" w:type="dxa"/>
            <w:vAlign w:val="center"/>
          </w:tcPr>
          <w:p w14:paraId="239756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</w:t>
            </w:r>
          </w:p>
        </w:tc>
      </w:tr>
      <w:tr w14:paraId="091B10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689058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29899.5</w:t>
            </w:r>
          </w:p>
        </w:tc>
        <w:tc>
          <w:tcPr>
            <w:tcW w:w="3229" w:type="dxa"/>
            <w:vAlign w:val="center"/>
          </w:tcPr>
          <w:p w14:paraId="33F815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1</w:t>
            </w:r>
          </w:p>
        </w:tc>
        <w:tc>
          <w:tcPr>
            <w:tcW w:w="3090" w:type="dxa"/>
            <w:vAlign w:val="center"/>
          </w:tcPr>
          <w:p w14:paraId="5D06F0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3BAB13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5A538C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723BA1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2</w:t>
            </w:r>
          </w:p>
        </w:tc>
        <w:tc>
          <w:tcPr>
            <w:tcW w:w="3090" w:type="dxa"/>
            <w:vAlign w:val="center"/>
          </w:tcPr>
          <w:p w14:paraId="513B1B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03DCC2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466A39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23FCE9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3090" w:type="dxa"/>
            <w:vAlign w:val="center"/>
          </w:tcPr>
          <w:p w14:paraId="057002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3ADD33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50DFFF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43C649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3090" w:type="dxa"/>
            <w:vAlign w:val="center"/>
          </w:tcPr>
          <w:p w14:paraId="2E55AF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</w:t>
            </w:r>
          </w:p>
        </w:tc>
      </w:tr>
      <w:tr w14:paraId="6D55DC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5D6A22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298995</w:t>
            </w:r>
          </w:p>
        </w:tc>
        <w:tc>
          <w:tcPr>
            <w:tcW w:w="3229" w:type="dxa"/>
            <w:vAlign w:val="center"/>
          </w:tcPr>
          <w:p w14:paraId="05B12E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1</w:t>
            </w:r>
          </w:p>
        </w:tc>
        <w:tc>
          <w:tcPr>
            <w:tcW w:w="3090" w:type="dxa"/>
            <w:vAlign w:val="center"/>
          </w:tcPr>
          <w:p w14:paraId="68B581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44214D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4563A1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4309A1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2</w:t>
            </w:r>
          </w:p>
        </w:tc>
        <w:tc>
          <w:tcPr>
            <w:tcW w:w="3090" w:type="dxa"/>
            <w:vAlign w:val="center"/>
          </w:tcPr>
          <w:p w14:paraId="5BC4E6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2A7296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5E6E12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5BB537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3</w:t>
            </w:r>
          </w:p>
        </w:tc>
        <w:tc>
          <w:tcPr>
            <w:tcW w:w="3090" w:type="dxa"/>
            <w:vAlign w:val="center"/>
          </w:tcPr>
          <w:p w14:paraId="376A02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0</w:t>
            </w:r>
          </w:p>
        </w:tc>
      </w:tr>
      <w:tr w14:paraId="72DCA7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0" w:type="dxa"/>
            <w:vAlign w:val="center"/>
          </w:tcPr>
          <w:p w14:paraId="6A10B0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229" w:type="dxa"/>
            <w:vAlign w:val="center"/>
          </w:tcPr>
          <w:p w14:paraId="5F4BAE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Strategy 4</w:t>
            </w:r>
          </w:p>
        </w:tc>
        <w:tc>
          <w:tcPr>
            <w:tcW w:w="3090" w:type="dxa"/>
            <w:vAlign w:val="center"/>
          </w:tcPr>
          <w:p w14:paraId="523B79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"/>
              </w:rPr>
              <w:t>1</w:t>
            </w:r>
          </w:p>
        </w:tc>
      </w:tr>
    </w:tbl>
    <w:p w14:paraId="2BC2599F"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671229"/>
    <w:rsid w:val="000617C1"/>
    <w:rsid w:val="003003C5"/>
    <w:rsid w:val="005443CD"/>
    <w:rsid w:val="00F528E4"/>
    <w:rsid w:val="010062D9"/>
    <w:rsid w:val="01893C7B"/>
    <w:rsid w:val="01904416"/>
    <w:rsid w:val="019113AB"/>
    <w:rsid w:val="019320BF"/>
    <w:rsid w:val="01B9238D"/>
    <w:rsid w:val="01DD1304"/>
    <w:rsid w:val="01E349B1"/>
    <w:rsid w:val="02165FC2"/>
    <w:rsid w:val="02901310"/>
    <w:rsid w:val="02D7434D"/>
    <w:rsid w:val="02E00448"/>
    <w:rsid w:val="032E37A6"/>
    <w:rsid w:val="0338102B"/>
    <w:rsid w:val="03406566"/>
    <w:rsid w:val="038F5D47"/>
    <w:rsid w:val="03983BE2"/>
    <w:rsid w:val="03A24FE7"/>
    <w:rsid w:val="045355B1"/>
    <w:rsid w:val="04AD0CA8"/>
    <w:rsid w:val="04C96327"/>
    <w:rsid w:val="04D55806"/>
    <w:rsid w:val="051A7A4D"/>
    <w:rsid w:val="052E4A05"/>
    <w:rsid w:val="055E6BE8"/>
    <w:rsid w:val="0567448B"/>
    <w:rsid w:val="05945C0E"/>
    <w:rsid w:val="059469AA"/>
    <w:rsid w:val="05F65430"/>
    <w:rsid w:val="05F72E83"/>
    <w:rsid w:val="061A7C84"/>
    <w:rsid w:val="06500F7F"/>
    <w:rsid w:val="06605B8B"/>
    <w:rsid w:val="068431C0"/>
    <w:rsid w:val="06B938BD"/>
    <w:rsid w:val="07374A99"/>
    <w:rsid w:val="07655169"/>
    <w:rsid w:val="07B61707"/>
    <w:rsid w:val="07C04EA6"/>
    <w:rsid w:val="07FC21E0"/>
    <w:rsid w:val="08121CBF"/>
    <w:rsid w:val="08371E1F"/>
    <w:rsid w:val="08894572"/>
    <w:rsid w:val="08AD42F2"/>
    <w:rsid w:val="08BD4FFF"/>
    <w:rsid w:val="08F457DE"/>
    <w:rsid w:val="08FF1DBC"/>
    <w:rsid w:val="091A7355"/>
    <w:rsid w:val="09CC4DBE"/>
    <w:rsid w:val="09F8599C"/>
    <w:rsid w:val="0A3B6972"/>
    <w:rsid w:val="0A793356"/>
    <w:rsid w:val="0AA731D0"/>
    <w:rsid w:val="0ABB2207"/>
    <w:rsid w:val="0AD35D57"/>
    <w:rsid w:val="0AEE223E"/>
    <w:rsid w:val="0B035E1A"/>
    <w:rsid w:val="0B6B498B"/>
    <w:rsid w:val="0B8445BC"/>
    <w:rsid w:val="0B861E8A"/>
    <w:rsid w:val="0B883306"/>
    <w:rsid w:val="0B911365"/>
    <w:rsid w:val="0B955512"/>
    <w:rsid w:val="0C652DFF"/>
    <w:rsid w:val="0C906D52"/>
    <w:rsid w:val="0C9D6D9F"/>
    <w:rsid w:val="0CBA4BF6"/>
    <w:rsid w:val="0CD51A0F"/>
    <w:rsid w:val="0D1F0EFF"/>
    <w:rsid w:val="0D692731"/>
    <w:rsid w:val="0E0F5E89"/>
    <w:rsid w:val="0E40323E"/>
    <w:rsid w:val="0E7C14C7"/>
    <w:rsid w:val="0E893EE7"/>
    <w:rsid w:val="0E9E4A27"/>
    <w:rsid w:val="0EA301C7"/>
    <w:rsid w:val="0EAF1A4F"/>
    <w:rsid w:val="0EAF5589"/>
    <w:rsid w:val="0EC00B62"/>
    <w:rsid w:val="0F2A0F4F"/>
    <w:rsid w:val="0F82775D"/>
    <w:rsid w:val="0F9613DE"/>
    <w:rsid w:val="10343769"/>
    <w:rsid w:val="103A5033"/>
    <w:rsid w:val="10913E12"/>
    <w:rsid w:val="10A91418"/>
    <w:rsid w:val="110E2501"/>
    <w:rsid w:val="110F3DC5"/>
    <w:rsid w:val="111B7316"/>
    <w:rsid w:val="11285D33"/>
    <w:rsid w:val="119621BD"/>
    <w:rsid w:val="11AB1E89"/>
    <w:rsid w:val="120765CA"/>
    <w:rsid w:val="12124F36"/>
    <w:rsid w:val="121374B1"/>
    <w:rsid w:val="121E0682"/>
    <w:rsid w:val="126F4265"/>
    <w:rsid w:val="129B7815"/>
    <w:rsid w:val="12E90E0C"/>
    <w:rsid w:val="12FF1711"/>
    <w:rsid w:val="13824A94"/>
    <w:rsid w:val="13A12E65"/>
    <w:rsid w:val="140B4C70"/>
    <w:rsid w:val="14186438"/>
    <w:rsid w:val="141D6C2C"/>
    <w:rsid w:val="144B11BB"/>
    <w:rsid w:val="14A40820"/>
    <w:rsid w:val="14B309FB"/>
    <w:rsid w:val="14FC2C3A"/>
    <w:rsid w:val="15026443"/>
    <w:rsid w:val="1512579E"/>
    <w:rsid w:val="1530326B"/>
    <w:rsid w:val="155111B9"/>
    <w:rsid w:val="15733CF1"/>
    <w:rsid w:val="15843296"/>
    <w:rsid w:val="158B265A"/>
    <w:rsid w:val="15A729BF"/>
    <w:rsid w:val="15B770AD"/>
    <w:rsid w:val="15C122E0"/>
    <w:rsid w:val="15D10736"/>
    <w:rsid w:val="15F53473"/>
    <w:rsid w:val="16460BD1"/>
    <w:rsid w:val="169846B5"/>
    <w:rsid w:val="16B844B4"/>
    <w:rsid w:val="16BA508C"/>
    <w:rsid w:val="16C13AF8"/>
    <w:rsid w:val="16D60A8C"/>
    <w:rsid w:val="17800386"/>
    <w:rsid w:val="17870780"/>
    <w:rsid w:val="17C06429"/>
    <w:rsid w:val="17C90120"/>
    <w:rsid w:val="17D344DA"/>
    <w:rsid w:val="17F868BF"/>
    <w:rsid w:val="18090370"/>
    <w:rsid w:val="18163BED"/>
    <w:rsid w:val="184935EA"/>
    <w:rsid w:val="18607C9D"/>
    <w:rsid w:val="18BE0027"/>
    <w:rsid w:val="18D42B0D"/>
    <w:rsid w:val="19862AB5"/>
    <w:rsid w:val="19890F94"/>
    <w:rsid w:val="19957DCD"/>
    <w:rsid w:val="19CC2B1C"/>
    <w:rsid w:val="1A76140A"/>
    <w:rsid w:val="1A8611EC"/>
    <w:rsid w:val="1AB27E79"/>
    <w:rsid w:val="1AC90D17"/>
    <w:rsid w:val="1B614633"/>
    <w:rsid w:val="1BA82400"/>
    <w:rsid w:val="1BBC6546"/>
    <w:rsid w:val="1BD94EE8"/>
    <w:rsid w:val="1BEF2F48"/>
    <w:rsid w:val="1BF11F56"/>
    <w:rsid w:val="1BFB6BE8"/>
    <w:rsid w:val="1C247335"/>
    <w:rsid w:val="1C376601"/>
    <w:rsid w:val="1C417300"/>
    <w:rsid w:val="1C5A4219"/>
    <w:rsid w:val="1C8659A6"/>
    <w:rsid w:val="1D002C65"/>
    <w:rsid w:val="1D034B62"/>
    <w:rsid w:val="1D255924"/>
    <w:rsid w:val="1D6361A9"/>
    <w:rsid w:val="1D774DC2"/>
    <w:rsid w:val="1D792CA4"/>
    <w:rsid w:val="1DAF11AC"/>
    <w:rsid w:val="1DB850BD"/>
    <w:rsid w:val="1DC72820"/>
    <w:rsid w:val="1DDC309E"/>
    <w:rsid w:val="1E4E30E1"/>
    <w:rsid w:val="1E8A5E83"/>
    <w:rsid w:val="1EAE3131"/>
    <w:rsid w:val="1EDA0A0A"/>
    <w:rsid w:val="1F54399A"/>
    <w:rsid w:val="1F5D60DC"/>
    <w:rsid w:val="1F632C95"/>
    <w:rsid w:val="1FCD58CB"/>
    <w:rsid w:val="1FE06082"/>
    <w:rsid w:val="202F4CB5"/>
    <w:rsid w:val="207B4A7C"/>
    <w:rsid w:val="20CE3866"/>
    <w:rsid w:val="210B6A1F"/>
    <w:rsid w:val="212B5D22"/>
    <w:rsid w:val="213D1918"/>
    <w:rsid w:val="214324E9"/>
    <w:rsid w:val="216D5194"/>
    <w:rsid w:val="21947178"/>
    <w:rsid w:val="21EC1446"/>
    <w:rsid w:val="22834F3D"/>
    <w:rsid w:val="228A29A7"/>
    <w:rsid w:val="22A732E9"/>
    <w:rsid w:val="22B401CA"/>
    <w:rsid w:val="22DB1AE5"/>
    <w:rsid w:val="233F79D9"/>
    <w:rsid w:val="234156E2"/>
    <w:rsid w:val="2344402D"/>
    <w:rsid w:val="23C87BF1"/>
    <w:rsid w:val="24297D4C"/>
    <w:rsid w:val="24A66D54"/>
    <w:rsid w:val="24B9595E"/>
    <w:rsid w:val="24E96515"/>
    <w:rsid w:val="24F10967"/>
    <w:rsid w:val="250D1E2F"/>
    <w:rsid w:val="250D524C"/>
    <w:rsid w:val="255E259B"/>
    <w:rsid w:val="257B468E"/>
    <w:rsid w:val="259F1A9B"/>
    <w:rsid w:val="25C829C5"/>
    <w:rsid w:val="25CD0046"/>
    <w:rsid w:val="25DF2225"/>
    <w:rsid w:val="261C4D0E"/>
    <w:rsid w:val="26504FAD"/>
    <w:rsid w:val="266C00C4"/>
    <w:rsid w:val="266D616D"/>
    <w:rsid w:val="26DD28CB"/>
    <w:rsid w:val="2713701F"/>
    <w:rsid w:val="27694ACF"/>
    <w:rsid w:val="27B21891"/>
    <w:rsid w:val="280C33FB"/>
    <w:rsid w:val="28545B90"/>
    <w:rsid w:val="28592CBF"/>
    <w:rsid w:val="28717C1D"/>
    <w:rsid w:val="287609A1"/>
    <w:rsid w:val="287959C2"/>
    <w:rsid w:val="28803369"/>
    <w:rsid w:val="28931F30"/>
    <w:rsid w:val="28AB1930"/>
    <w:rsid w:val="28AE55A9"/>
    <w:rsid w:val="28E50108"/>
    <w:rsid w:val="293E3735"/>
    <w:rsid w:val="296C7BAC"/>
    <w:rsid w:val="2989065F"/>
    <w:rsid w:val="298E1FC3"/>
    <w:rsid w:val="29BD3671"/>
    <w:rsid w:val="29EE0EA2"/>
    <w:rsid w:val="2AD4385B"/>
    <w:rsid w:val="2AF3473F"/>
    <w:rsid w:val="2B131170"/>
    <w:rsid w:val="2B581805"/>
    <w:rsid w:val="2B6B1940"/>
    <w:rsid w:val="2BD00EE3"/>
    <w:rsid w:val="2BE70FC6"/>
    <w:rsid w:val="2C04618D"/>
    <w:rsid w:val="2C1E7A2E"/>
    <w:rsid w:val="2C68324B"/>
    <w:rsid w:val="2CB3446D"/>
    <w:rsid w:val="2D0566F6"/>
    <w:rsid w:val="2D10256C"/>
    <w:rsid w:val="2DC04187"/>
    <w:rsid w:val="2E8E3059"/>
    <w:rsid w:val="2E9F3AE6"/>
    <w:rsid w:val="2EDA3CEE"/>
    <w:rsid w:val="2F0470B8"/>
    <w:rsid w:val="2F0E78F2"/>
    <w:rsid w:val="2F275319"/>
    <w:rsid w:val="2F4D61DE"/>
    <w:rsid w:val="2F7B2527"/>
    <w:rsid w:val="2FAF433C"/>
    <w:rsid w:val="2FB52DF4"/>
    <w:rsid w:val="301F1C23"/>
    <w:rsid w:val="30861A5E"/>
    <w:rsid w:val="31257917"/>
    <w:rsid w:val="31883F5F"/>
    <w:rsid w:val="318A26C8"/>
    <w:rsid w:val="319F004F"/>
    <w:rsid w:val="31AC242D"/>
    <w:rsid w:val="31E66E37"/>
    <w:rsid w:val="32046DDA"/>
    <w:rsid w:val="3215045E"/>
    <w:rsid w:val="323C57EF"/>
    <w:rsid w:val="32E22F3B"/>
    <w:rsid w:val="32EA3F3A"/>
    <w:rsid w:val="331B6371"/>
    <w:rsid w:val="33B2090E"/>
    <w:rsid w:val="33C70BA8"/>
    <w:rsid w:val="33C849D9"/>
    <w:rsid w:val="33F279E5"/>
    <w:rsid w:val="33F7465E"/>
    <w:rsid w:val="341D0A7A"/>
    <w:rsid w:val="342070CC"/>
    <w:rsid w:val="346B03CA"/>
    <w:rsid w:val="34796041"/>
    <w:rsid w:val="347B008C"/>
    <w:rsid w:val="348E6CE2"/>
    <w:rsid w:val="34CC177B"/>
    <w:rsid w:val="35423723"/>
    <w:rsid w:val="354677B2"/>
    <w:rsid w:val="358A3769"/>
    <w:rsid w:val="35D726E8"/>
    <w:rsid w:val="35E03E77"/>
    <w:rsid w:val="35E810CE"/>
    <w:rsid w:val="35EB110E"/>
    <w:rsid w:val="35F82019"/>
    <w:rsid w:val="36116578"/>
    <w:rsid w:val="369E2AA5"/>
    <w:rsid w:val="36B37183"/>
    <w:rsid w:val="36D35DAF"/>
    <w:rsid w:val="37C157F4"/>
    <w:rsid w:val="37C4401B"/>
    <w:rsid w:val="37EA61CC"/>
    <w:rsid w:val="38235B6C"/>
    <w:rsid w:val="385A3E69"/>
    <w:rsid w:val="38B04718"/>
    <w:rsid w:val="38C012DB"/>
    <w:rsid w:val="38C04165"/>
    <w:rsid w:val="38E835BE"/>
    <w:rsid w:val="38F53135"/>
    <w:rsid w:val="393F35C0"/>
    <w:rsid w:val="399B4A5F"/>
    <w:rsid w:val="39EB4B2E"/>
    <w:rsid w:val="3A305ACC"/>
    <w:rsid w:val="3A4E550F"/>
    <w:rsid w:val="3A900A65"/>
    <w:rsid w:val="3AB11C32"/>
    <w:rsid w:val="3ABC2672"/>
    <w:rsid w:val="3AD64CAC"/>
    <w:rsid w:val="3AE57DC6"/>
    <w:rsid w:val="3AF25732"/>
    <w:rsid w:val="3B2B3558"/>
    <w:rsid w:val="3B4008C3"/>
    <w:rsid w:val="3B537880"/>
    <w:rsid w:val="3B590792"/>
    <w:rsid w:val="3B625E43"/>
    <w:rsid w:val="3B90513D"/>
    <w:rsid w:val="3B9C2683"/>
    <w:rsid w:val="3B9E546A"/>
    <w:rsid w:val="3BB174E8"/>
    <w:rsid w:val="3C057788"/>
    <w:rsid w:val="3C1200A4"/>
    <w:rsid w:val="3C2568ED"/>
    <w:rsid w:val="3C287C68"/>
    <w:rsid w:val="3C87051F"/>
    <w:rsid w:val="3C9B70AD"/>
    <w:rsid w:val="3CA534DA"/>
    <w:rsid w:val="3D1361CD"/>
    <w:rsid w:val="3D23609A"/>
    <w:rsid w:val="3D413F91"/>
    <w:rsid w:val="3D457064"/>
    <w:rsid w:val="3D76602E"/>
    <w:rsid w:val="3DB72C42"/>
    <w:rsid w:val="3DDB6A19"/>
    <w:rsid w:val="3E4B755D"/>
    <w:rsid w:val="3E5666FD"/>
    <w:rsid w:val="3E640633"/>
    <w:rsid w:val="3E740B9C"/>
    <w:rsid w:val="3E917DBD"/>
    <w:rsid w:val="3EF145C1"/>
    <w:rsid w:val="3EF153D9"/>
    <w:rsid w:val="3F3849B6"/>
    <w:rsid w:val="3F552C40"/>
    <w:rsid w:val="3F6D7CAE"/>
    <w:rsid w:val="3FC31148"/>
    <w:rsid w:val="3FC3603A"/>
    <w:rsid w:val="3FD917A7"/>
    <w:rsid w:val="40F6520B"/>
    <w:rsid w:val="410D6DD2"/>
    <w:rsid w:val="41322F19"/>
    <w:rsid w:val="41620426"/>
    <w:rsid w:val="41672DAC"/>
    <w:rsid w:val="4169520D"/>
    <w:rsid w:val="418A51FF"/>
    <w:rsid w:val="41941466"/>
    <w:rsid w:val="41A55966"/>
    <w:rsid w:val="41F92F8D"/>
    <w:rsid w:val="421361E0"/>
    <w:rsid w:val="423415FF"/>
    <w:rsid w:val="4271269C"/>
    <w:rsid w:val="42997725"/>
    <w:rsid w:val="42E969CA"/>
    <w:rsid w:val="433A6A98"/>
    <w:rsid w:val="43432227"/>
    <w:rsid w:val="43671229"/>
    <w:rsid w:val="43981C99"/>
    <w:rsid w:val="444C2642"/>
    <w:rsid w:val="446103FE"/>
    <w:rsid w:val="446603AD"/>
    <w:rsid w:val="44A6514D"/>
    <w:rsid w:val="44B34442"/>
    <w:rsid w:val="44E975BE"/>
    <w:rsid w:val="450D7E72"/>
    <w:rsid w:val="454111EE"/>
    <w:rsid w:val="455B2AAC"/>
    <w:rsid w:val="458D553C"/>
    <w:rsid w:val="45932ED0"/>
    <w:rsid w:val="45AF16B2"/>
    <w:rsid w:val="45BF5D8C"/>
    <w:rsid w:val="45D052DB"/>
    <w:rsid w:val="45E40346"/>
    <w:rsid w:val="46065A56"/>
    <w:rsid w:val="463C4E98"/>
    <w:rsid w:val="466001EA"/>
    <w:rsid w:val="4682035D"/>
    <w:rsid w:val="46A67DDE"/>
    <w:rsid w:val="46C84C5F"/>
    <w:rsid w:val="46F8184C"/>
    <w:rsid w:val="47613C78"/>
    <w:rsid w:val="479C4CA1"/>
    <w:rsid w:val="48A54B91"/>
    <w:rsid w:val="491367BE"/>
    <w:rsid w:val="49236C1D"/>
    <w:rsid w:val="492A3BF4"/>
    <w:rsid w:val="49461D18"/>
    <w:rsid w:val="49FF37BB"/>
    <w:rsid w:val="4A115922"/>
    <w:rsid w:val="4A7343EA"/>
    <w:rsid w:val="4A7E70F6"/>
    <w:rsid w:val="4A891D7F"/>
    <w:rsid w:val="4AA27EC5"/>
    <w:rsid w:val="4AA973DB"/>
    <w:rsid w:val="4ACF256C"/>
    <w:rsid w:val="4AE7769F"/>
    <w:rsid w:val="4AF168D8"/>
    <w:rsid w:val="4B312176"/>
    <w:rsid w:val="4B804312"/>
    <w:rsid w:val="4BAD2005"/>
    <w:rsid w:val="4C060F55"/>
    <w:rsid w:val="4C14635A"/>
    <w:rsid w:val="4C30501F"/>
    <w:rsid w:val="4CE602B8"/>
    <w:rsid w:val="4CF6083E"/>
    <w:rsid w:val="4D065DEA"/>
    <w:rsid w:val="4DBB2568"/>
    <w:rsid w:val="4DDB047A"/>
    <w:rsid w:val="4DFE113C"/>
    <w:rsid w:val="4E47452D"/>
    <w:rsid w:val="4E5B2402"/>
    <w:rsid w:val="4EA923BB"/>
    <w:rsid w:val="4ED3781B"/>
    <w:rsid w:val="4F232985"/>
    <w:rsid w:val="4F5038EA"/>
    <w:rsid w:val="4F662553"/>
    <w:rsid w:val="4F71036C"/>
    <w:rsid w:val="4FA53807"/>
    <w:rsid w:val="4FE52B08"/>
    <w:rsid w:val="50124EF2"/>
    <w:rsid w:val="5027759B"/>
    <w:rsid w:val="503E137F"/>
    <w:rsid w:val="50496D94"/>
    <w:rsid w:val="50A40961"/>
    <w:rsid w:val="50AC2B04"/>
    <w:rsid w:val="50B804ED"/>
    <w:rsid w:val="50BD5C0F"/>
    <w:rsid w:val="51250CBD"/>
    <w:rsid w:val="512C0FA5"/>
    <w:rsid w:val="516E687A"/>
    <w:rsid w:val="51AA5D40"/>
    <w:rsid w:val="51DD0E98"/>
    <w:rsid w:val="52037C68"/>
    <w:rsid w:val="5246684A"/>
    <w:rsid w:val="526A167C"/>
    <w:rsid w:val="52A03AF1"/>
    <w:rsid w:val="52C25803"/>
    <w:rsid w:val="52C82644"/>
    <w:rsid w:val="53183285"/>
    <w:rsid w:val="53276005"/>
    <w:rsid w:val="536B4BA8"/>
    <w:rsid w:val="5390706C"/>
    <w:rsid w:val="53D50A52"/>
    <w:rsid w:val="54002343"/>
    <w:rsid w:val="54042E5A"/>
    <w:rsid w:val="541C01EC"/>
    <w:rsid w:val="54730600"/>
    <w:rsid w:val="548B567A"/>
    <w:rsid w:val="54B94816"/>
    <w:rsid w:val="55071F21"/>
    <w:rsid w:val="55300F66"/>
    <w:rsid w:val="5575339F"/>
    <w:rsid w:val="55987424"/>
    <w:rsid w:val="55997854"/>
    <w:rsid w:val="55A92ED5"/>
    <w:rsid w:val="560A3E35"/>
    <w:rsid w:val="562B234F"/>
    <w:rsid w:val="569B19B3"/>
    <w:rsid w:val="56CC33EF"/>
    <w:rsid w:val="574A5E8C"/>
    <w:rsid w:val="574D52F4"/>
    <w:rsid w:val="57584B21"/>
    <w:rsid w:val="57857990"/>
    <w:rsid w:val="5795623A"/>
    <w:rsid w:val="57B062F0"/>
    <w:rsid w:val="57C12C17"/>
    <w:rsid w:val="57CD5768"/>
    <w:rsid w:val="58215108"/>
    <w:rsid w:val="58DD76BF"/>
    <w:rsid w:val="59651C69"/>
    <w:rsid w:val="59D75240"/>
    <w:rsid w:val="5A7E6AAF"/>
    <w:rsid w:val="5AC40AF4"/>
    <w:rsid w:val="5B101ABD"/>
    <w:rsid w:val="5B113397"/>
    <w:rsid w:val="5B335CD4"/>
    <w:rsid w:val="5B5B684D"/>
    <w:rsid w:val="5BA25CAD"/>
    <w:rsid w:val="5BEF4236"/>
    <w:rsid w:val="5C383788"/>
    <w:rsid w:val="5C5A2015"/>
    <w:rsid w:val="5C5E4D12"/>
    <w:rsid w:val="5C9D00A1"/>
    <w:rsid w:val="5CF43543"/>
    <w:rsid w:val="5D0409E1"/>
    <w:rsid w:val="5D155313"/>
    <w:rsid w:val="5D2720D2"/>
    <w:rsid w:val="5D440D4E"/>
    <w:rsid w:val="5D56734A"/>
    <w:rsid w:val="5DD602DF"/>
    <w:rsid w:val="5DF476C0"/>
    <w:rsid w:val="5E0749D9"/>
    <w:rsid w:val="5E1F3CDB"/>
    <w:rsid w:val="5E670687"/>
    <w:rsid w:val="5E897AC0"/>
    <w:rsid w:val="5EA625F7"/>
    <w:rsid w:val="5EC947C4"/>
    <w:rsid w:val="5F072D80"/>
    <w:rsid w:val="5F1257C4"/>
    <w:rsid w:val="5F4675AF"/>
    <w:rsid w:val="5FB209A6"/>
    <w:rsid w:val="5FE70241"/>
    <w:rsid w:val="60213510"/>
    <w:rsid w:val="60220F95"/>
    <w:rsid w:val="605367FF"/>
    <w:rsid w:val="605A2116"/>
    <w:rsid w:val="60A84C4D"/>
    <w:rsid w:val="614F16D1"/>
    <w:rsid w:val="615368FA"/>
    <w:rsid w:val="61AC2E7E"/>
    <w:rsid w:val="622236C7"/>
    <w:rsid w:val="62326FD6"/>
    <w:rsid w:val="62392B96"/>
    <w:rsid w:val="627F1C2F"/>
    <w:rsid w:val="62961800"/>
    <w:rsid w:val="629635EB"/>
    <w:rsid w:val="62A310E0"/>
    <w:rsid w:val="62A41774"/>
    <w:rsid w:val="633E696B"/>
    <w:rsid w:val="6340688E"/>
    <w:rsid w:val="635F3077"/>
    <w:rsid w:val="6398695F"/>
    <w:rsid w:val="63B27EA0"/>
    <w:rsid w:val="64103EAA"/>
    <w:rsid w:val="6483504F"/>
    <w:rsid w:val="649B2380"/>
    <w:rsid w:val="64A45689"/>
    <w:rsid w:val="64DA37C0"/>
    <w:rsid w:val="64E86E1B"/>
    <w:rsid w:val="64FF4DD6"/>
    <w:rsid w:val="6500633D"/>
    <w:rsid w:val="651C6231"/>
    <w:rsid w:val="6532567A"/>
    <w:rsid w:val="65432C80"/>
    <w:rsid w:val="65452D60"/>
    <w:rsid w:val="65883A05"/>
    <w:rsid w:val="65995A26"/>
    <w:rsid w:val="659D5477"/>
    <w:rsid w:val="65E23E2C"/>
    <w:rsid w:val="65E87331"/>
    <w:rsid w:val="663F79C5"/>
    <w:rsid w:val="66551807"/>
    <w:rsid w:val="66D251F5"/>
    <w:rsid w:val="66D45A87"/>
    <w:rsid w:val="66E3496A"/>
    <w:rsid w:val="66EE13C0"/>
    <w:rsid w:val="66F82E10"/>
    <w:rsid w:val="670875F4"/>
    <w:rsid w:val="675909B6"/>
    <w:rsid w:val="67753750"/>
    <w:rsid w:val="67766C87"/>
    <w:rsid w:val="67A22BFC"/>
    <w:rsid w:val="67B956A7"/>
    <w:rsid w:val="68B83C34"/>
    <w:rsid w:val="68CE0D48"/>
    <w:rsid w:val="692322C1"/>
    <w:rsid w:val="69815E7C"/>
    <w:rsid w:val="69961433"/>
    <w:rsid w:val="699E64C4"/>
    <w:rsid w:val="69E0432F"/>
    <w:rsid w:val="69ED0DE5"/>
    <w:rsid w:val="69FA771B"/>
    <w:rsid w:val="6A0809C9"/>
    <w:rsid w:val="6A153FA8"/>
    <w:rsid w:val="6A282E52"/>
    <w:rsid w:val="6A6C1D64"/>
    <w:rsid w:val="6B346045"/>
    <w:rsid w:val="6B5A7C1B"/>
    <w:rsid w:val="6B5E2353"/>
    <w:rsid w:val="6B6A5A7D"/>
    <w:rsid w:val="6BB06152"/>
    <w:rsid w:val="6BBE73A2"/>
    <w:rsid w:val="6BC03F70"/>
    <w:rsid w:val="6BC35AF9"/>
    <w:rsid w:val="6BED4D87"/>
    <w:rsid w:val="6CB77EA3"/>
    <w:rsid w:val="6CEB68A8"/>
    <w:rsid w:val="6CEE36C0"/>
    <w:rsid w:val="6D7F17AE"/>
    <w:rsid w:val="6DB052C5"/>
    <w:rsid w:val="6E231F3D"/>
    <w:rsid w:val="6E481889"/>
    <w:rsid w:val="6E9B4AD2"/>
    <w:rsid w:val="6EA72F2A"/>
    <w:rsid w:val="6EB067BF"/>
    <w:rsid w:val="6F6B47FD"/>
    <w:rsid w:val="6F7B6062"/>
    <w:rsid w:val="6F7D076E"/>
    <w:rsid w:val="6FAC42B1"/>
    <w:rsid w:val="6FBA0C6A"/>
    <w:rsid w:val="6FBD020A"/>
    <w:rsid w:val="6FC02C5A"/>
    <w:rsid w:val="6FC266AC"/>
    <w:rsid w:val="703C6627"/>
    <w:rsid w:val="705F2C57"/>
    <w:rsid w:val="709C0DD8"/>
    <w:rsid w:val="70E549F7"/>
    <w:rsid w:val="70E86B64"/>
    <w:rsid w:val="71377AB8"/>
    <w:rsid w:val="71A93AC1"/>
    <w:rsid w:val="72223B48"/>
    <w:rsid w:val="722C5B16"/>
    <w:rsid w:val="72C77517"/>
    <w:rsid w:val="72DC7E3D"/>
    <w:rsid w:val="72ED0C3A"/>
    <w:rsid w:val="73303C59"/>
    <w:rsid w:val="736B3456"/>
    <w:rsid w:val="73783476"/>
    <w:rsid w:val="739F06D6"/>
    <w:rsid w:val="73C752DD"/>
    <w:rsid w:val="740D3131"/>
    <w:rsid w:val="747A6243"/>
    <w:rsid w:val="74820E82"/>
    <w:rsid w:val="74856C0E"/>
    <w:rsid w:val="74F374C6"/>
    <w:rsid w:val="75047A79"/>
    <w:rsid w:val="75162429"/>
    <w:rsid w:val="75516F5E"/>
    <w:rsid w:val="75766C8F"/>
    <w:rsid w:val="757B4246"/>
    <w:rsid w:val="75F10087"/>
    <w:rsid w:val="76032BE9"/>
    <w:rsid w:val="76173310"/>
    <w:rsid w:val="76AF3D42"/>
    <w:rsid w:val="76D13B82"/>
    <w:rsid w:val="76D874D2"/>
    <w:rsid w:val="76FD7281"/>
    <w:rsid w:val="770025E3"/>
    <w:rsid w:val="775532AD"/>
    <w:rsid w:val="777E6C3E"/>
    <w:rsid w:val="778550C2"/>
    <w:rsid w:val="77CB491B"/>
    <w:rsid w:val="77F14A3D"/>
    <w:rsid w:val="78254387"/>
    <w:rsid w:val="78713C9D"/>
    <w:rsid w:val="78877127"/>
    <w:rsid w:val="789C200E"/>
    <w:rsid w:val="79103CB3"/>
    <w:rsid w:val="79146AB7"/>
    <w:rsid w:val="79292D8D"/>
    <w:rsid w:val="799636F5"/>
    <w:rsid w:val="79E35C68"/>
    <w:rsid w:val="7A1514B7"/>
    <w:rsid w:val="7A1A507F"/>
    <w:rsid w:val="7A295530"/>
    <w:rsid w:val="7A2D34D3"/>
    <w:rsid w:val="7A5D40EC"/>
    <w:rsid w:val="7A8E43EE"/>
    <w:rsid w:val="7A8F0D49"/>
    <w:rsid w:val="7A9E6CC7"/>
    <w:rsid w:val="7AA730C0"/>
    <w:rsid w:val="7ACE0D12"/>
    <w:rsid w:val="7ADA2CE1"/>
    <w:rsid w:val="7B386976"/>
    <w:rsid w:val="7B4B1E9A"/>
    <w:rsid w:val="7B956A93"/>
    <w:rsid w:val="7C293935"/>
    <w:rsid w:val="7CBA51B4"/>
    <w:rsid w:val="7CBC5AD2"/>
    <w:rsid w:val="7CCB49D3"/>
    <w:rsid w:val="7D1D24BD"/>
    <w:rsid w:val="7D6C4ED6"/>
    <w:rsid w:val="7D917E9C"/>
    <w:rsid w:val="7D920050"/>
    <w:rsid w:val="7E146971"/>
    <w:rsid w:val="7E2F501B"/>
    <w:rsid w:val="7E370D00"/>
    <w:rsid w:val="7E3F1101"/>
    <w:rsid w:val="7E751222"/>
    <w:rsid w:val="7E751E52"/>
    <w:rsid w:val="7E852BA3"/>
    <w:rsid w:val="7E920730"/>
    <w:rsid w:val="7E973388"/>
    <w:rsid w:val="7F145950"/>
    <w:rsid w:val="7F264426"/>
    <w:rsid w:val="7F3A48D1"/>
    <w:rsid w:val="7F4D5228"/>
    <w:rsid w:val="7F843B60"/>
    <w:rsid w:val="7F8E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666</Words>
  <Characters>3799</Characters>
  <Lines>0</Lines>
  <Paragraphs>0</Paragraphs>
  <TotalTime>0</TotalTime>
  <ScaleCrop>false</ScaleCrop>
  <LinksUpToDate>false</LinksUpToDate>
  <CharactersWithSpaces>4270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2026-06-28T08:19:00Z</dcterms:created>
  <dc:creator>XCH</dc:creator>
  <cp:lastModifiedBy>lijinhao</cp:lastModifiedBy>
  <dcterms:modified xsi:type="dcterms:W3CDTF">2026-08-23T11:37:59Z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3CDA1CF92C3B459385894F5C30319FF3_11</vt:lpwstr>
  </property>
  <property fmtid="{D5CDD505-2E9C-101B-9397-08002B2CF9AE}" pid="4" name="KSOTemplateDocerSaveRecord">
    <vt:lpwstr>eyJoZGlkIjoiMTU1ZDcwZGE2MTA3YjI0ZmQwODFiYTU1MzdmM2UxMWYiLCJ1c2VySWQiOiI0MjAyNjE2MzIifQ==</vt:lpwstr>
  </property>
</Properties>
</file>