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Times New Roman" w:hAnsi="Times New Roman" w:eastAsia="Times New Roman"/>
          <w:color w:val="000000"/>
          <w:sz w:val="28"/>
        </w:rPr>
        <w:t>Additional file 1. Supplementary methods, tables, figures, and STROBE checklist</w:t>
      </w:r>
    </w:p>
    <w:p>
      <w:pPr>
        <w:spacing w:line="360" w:lineRule="auto"/>
      </w:pPr>
      <w:r>
        <w:rPr>
          <w:rFonts w:ascii="Times New Roman" w:hAnsi="Times New Roman"/>
        </w:rPr>
        <w:t>This file provides supplementary methods, analyses, figures, and the STROBE checklist for the main manuscript. It contains no patient-level records, database credentials, or restricted database extracts.</w:t>
      </w:r>
    </w:p>
    <w:p>
      <w:pPr>
        <w:pStyle w:val="Heading1"/>
      </w:pPr>
      <w:r>
        <w:t>Supplementary methods</w:t>
      </w:r>
    </w:p>
    <w:p>
      <w:pPr>
        <w:pStyle w:val="Heading2"/>
      </w:pPr>
      <w:r>
        <w:t>eICU-CRD cirrhosis sensitivity definitions</w:t>
      </w:r>
    </w:p>
    <w:p>
      <w:pPr>
        <w:spacing w:line="360" w:lineRule="auto"/>
      </w:pPr>
      <w:r>
        <w:rPr>
          <w:rFonts w:ascii="Times New Roman" w:hAnsi="Times New Roman"/>
        </w:rPr>
        <w:t>The primary eICU-CRD cirrhosis definition used information from the patient, diagnosis, or admission-diagnosis records. The stricter sensitivity definition required admission-level or primary/major diagnostic evidence of cirrhosis. Higher-coverage hospitals had at least 10 cirrhosis landmark stays, reference-creatinine availability of at least 70%, evaluable urine data in both study windows for at least 50% of landmark stays, and at least five eligible study patients.</w:t>
      </w:r>
    </w:p>
    <w:p>
      <w:pPr>
        <w:pStyle w:val="Heading2"/>
      </w:pPr>
      <w:r>
        <w:rPr>
          <w:rFonts w:ascii="Times New Roman" w:hAnsi="Times New Roman"/>
        </w:rPr>
        <w:t>eICU-CRD admission selection</w:t>
      </w:r>
    </w:p>
    <w:p>
      <w:pPr/>
      <w:r>
        <w:rPr>
          <w:rFonts w:ascii="Times New Roman" w:hAnsi="Times New Roman"/>
        </w:rPr>
        <w:t>The first ICU unit stay within each hospital admission was selected. When a patient had more than one eligible hospital admission, one admission was retained using the earliest recorded discharge year and then the hospital-stay and ICU-stay identifiers. Because eICU-CRD records discharge year rather than a complete admission date, separate admissions within the same year could not always be ordered chronologically.</w:t>
      </w:r>
    </w:p>
    <w:p>
      <w:pPr>
        <w:pStyle w:val="Heading2"/>
      </w:pPr>
      <w:r>
        <w:rPr>
          <w:rFonts w:ascii="Times New Roman" w:hAnsi="Times New Roman"/>
        </w:rPr>
        <w:t>Urine-output ascertainment</w:t>
      </w:r>
    </w:p>
    <w:p>
      <w:pPr/>
      <w:r>
        <w:rPr>
          <w:rFonts w:ascii="Times New Roman" w:hAnsi="Times New Roman"/>
        </w:rPr>
        <w:t>Urine-output staging used time-resolved ICU output records. In eICU-CRD, a 6-h window required at least two records spanning at least 300 min, a 12-h window at least three records spanning at least 660 min, and a 24-h window at least four records spanning at least 1320 min. Urine-output stage was not assigned before a 6-h window could be evaluated.</w:t>
      </w:r>
    </w:p>
    <w:p>
      <w:pPr>
        <w:pStyle w:val="Heading2"/>
      </w:pPr>
      <w:r>
        <w:rPr>
          <w:rFonts w:ascii="Times New Roman" w:hAnsi="Times New Roman"/>
        </w:rPr>
        <w:t>Sepsis timing sensitivity</w:t>
      </w:r>
    </w:p>
    <w:p>
      <w:pPr/>
      <w:r>
        <w:rPr>
          <w:rFonts w:ascii="Times New Roman" w:hAnsi="Times New Roman"/>
        </w:rPr>
        <w:t>In MIMIC-IV, the index-admission ICD diagnosis did not provide a reliable onset time for sepsis. In eICU-CRD, diagnosis records could include entries documented after the 24-h landmark. Sepsis was therefore omitted from the primary adjustment set. Sensitivity analyses incorporated either the available sepsis definition or a database-specific pre-landmark proxy.</w:t>
      </w:r>
    </w:p>
    <w:p>
      <w:pPr>
        <w:pStyle w:val="Heading2"/>
      </w:pPr>
      <w:r>
        <w:t>Multiple imputation</w:t>
      </w:r>
    </w:p>
    <w:p>
      <w:pPr>
        <w:spacing w:line="360" w:lineRule="auto"/>
      </w:pPr>
      <w:r>
        <w:rPr>
          <w:rFonts w:ascii="Times New Roman" w:hAnsi="Times New Roman"/>
        </w:rPr>
        <w:t>Covariates were imputed separately within each database using chained equations with predictive mean matching, 40 imputations, and 20 iterations. Exposure, outcomes, patient identifiers, and hospital identifiers were not imputed. Model coefficients and variances were combined using Rubin's rules.</w:t>
      </w:r>
    </w:p>
    <w:p>
      <w:pPr>
        <w:pStyle w:val="Heading2"/>
      </w:pPr>
      <w:r>
        <w:rPr>
          <w:rFonts w:ascii="Times New Roman" w:hAnsi="Times New Roman"/>
        </w:rPr>
        <w:t>Actual-weight analyses</w:t>
      </w:r>
    </w:p>
    <w:p>
      <w:pPr>
        <w:spacing w:line="360" w:lineRule="auto"/>
      </w:pPr>
      <w:r>
        <w:rPr>
          <w:rFonts w:ascii="Times New Roman" w:hAnsi="Times New Roman"/>
        </w:rPr>
        <w:t>Urine-output staging was repeated using actual weight. One analysis retained the primary ideal-body-weight-defined risk set, whereas a second analysis reapplied 24-h eligibility after actual-weight staging. This allowed the influence of the weight denominator on both kidney classification and cohort eligibility to be examined.</w:t>
      </w:r>
    </w:p>
    <w:p>
      <w:pPr>
        <w:pStyle w:val="Heading2"/>
      </w:pPr>
      <w:r>
        <w:rPr>
          <w:rFonts w:ascii="Times New Roman" w:hAnsi="Times New Roman"/>
        </w:rPr>
        <w:t>Assessment of proportional subdistribution hazards</w:t>
      </w:r>
    </w:p>
    <w:p>
      <w:pPr>
        <w:spacing w:line="360" w:lineRule="auto"/>
      </w:pPr>
      <w:r>
        <w:rPr>
          <w:rFonts w:ascii="Times New Roman" w:hAnsi="Times New Roman"/>
        </w:rPr>
        <w:t>The proportional subdistribution-hazard assumption was assessed across the multiply imputed datasets using weighted Cox models fitted to Fine–Gray expanded data. Because the criterion-count term showed evidence of non-proportionality in MIMIC-IV, a piecewise Fine–Gray analysis estimated associations separately for 24–48 h and 48–72 h and directly compared the two intervals.</w:t>
      </w:r>
    </w:p>
    <w:p>
      <w:pPr>
        <w:keepNext/>
        <w:spacing w:before="120"/>
      </w:pPr>
      <w:r>
        <w:rPr>
          <w:rFonts w:ascii="Times New Roman" w:hAnsi="Times New Roman" w:eastAsia="Times New Roman"/>
          <w:b/>
          <w:color w:val="000000"/>
          <w:sz w:val="20"/>
        </w:rPr>
        <w:t>Table S1. Adjusted four-phenotype associations in MIMIC-IV</w:t>
      </w:r>
    </w:p>
    <w:tbl>
      <w:tblPr>
        <w:tblStyle w:val="TableGrid"/>
        <w:tblW w:type="auto" w:w="0"/>
        <w:tblLayout w:type="autofit"/>
        <w:tblLook w:firstColumn="1" w:firstRow="1" w:lastColumn="0" w:lastRow="0" w:noHBand="0" w:noVBand="1" w:val="04A0"/>
        <w:jc w:val="center"/>
        <w:tblBorders>
          <w:top w:val="nil"/>
          <w:left w:val="nil"/>
          <w:bottom w:val="nil"/>
          <w:right w:val="nil"/>
          <w:insideH w:val="nil"/>
          <w:insideV w:val="nil"/>
        </w:tblBorders>
      </w:tblPr>
      <w:tblGrid>
        <w:gridCol w:w="2340"/>
        <w:gridCol w:w="2340"/>
        <w:gridCol w:w="2340"/>
        <w:gridCol w:w="2340"/>
      </w:tblGrid>
      <w:tr>
        <w:trPr>
          <w:tblHeader w:val="true"/>
        </w:trPr>
        <w:tc>
          <w:tcPr>
            <w:tcW w:type="dxa" w:w="234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Comparison with no AKI</w:t>
            </w:r>
          </w:p>
        </w:tc>
        <w:tc>
          <w:tcPr>
            <w:tcW w:type="dxa" w:w="234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sHR</w:t>
            </w:r>
          </w:p>
        </w:tc>
        <w:tc>
          <w:tcPr>
            <w:tcW w:type="dxa" w:w="234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95% CI</w:t>
            </w:r>
          </w:p>
        </w:tc>
        <w:tc>
          <w:tcPr>
            <w:tcW w:type="dxa" w:w="234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P value</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Creatinine-only stage 1 AKI</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1.56</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1.10–2.22</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0.014</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Urine-output-only stage 1 AKI</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1.97</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1.43–2.72</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&lt;0.001</w:t>
            </w:r>
          </w:p>
        </w:tc>
      </w:tr>
      <w:tr>
        <w:tc>
          <w:tcPr>
            <w:tcW w:type="dxa" w:w="2340"/>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Both-criteria stage 1 AKI</w:t>
            </w:r>
          </w:p>
        </w:tc>
        <w:tc>
          <w:tcPr>
            <w:tcW w:type="dxa" w:w="2340"/>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2.86</w:t>
            </w:r>
          </w:p>
        </w:tc>
        <w:tc>
          <w:tcPr>
            <w:tcW w:type="dxa" w:w="2340"/>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1.85–4.42</w:t>
            </w:r>
          </w:p>
        </w:tc>
        <w:tc>
          <w:tcPr>
            <w:tcW w:type="dxa" w:w="2340"/>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&lt;0.001</w:t>
            </w:r>
          </w:p>
        </w:tc>
      </w:tr>
    </w:tbl>
    <w:p>
      <w:pPr>
        <w:spacing w:line="240" w:lineRule="auto" w:after="80"/>
      </w:pPr>
      <w:r>
        <w:rPr>
          <w:rFonts w:ascii="Times New Roman" w:hAnsi="Times New Roman"/>
        </w:rPr>
        <w:t>No AKI was the reference. The model used the primary covariate set, 40 imputations, and patient-level robust variance. An adjusted four-phenotype model was not fitted in eICU-CRD because only 10 patients had both criteria positive.</w:t>
      </w:r>
    </w:p>
    <w:p>
      <w:pPr>
        <w:keepNext/>
        <w:spacing w:before="120"/>
      </w:pPr>
      <w:r>
        <w:rPr>
          <w:rFonts w:ascii="Times New Roman" w:hAnsi="Times New Roman" w:eastAsia="Times New Roman"/>
          <w:b/>
          <w:color w:val="000000"/>
          <w:sz w:val="20"/>
        </w:rPr>
        <w:t>Table S2. Piecewise MIMIC-IV association after the landmark</w:t>
      </w:r>
    </w:p>
    <w:tbl>
      <w:tblPr>
        <w:tblStyle w:val="TableGrid"/>
        <w:tblW w:type="auto" w:w="0"/>
        <w:tblLayout w:type="autofit"/>
        <w:tblLook w:firstColumn="1" w:firstRow="1" w:lastColumn="0" w:lastRow="0" w:noHBand="0" w:noVBand="1" w:val="04A0"/>
        <w:jc w:val="center"/>
        <w:tblBorders>
          <w:top w:val="nil"/>
          <w:left w:val="nil"/>
          <w:bottom w:val="nil"/>
          <w:right w:val="nil"/>
          <w:insideH w:val="nil"/>
          <w:insideV w:val="nil"/>
        </w:tblBorders>
      </w:tblPr>
      <w:tblGrid>
        <w:gridCol w:w="2340"/>
        <w:gridCol w:w="2340"/>
        <w:gridCol w:w="2340"/>
        <w:gridCol w:w="2340"/>
      </w:tblGrid>
      <w:tr>
        <w:trPr>
          <w:tblHeader w:val="true"/>
        </w:trPr>
        <w:tc>
          <w:tcPr>
            <w:tcW w:type="dxa" w:w="234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Interval or contrast</w:t>
            </w:r>
          </w:p>
        </w:tc>
        <w:tc>
          <w:tcPr>
            <w:tcW w:type="dxa" w:w="234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sHR or ratio</w:t>
            </w:r>
          </w:p>
        </w:tc>
        <w:tc>
          <w:tcPr>
            <w:tcW w:type="dxa" w:w="234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95% CI</w:t>
            </w:r>
          </w:p>
        </w:tc>
        <w:tc>
          <w:tcPr>
            <w:tcW w:type="dxa" w:w="234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P value</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24–48 h: per additional positive criterion</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1.90</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1.52–2.38</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&lt;0.001</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48–72 h: per additional positive criterion</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1.39</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0.98–1.97</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0.063</w:t>
            </w:r>
          </w:p>
        </w:tc>
      </w:tr>
      <w:tr>
        <w:tc>
          <w:tcPr>
            <w:tcW w:type="dxa" w:w="2340"/>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Late-versus-early sHR ratio</w:t>
            </w:r>
          </w:p>
        </w:tc>
        <w:tc>
          <w:tcPr>
            <w:tcW w:type="dxa" w:w="2340"/>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0.73</w:t>
            </w:r>
          </w:p>
        </w:tc>
        <w:tc>
          <w:tcPr>
            <w:tcW w:type="dxa" w:w="2340"/>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0.49–1.10</w:t>
            </w:r>
          </w:p>
        </w:tc>
        <w:tc>
          <w:tcPr>
            <w:tcW w:type="dxa" w:w="2340"/>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0.135</w:t>
            </w:r>
          </w:p>
        </w:tc>
      </w:tr>
    </w:tbl>
    <w:p>
      <w:pPr>
        <w:spacing w:line="240" w:lineRule="auto" w:after="80"/>
      </w:pPr>
      <w:r>
        <w:rPr>
          <w:rFonts w:ascii="Times New Roman" w:hAnsi="Times New Roman"/>
        </w:rPr>
        <w:t>The late-versus-early row reports the direct ratio of the interval-specific sHRs.</w:t>
      </w:r>
    </w:p>
    <w:p>
      <w:pPr>
        <w:keepNext/>
        <w:spacing w:before="120"/>
      </w:pPr>
      <w:r>
        <w:rPr>
          <w:rFonts w:ascii="Times New Roman" w:hAnsi="Times New Roman" w:eastAsia="Times New Roman"/>
          <w:b/>
          <w:color w:val="000000"/>
          <w:sz w:val="20"/>
        </w:rPr>
        <w:t>Table S3. Sepsis timing and sensitivity models</w:t>
      </w:r>
    </w:p>
    <w:tbl>
      <w:tblPr>
        <w:tblStyle w:val="TableGrid"/>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1872"/>
        <w:gridCol w:w="1872"/>
        <w:gridCol w:w="1872"/>
        <w:gridCol w:w="1872"/>
        <w:gridCol w:w="1872"/>
      </w:tblGrid>
      <w:tr>
        <w:trPr>
          <w:tblHeader w:val="true"/>
        </w:trPr>
        <w:tc>
          <w:tcPr>
            <w:tcW w:type="dxa" w:w="108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4"/>
              </w:rPr>
            </w:r>
            <w:r>
              <w:rPr>
                <w:rFonts w:ascii="Times New Roman" w:hAnsi="Times New Roman" w:eastAsia="Times New Roman"/>
                <w:b/>
                <w:color w:val="000000"/>
                <w:sz w:val="14"/>
              </w:rPr>
              <w:t>Database</w:t>
            </w:r>
          </w:p>
        </w:tc>
        <w:tc>
          <w:tcPr>
            <w:tcW w:type="dxa" w:w="2088"/>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4"/>
              </w:rPr>
            </w:r>
            <w:r>
              <w:rPr>
                <w:rFonts w:ascii="Times New Roman" w:hAnsi="Times New Roman" w:eastAsia="Times New Roman"/>
                <w:b/>
                <w:color w:val="000000"/>
                <w:sz w:val="14"/>
              </w:rPr>
              <w:t>Variable/source</w:t>
            </w:r>
          </w:p>
        </w:tc>
        <w:tc>
          <w:tcPr>
            <w:tcW w:type="dxa" w:w="2952"/>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4"/>
              </w:rPr>
            </w:r>
            <w:r>
              <w:rPr>
                <w:rFonts w:ascii="Times New Roman" w:hAnsi="Times New Roman" w:eastAsia="Times New Roman"/>
                <w:b/>
                <w:color w:val="000000"/>
                <w:sz w:val="14"/>
              </w:rPr>
              <w:t>Timing finding</w:t>
            </w:r>
          </w:p>
        </w:tc>
        <w:tc>
          <w:tcPr>
            <w:tcW w:type="dxa" w:w="1944"/>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4"/>
              </w:rPr>
            </w:r>
            <w:r>
              <w:rPr>
                <w:rFonts w:ascii="Times New Roman" w:hAnsi="Times New Roman" w:eastAsia="Times New Roman"/>
                <w:b/>
                <w:color w:val="000000"/>
                <w:sz w:val="14"/>
              </w:rPr>
              <w:t>Model</w:t>
            </w:r>
          </w:p>
        </w:tc>
        <w:tc>
          <w:tcPr>
            <w:tcW w:type="dxa" w:w="144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4"/>
              </w:rPr>
            </w:r>
            <w:r>
              <w:rPr>
                <w:rFonts w:ascii="Times New Roman" w:hAnsi="Times New Roman" w:eastAsia="Times New Roman"/>
                <w:b/>
                <w:color w:val="000000"/>
                <w:sz w:val="14"/>
              </w:rPr>
              <w:t>sHR (95% CI)</w:t>
            </w:r>
          </w:p>
        </w:tc>
      </w:tr>
      <w:tr>
        <w:tc>
          <w:tcPr>
            <w:tcW w:type="dxa" w:w="1080"/>
            <w:vAlign w:val="center"/>
            <w:tcMar>
              <w:top w:w="35" w:type="dxa"/>
              <w:start w:w="35" w:type="dxa"/>
              <w:bottom w:w="35" w:type="dxa"/>
              <w:end w:w="35" w:type="dxa"/>
            </w:tcMar>
          </w:tcPr>
          <w:p>
            <w:pPr>
              <w:spacing w:before="0" w:after="0" w:line="240" w:lineRule="auto"/>
            </w:pPr>
            <w:r>
              <w:rPr>
                <w:rFonts w:ascii="Times New Roman" w:hAnsi="Times New Roman"/>
                <w:sz w:val="14"/>
              </w:rPr>
              <w:t>MIMIC-IV</w:t>
            </w:r>
          </w:p>
        </w:tc>
        <w:tc>
          <w:tcPr>
            <w:tcW w:type="dxa" w:w="2088"/>
            <w:vAlign w:val="center"/>
            <w:tcMar>
              <w:top w:w="35" w:type="dxa"/>
              <w:start w:w="35" w:type="dxa"/>
              <w:bottom w:w="35" w:type="dxa"/>
              <w:end w:w="35" w:type="dxa"/>
            </w:tcMar>
          </w:tcPr>
          <w:p>
            <w:pPr>
              <w:spacing w:before="0" w:after="0" w:line="240" w:lineRule="auto"/>
            </w:pPr>
            <w:r>
              <w:rPr>
                <w:rFonts w:ascii="Times New Roman" w:hAnsi="Times New Roman"/>
                <w:sz w:val="14"/>
              </w:rPr>
              <w:t>Index-admission ICD diagnosis</w:t>
            </w:r>
          </w:p>
        </w:tc>
        <w:tc>
          <w:tcPr>
            <w:tcW w:type="dxa" w:w="2952"/>
            <w:vAlign w:val="center"/>
            <w:tcMar>
              <w:top w:w="35" w:type="dxa"/>
              <w:start w:w="35" w:type="dxa"/>
              <w:bottom w:w="35" w:type="dxa"/>
              <w:end w:w="35" w:type="dxa"/>
            </w:tcMar>
          </w:tcPr>
          <w:p>
            <w:pPr>
              <w:spacing w:before="0" w:after="0" w:line="240" w:lineRule="auto"/>
            </w:pPr>
            <w:r>
              <w:rPr>
                <w:rFonts w:ascii="Times New Roman" w:hAnsi="Times New Roman"/>
                <w:sz w:val="14"/>
              </w:rPr>
              <w:t>249/999 positive; diagnosis records did not provide a reliable onset time</w:t>
            </w:r>
          </w:p>
        </w:tc>
        <w:tc>
          <w:tcPr>
            <w:tcW w:type="dxa" w:w="1944"/>
            <w:vAlign w:val="center"/>
            <w:tcMar>
              <w:top w:w="35" w:type="dxa"/>
              <w:start w:w="35" w:type="dxa"/>
              <w:bottom w:w="35" w:type="dxa"/>
              <w:end w:w="35" w:type="dxa"/>
            </w:tcMar>
          </w:tcPr>
          <w:p>
            <w:pPr>
              <w:spacing w:before="0" w:after="0" w:line="240" w:lineRule="auto"/>
            </w:pPr>
            <w:r>
              <w:rPr>
                <w:rFonts w:ascii="Times New Roman" w:hAnsi="Times New Roman"/>
                <w:sz w:val="14"/>
              </w:rPr>
              <w:t>Sepsis-adjusted sensitivity</w:t>
            </w:r>
          </w:p>
        </w:tc>
        <w:tc>
          <w:tcPr>
            <w:tcW w:type="dxa" w:w="1440"/>
            <w:vAlign w:val="center"/>
            <w:tcMar>
              <w:top w:w="35" w:type="dxa"/>
              <w:start w:w="35" w:type="dxa"/>
              <w:bottom w:w="35" w:type="dxa"/>
              <w:end w:w="35" w:type="dxa"/>
            </w:tcMar>
          </w:tcPr>
          <w:p>
            <w:pPr>
              <w:spacing w:before="0" w:after="0" w:line="240" w:lineRule="auto"/>
            </w:pPr>
            <w:r>
              <w:rPr>
                <w:rFonts w:ascii="Times New Roman" w:hAnsi="Times New Roman"/>
                <w:sz w:val="14"/>
              </w:rPr>
              <w:t>1.71 (1.41–2.07)</w:t>
            </w:r>
          </w:p>
        </w:tc>
      </w:tr>
      <w:tr>
        <w:tc>
          <w:tcPr>
            <w:tcW w:type="dxa" w:w="1080"/>
            <w:vAlign w:val="center"/>
            <w:tcMar>
              <w:top w:w="35" w:type="dxa"/>
              <w:start w:w="35" w:type="dxa"/>
              <w:bottom w:w="35" w:type="dxa"/>
              <w:end w:w="35" w:type="dxa"/>
            </w:tcMar>
          </w:tcPr>
          <w:p>
            <w:pPr>
              <w:spacing w:before="0" w:after="0" w:line="240" w:lineRule="auto"/>
            </w:pPr>
            <w:r>
              <w:rPr>
                <w:rFonts w:ascii="Times New Roman" w:hAnsi="Times New Roman"/>
                <w:sz w:val="14"/>
              </w:rPr>
              <w:t>MIMIC-IV</w:t>
            </w:r>
          </w:p>
        </w:tc>
        <w:tc>
          <w:tcPr>
            <w:tcW w:type="dxa" w:w="2088"/>
            <w:vAlign w:val="center"/>
            <w:tcMar>
              <w:top w:w="35" w:type="dxa"/>
              <w:start w:w="35" w:type="dxa"/>
              <w:bottom w:w="35" w:type="dxa"/>
              <w:end w:w="35" w:type="dxa"/>
            </w:tcMar>
          </w:tcPr>
          <w:p>
            <w:pPr>
              <w:spacing w:before="0" w:after="0" w:line="240" w:lineRule="auto"/>
            </w:pPr>
            <w:r>
              <w:rPr>
                <w:rFonts w:ascii="Times New Roman" w:hAnsi="Times New Roman"/>
                <w:sz w:val="14"/>
              </w:rPr>
              <w:t>Database-specific pre-landmark proxy</w:t>
            </w:r>
          </w:p>
        </w:tc>
        <w:tc>
          <w:tcPr>
            <w:tcW w:type="dxa" w:w="2952"/>
            <w:vAlign w:val="center"/>
            <w:tcMar>
              <w:top w:w="35" w:type="dxa"/>
              <w:start w:w="35" w:type="dxa"/>
              <w:bottom w:w="35" w:type="dxa"/>
              <w:end w:w="35" w:type="dxa"/>
            </w:tcMar>
          </w:tcPr>
          <w:p>
            <w:pPr>
              <w:spacing w:before="0" w:after="0" w:line="240" w:lineRule="auto"/>
            </w:pPr>
            <w:r>
              <w:rPr>
                <w:rFonts w:ascii="Times New Roman" w:hAnsi="Times New Roman"/>
                <w:sz w:val="14"/>
              </w:rPr>
              <w:t>Database-specific pre-landmark definition</w:t>
            </w:r>
          </w:p>
        </w:tc>
        <w:tc>
          <w:tcPr>
            <w:tcW w:type="dxa" w:w="1944"/>
            <w:vAlign w:val="center"/>
            <w:tcMar>
              <w:top w:w="35" w:type="dxa"/>
              <w:start w:w="35" w:type="dxa"/>
              <w:bottom w:w="35" w:type="dxa"/>
              <w:end w:w="35" w:type="dxa"/>
            </w:tcMar>
          </w:tcPr>
          <w:p>
            <w:pPr>
              <w:spacing w:before="0" w:after="0" w:line="240" w:lineRule="auto"/>
            </w:pPr>
            <w:r>
              <w:rPr>
                <w:rFonts w:ascii="Times New Roman" w:hAnsi="Times New Roman"/>
                <w:sz w:val="14"/>
              </w:rPr>
              <w:t>Pre-landmark sepsis sensitivity</w:t>
            </w:r>
          </w:p>
        </w:tc>
        <w:tc>
          <w:tcPr>
            <w:tcW w:type="dxa" w:w="1440"/>
            <w:vAlign w:val="center"/>
            <w:tcMar>
              <w:top w:w="35" w:type="dxa"/>
              <w:start w:w="35" w:type="dxa"/>
              <w:bottom w:w="35" w:type="dxa"/>
              <w:end w:w="35" w:type="dxa"/>
            </w:tcMar>
          </w:tcPr>
          <w:p>
            <w:pPr>
              <w:spacing w:before="0" w:after="0" w:line="240" w:lineRule="auto"/>
            </w:pPr>
            <w:r>
              <w:rPr>
                <w:rFonts w:ascii="Times New Roman" w:hAnsi="Times New Roman"/>
                <w:sz w:val="14"/>
              </w:rPr>
              <w:t>1.71 (1.41–2.08)</w:t>
            </w:r>
          </w:p>
        </w:tc>
      </w:tr>
      <w:tr>
        <w:tc>
          <w:tcPr>
            <w:tcW w:type="dxa" w:w="1080"/>
            <w:vAlign w:val="center"/>
            <w:tcMar>
              <w:top w:w="35" w:type="dxa"/>
              <w:start w:w="35" w:type="dxa"/>
              <w:bottom w:w="35" w:type="dxa"/>
              <w:end w:w="35" w:type="dxa"/>
            </w:tcMar>
          </w:tcPr>
          <w:p>
            <w:pPr>
              <w:spacing w:before="0" w:after="0" w:line="240" w:lineRule="auto"/>
            </w:pPr>
            <w:r>
              <w:rPr>
                <w:rFonts w:ascii="Times New Roman" w:hAnsi="Times New Roman"/>
                <w:sz w:val="14"/>
              </w:rPr>
              <w:t>eICU-CRD</w:t>
            </w:r>
          </w:p>
        </w:tc>
        <w:tc>
          <w:tcPr>
            <w:tcW w:type="dxa" w:w="2088"/>
            <w:vAlign w:val="center"/>
            <w:tcMar>
              <w:top w:w="35" w:type="dxa"/>
              <w:start w:w="35" w:type="dxa"/>
              <w:bottom w:w="35" w:type="dxa"/>
              <w:end w:w="35" w:type="dxa"/>
            </w:tcMar>
          </w:tcPr>
          <w:p>
            <w:pPr>
              <w:spacing w:before="0" w:after="0" w:line="240" w:lineRule="auto"/>
            </w:pPr>
            <w:r>
              <w:rPr>
                <w:rFonts w:ascii="Times New Roman" w:hAnsi="Times New Roman"/>
                <w:sz w:val="14"/>
              </w:rPr>
              <w:t>Diagnosis and admission-diagnosis tables</w:t>
            </w:r>
          </w:p>
        </w:tc>
        <w:tc>
          <w:tcPr>
            <w:tcW w:type="dxa" w:w="2952"/>
            <w:vAlign w:val="center"/>
            <w:tcMar>
              <w:top w:w="35" w:type="dxa"/>
              <w:start w:w="35" w:type="dxa"/>
              <w:bottom w:w="35" w:type="dxa"/>
              <w:end w:w="35" w:type="dxa"/>
            </w:tcMar>
          </w:tcPr>
          <w:p>
            <w:pPr>
              <w:spacing w:before="0" w:after="0" w:line="240" w:lineRule="auto"/>
            </w:pPr>
            <w:r>
              <w:rPr>
                <w:rFonts w:ascii="Times New Roman" w:hAnsi="Times New Roman"/>
                <w:sz w:val="14"/>
              </w:rPr>
              <w:t>176/674 positive; 117 had evidence recorded after 24 h and 13 were first positive after 24 h</w:t>
            </w:r>
          </w:p>
        </w:tc>
        <w:tc>
          <w:tcPr>
            <w:tcW w:type="dxa" w:w="1944"/>
            <w:vAlign w:val="center"/>
            <w:tcMar>
              <w:top w:w="35" w:type="dxa"/>
              <w:start w:w="35" w:type="dxa"/>
              <w:bottom w:w="35" w:type="dxa"/>
              <w:end w:w="35" w:type="dxa"/>
            </w:tcMar>
          </w:tcPr>
          <w:p>
            <w:pPr>
              <w:spacing w:before="0" w:after="0" w:line="240" w:lineRule="auto"/>
            </w:pPr>
            <w:r>
              <w:rPr>
                <w:rFonts w:ascii="Times New Roman" w:hAnsi="Times New Roman"/>
                <w:sz w:val="14"/>
              </w:rPr>
              <w:t>Sepsis-adjusted sensitivity</w:t>
            </w:r>
          </w:p>
        </w:tc>
        <w:tc>
          <w:tcPr>
            <w:tcW w:type="dxa" w:w="1440"/>
            <w:vAlign w:val="center"/>
            <w:tcMar>
              <w:top w:w="35" w:type="dxa"/>
              <w:start w:w="35" w:type="dxa"/>
              <w:bottom w:w="35" w:type="dxa"/>
              <w:end w:w="35" w:type="dxa"/>
            </w:tcMar>
          </w:tcPr>
          <w:p>
            <w:pPr>
              <w:spacing w:before="0" w:after="0" w:line="240" w:lineRule="auto"/>
            </w:pPr>
            <w:r>
              <w:rPr>
                <w:rFonts w:ascii="Times New Roman" w:hAnsi="Times New Roman"/>
                <w:sz w:val="14"/>
              </w:rPr>
              <w:t>2.21 (1.44–3.40)</w:t>
            </w:r>
          </w:p>
        </w:tc>
      </w:tr>
      <w:tr>
        <w:tc>
          <w:tcPr>
            <w:tcW w:type="dxa" w:w="1080"/>
            <w:vAlign w:val="center"/>
            <w:tcMar>
              <w:top w:w="35" w:type="dxa"/>
              <w:start w:w="35" w:type="dxa"/>
              <w:bottom w:w="35" w:type="dxa"/>
              <w:end w:w="35" w:type="dxa"/>
            </w:tcMar>
            <w:tcBorders>
              <w:bottom w:val="single" w:sz="8" w:color="000000" w:space="0"/>
            </w:tcBorders>
          </w:tcPr>
          <w:p>
            <w:pPr>
              <w:spacing w:before="0" w:after="0" w:line="240" w:lineRule="auto"/>
            </w:pPr>
            <w:r>
              <w:rPr>
                <w:rFonts w:ascii="Times New Roman" w:hAnsi="Times New Roman"/>
                <w:sz w:val="14"/>
              </w:rPr>
              <w:t>eICU-CRD</w:t>
            </w:r>
          </w:p>
        </w:tc>
        <w:tc>
          <w:tcPr>
            <w:tcW w:type="dxa" w:w="2088"/>
            <w:vAlign w:val="center"/>
            <w:tcMar>
              <w:top w:w="35" w:type="dxa"/>
              <w:start w:w="35" w:type="dxa"/>
              <w:bottom w:w="35" w:type="dxa"/>
              <w:end w:w="35" w:type="dxa"/>
            </w:tcMar>
            <w:tcBorders>
              <w:bottom w:val="single" w:sz="8" w:color="000000" w:space="0"/>
            </w:tcBorders>
          </w:tcPr>
          <w:p>
            <w:pPr>
              <w:spacing w:before="0" w:after="0" w:line="240" w:lineRule="auto"/>
            </w:pPr>
            <w:r>
              <w:rPr>
                <w:rFonts w:ascii="Times New Roman" w:hAnsi="Times New Roman"/>
                <w:sz w:val="14"/>
              </w:rPr>
              <w:t>Database-specific pre-landmark proxy</w:t>
            </w:r>
          </w:p>
        </w:tc>
        <w:tc>
          <w:tcPr>
            <w:tcW w:type="dxa" w:w="2952"/>
            <w:vAlign w:val="center"/>
            <w:tcMar>
              <w:top w:w="35" w:type="dxa"/>
              <w:start w:w="35" w:type="dxa"/>
              <w:bottom w:w="35" w:type="dxa"/>
              <w:end w:w="35" w:type="dxa"/>
            </w:tcMar>
            <w:tcBorders>
              <w:bottom w:val="single" w:sz="8" w:color="000000" w:space="0"/>
            </w:tcBorders>
          </w:tcPr>
          <w:p>
            <w:pPr>
              <w:spacing w:before="0" w:after="0" w:line="240" w:lineRule="auto"/>
            </w:pPr>
            <w:r>
              <w:rPr>
                <w:rFonts w:ascii="Times New Roman" w:hAnsi="Times New Roman"/>
                <w:sz w:val="14"/>
              </w:rPr>
              <w:t>Database-specific pre-landmark definition</w:t>
            </w:r>
          </w:p>
        </w:tc>
        <w:tc>
          <w:tcPr>
            <w:tcW w:type="dxa" w:w="1944"/>
            <w:vAlign w:val="center"/>
            <w:tcMar>
              <w:top w:w="35" w:type="dxa"/>
              <w:start w:w="35" w:type="dxa"/>
              <w:bottom w:w="35" w:type="dxa"/>
              <w:end w:w="35" w:type="dxa"/>
            </w:tcMar>
            <w:tcBorders>
              <w:bottom w:val="single" w:sz="8" w:color="000000" w:space="0"/>
            </w:tcBorders>
          </w:tcPr>
          <w:p>
            <w:pPr>
              <w:spacing w:before="0" w:after="0" w:line="240" w:lineRule="auto"/>
            </w:pPr>
            <w:r>
              <w:rPr>
                <w:rFonts w:ascii="Times New Roman" w:hAnsi="Times New Roman"/>
                <w:sz w:val="14"/>
              </w:rPr>
              <w:t>Pre-landmark sepsis sensitivity</w:t>
            </w:r>
          </w:p>
        </w:tc>
        <w:tc>
          <w:tcPr>
            <w:tcW w:type="dxa" w:w="1440"/>
            <w:vAlign w:val="center"/>
            <w:tcMar>
              <w:top w:w="35" w:type="dxa"/>
              <w:start w:w="35" w:type="dxa"/>
              <w:bottom w:w="35" w:type="dxa"/>
              <w:end w:w="35" w:type="dxa"/>
            </w:tcMar>
            <w:tcBorders>
              <w:bottom w:val="single" w:sz="8" w:color="000000" w:space="0"/>
            </w:tcBorders>
          </w:tcPr>
          <w:p>
            <w:pPr>
              <w:spacing w:before="0" w:after="0" w:line="240" w:lineRule="auto"/>
            </w:pPr>
            <w:r>
              <w:rPr>
                <w:rFonts w:ascii="Times New Roman" w:hAnsi="Times New Roman"/>
                <w:sz w:val="14"/>
              </w:rPr>
              <w:t>2.23 (1.45–3.41)</w:t>
            </w:r>
          </w:p>
        </w:tc>
      </w:tr>
    </w:tbl>
    <w:p>
      <w:pPr>
        <w:spacing w:line="240" w:lineRule="auto" w:after="80"/>
      </w:pPr>
      <w:r>
        <w:rPr>
          <w:rFonts w:ascii="Times New Roman" w:hAnsi="Times New Roman"/>
        </w:rPr>
        <w:t>Sepsis was omitted from the primary model because its timing relative to the 24-h landmark could not be defined consistently across databases. Sensitivity analyses used the available sepsis definition and database-specific pre-landmark proxies.</w:t>
      </w:r>
    </w:p>
    <w:p>
      <w:pPr>
        <w:keepNext/>
        <w:spacing w:before="120"/>
      </w:pPr>
      <w:r>
        <w:rPr>
          <w:rFonts w:ascii="Times New Roman" w:hAnsi="Times New Roman" w:eastAsia="Times New Roman"/>
          <w:b/>
          <w:color w:val="000000"/>
          <w:sz w:val="20"/>
        </w:rPr>
        <w:t>Table S4. Actual-weight sensitivity analyses</w:t>
      </w:r>
    </w:p>
    <w:tbl>
      <w:tblPr>
        <w:tblStyle w:val="TableGrid"/>
        <w:tblW w:type="auto" w:w="0"/>
        <w:tblLayout w:type="autofit"/>
        <w:tblLook w:firstColumn="1" w:firstRow="1" w:lastColumn="0" w:lastRow="0" w:noHBand="0" w:noVBand="1" w:val="04A0"/>
        <w:jc w:val="center"/>
        <w:tblBorders>
          <w:top w:val="nil"/>
          <w:left w:val="nil"/>
          <w:bottom w:val="nil"/>
          <w:right w:val="nil"/>
          <w:insideH w:val="nil"/>
          <w:insideV w:val="nil"/>
        </w:tblBorders>
      </w:tblPr>
      <w:tblGrid>
        <w:gridCol w:w="1872"/>
        <w:gridCol w:w="1872"/>
        <w:gridCol w:w="1872"/>
        <w:gridCol w:w="1872"/>
        <w:gridCol w:w="1872"/>
      </w:tblGrid>
      <w:tr>
        <w:trPr>
          <w:tblHeader w:val="true"/>
        </w:trPr>
        <w:tc>
          <w:tcPr>
            <w:tcW w:type="dxa" w:w="1872"/>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Database</w:t>
            </w:r>
          </w:p>
        </w:tc>
        <w:tc>
          <w:tcPr>
            <w:tcW w:type="dxa" w:w="1872"/>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Analysis</w:t>
            </w:r>
          </w:p>
        </w:tc>
        <w:tc>
          <w:tcPr>
            <w:tcW w:type="dxa" w:w="1872"/>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N/events</w:t>
            </w:r>
          </w:p>
        </w:tc>
        <w:tc>
          <w:tcPr>
            <w:tcW w:type="dxa" w:w="1872"/>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sHR (95% CI)</w:t>
            </w:r>
          </w:p>
        </w:tc>
        <w:tc>
          <w:tcPr>
            <w:tcW w:type="dxa" w:w="1872"/>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Key classification finding</w:t>
            </w:r>
          </w:p>
        </w:tc>
      </w:tr>
      <w:tr>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MIMIC-IV</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Ideal-body-weight primary</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999/251</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1.72 (1.42–2.08)</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Reference analysis</w:t>
            </w:r>
          </w:p>
        </w:tc>
      </w:tr>
      <w:tr>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MIMIC-IV</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Actual weight; original risk set</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995/365</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1.63 (1.41–1.89)</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215/995 (21.6%) changed criterion count</w:t>
            </w:r>
          </w:p>
        </w:tc>
      </w:tr>
      <w:tr>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MIMIC-IV</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Actual weight; re-eligible risk set</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763/240</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1.45 (1.19–1.76)</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232 excluded with actual-weight stage 2/3 at 24 h</w:t>
            </w:r>
          </w:p>
        </w:tc>
      </w:tr>
      <w:tr>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eICU-CRD</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Ideal-body-weight primary</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674/83</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2.28 (1.49–3.48)</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Reference analysis</w:t>
            </w:r>
          </w:p>
        </w:tc>
      </w:tr>
      <w:tr>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eICU-CRD</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Actual weight; original risk set</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661/115</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2.81 (2.01–3.93)</w:t>
            </w:r>
          </w:p>
        </w:tc>
        <w:tc>
          <w:tcPr>
            <w:tcW w:type="dxa" w:w="1872"/>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55/661 (8.3%) changed criterion count</w:t>
            </w:r>
          </w:p>
        </w:tc>
      </w:tr>
      <w:tr>
        <w:tc>
          <w:tcPr>
            <w:tcW w:type="dxa" w:w="1872"/>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eICU-CRD</w:t>
            </w:r>
          </w:p>
        </w:tc>
        <w:tc>
          <w:tcPr>
            <w:tcW w:type="dxa" w:w="1872"/>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Actual weight; re-eligible risk set</w:t>
            </w:r>
          </w:p>
        </w:tc>
        <w:tc>
          <w:tcPr>
            <w:tcW w:type="dxa" w:w="1872"/>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616/98</w:t>
            </w:r>
          </w:p>
        </w:tc>
        <w:tc>
          <w:tcPr>
            <w:tcW w:type="dxa" w:w="1872"/>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2.82 (1.92–4.15)</w:t>
            </w:r>
          </w:p>
        </w:tc>
        <w:tc>
          <w:tcPr>
            <w:tcW w:type="dxa" w:w="1872"/>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45 excluded with actual-weight stage 2/3 at 24 h</w:t>
            </w:r>
          </w:p>
        </w:tc>
      </w:tr>
    </w:tbl>
    <w:p>
      <w:pPr>
        <w:spacing w:line="240" w:lineRule="auto" w:after="80"/>
      </w:pPr>
      <w:r>
        <w:rPr>
          <w:rFonts w:ascii="Times New Roman" w:hAnsi="Times New Roman"/>
        </w:rPr>
        <w:t>Actual weight was unavailable for 4 MIMIC-IV and 13 eICU-CRD patients. Median actual weight was 79.9 kg and 81.0 kg, respectively; median actual-to-ideal body-weight ratios were 1.263 and 1.251. One analysis retained the primary risk set, whereas the second reassessed 24-h eligibility using actual-weight urine-output staging.</w:t>
      </w:r>
    </w:p>
    <w:p>
      <w:r>
        <w:br w:type="page"/>
      </w:r>
    </w:p>
    <w:p>
      <w:pPr>
        <w:keepNext/>
        <w:spacing w:before="120"/>
      </w:pPr>
      <w:r>
        <w:rPr>
          <w:rFonts w:ascii="Times New Roman" w:hAnsi="Times New Roman" w:eastAsia="Times New Roman"/>
          <w:b/>
          <w:color w:val="000000"/>
          <w:sz w:val="20"/>
        </w:rPr>
        <w:t>Table S5. Covariate missingness</w:t>
      </w:r>
    </w:p>
    <w:tbl>
      <w:tblPr>
        <w:tblStyle w:val="TableGrid"/>
        <w:tblW w:type="auto" w:w="0"/>
        <w:tblLayout w:type="autofit"/>
        <w:tblLook w:firstColumn="1" w:firstRow="1" w:lastColumn="0" w:lastRow="0" w:noHBand="0" w:noVBand="1" w:val="04A0"/>
        <w:jc w:val="center"/>
        <w:tblBorders>
          <w:top w:val="nil"/>
          <w:left w:val="nil"/>
          <w:bottom w:val="nil"/>
          <w:right w:val="nil"/>
          <w:insideH w:val="nil"/>
          <w:insideV w:val="nil"/>
        </w:tblBorders>
      </w:tblPr>
      <w:tblGrid>
        <w:gridCol w:w="3120"/>
        <w:gridCol w:w="3120"/>
        <w:gridCol w:w="3120"/>
      </w:tblGrid>
      <w:tr>
        <w:trPr>
          <w:tblHeader w:val="true"/>
        </w:trPr>
        <w:tc>
          <w:tcPr>
            <w:tcW w:type="dxa" w:w="312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Database</w:t>
            </w:r>
          </w:p>
        </w:tc>
        <w:tc>
          <w:tcPr>
            <w:tcW w:type="dxa" w:w="312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Variable</w:t>
            </w:r>
          </w:p>
        </w:tc>
        <w:tc>
          <w:tcPr>
            <w:tcW w:type="dxa" w:w="312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Missing n (%)</w:t>
            </w:r>
          </w:p>
        </w:tc>
      </w:tr>
      <w:tr>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MIMIC-IV</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Early mean arterial pressure</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17 (1.7%)</w:t>
            </w:r>
          </w:p>
        </w:tc>
      </w:tr>
      <w:tr>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MIMIC-IV</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International normalised ratio</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58 (5.8%)</w:t>
            </w:r>
          </w:p>
        </w:tc>
      </w:tr>
      <w:tr>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MIMIC-IV</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Total bilirubin</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184 (18.4%)</w:t>
            </w:r>
          </w:p>
        </w:tc>
      </w:tr>
      <w:tr>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MIMIC-IV</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Glasgow Coma Scale</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26 (2.6%)</w:t>
            </w:r>
          </w:p>
        </w:tc>
      </w:tr>
      <w:tr>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MIMIC-IV</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Platelet count</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2 (0.2%)</w:t>
            </w:r>
          </w:p>
        </w:tc>
      </w:tr>
      <w:tr>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MIMIC-IV</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Serum sodium</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0 (0.0%)</w:t>
            </w:r>
          </w:p>
        </w:tc>
      </w:tr>
      <w:tr>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eICU-CRD</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Early mean arterial pressure</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17 (2.5%)</w:t>
            </w:r>
          </w:p>
        </w:tc>
      </w:tr>
      <w:tr>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eICU-CRD</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International normalised ratio</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133 (19.7%)</w:t>
            </w:r>
          </w:p>
        </w:tc>
      </w:tr>
      <w:tr>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eICU-CRD</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Total bilirubin</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100 (14.8%)</w:t>
            </w:r>
          </w:p>
        </w:tc>
      </w:tr>
      <w:tr>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eICU-CRD</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Glasgow Coma Scale</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26 (3.9%)</w:t>
            </w:r>
          </w:p>
        </w:tc>
      </w:tr>
      <w:tr>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eICU-CRD</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Platelet count</w:t>
            </w:r>
          </w:p>
        </w:tc>
        <w:tc>
          <w:tcPr>
            <w:tcW w:type="dxa" w:w="312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15 (2.2%)</w:t>
            </w:r>
          </w:p>
        </w:tc>
      </w:tr>
      <w:tr>
        <w:tc>
          <w:tcPr>
            <w:tcW w:type="dxa" w:w="3120"/>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eICU-CRD</w:t>
            </w:r>
          </w:p>
        </w:tc>
        <w:tc>
          <w:tcPr>
            <w:tcW w:type="dxa" w:w="3120"/>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Serum sodium</w:t>
            </w:r>
          </w:p>
        </w:tc>
        <w:tc>
          <w:tcPr>
            <w:tcW w:type="dxa" w:w="3120"/>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6"/>
              </w:rPr>
            </w:r>
            <w:r>
              <w:rPr>
                <w:rFonts w:ascii="Times New Roman" w:hAnsi="Times New Roman" w:eastAsia="Times New Roman"/>
                <w:b w:val="0"/>
                <w:color w:val="000000"/>
                <w:sz w:val="16"/>
              </w:rPr>
              <w:t>0 (0.0%)</w:t>
            </w:r>
          </w:p>
        </w:tc>
      </w:tr>
    </w:tbl>
    <w:p>
      <w:pPr>
        <w:spacing w:line="240" w:lineRule="auto" w:after="80"/>
      </w:pPr>
      <w:r>
        <w:rPr>
          <w:rFonts w:ascii="Times New Roman" w:hAnsi="Times New Roman" w:eastAsia="Times New Roman"/>
          <w:color w:val="000000"/>
          <w:sz w:val="18"/>
        </w:rPr>
        <w:t>Multiple imputation was used for the main analyses. Exposure, outcomes, and clustering variables were complete and were not imputed.</w:t>
      </w:r>
    </w:p>
    <w:p>
      <w:pPr>
        <w:keepNext/>
        <w:pageBreakBefore/>
        <w:spacing w:before="120"/>
      </w:pPr>
      <w:r>
        <w:rPr>
          <w:rFonts w:ascii="Times New Roman" w:hAnsi="Times New Roman"/>
        </w:rPr>
        <w:t>Table S6. Model implementation summary</w:t>
      </w:r>
    </w:p>
    <w:tbl>
      <w:tblPr>
        <w:tblStyle w:val="TableGrid"/>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1560"/>
        <w:gridCol w:w="1560"/>
        <w:gridCol w:w="1560"/>
        <w:gridCol w:w="1560"/>
        <w:gridCol w:w="1560"/>
        <w:gridCol w:w="1560"/>
      </w:tblGrid>
      <w:tr>
        <w:trPr>
          <w:tblHeader w:val="true"/>
        </w:trPr>
        <w:tc>
          <w:tcPr>
            <w:tcW w:type="dxa" w:w="1080"/>
            <w:vAlign w:val="center"/>
            <w:tcBorders>
              <w:top w:val="single" w:sz="8" w:color="000000" w:space="0"/>
              <w:bottom w:val="single" w:sz="6" w:color="000000" w:space="0"/>
            </w:tcBorders>
            <w:tcMar>
              <w:top w:w="35" w:type="dxa"/>
              <w:start w:w="35" w:type="dxa"/>
              <w:bottom w:w="35" w:type="dxa"/>
              <w:end w:w="35" w:type="dxa"/>
            </w:tcMar>
          </w:tcPr>
          <w:p>
            <w:pPr>
              <w:spacing w:before="0" w:after="0" w:line="240" w:lineRule="auto"/>
            </w:pPr>
            <w:r>
              <w:rPr>
                <w:rFonts w:ascii="Times New Roman" w:hAnsi="Times New Roman"/>
                <w:b/>
                <w:sz w:val="14"/>
              </w:rPr>
              <w:t>Database</w:t>
            </w:r>
          </w:p>
        </w:tc>
        <w:tc>
          <w:tcPr>
            <w:tcW w:type="dxa" w:w="3024"/>
            <w:vAlign w:val="center"/>
            <w:tcBorders>
              <w:top w:val="single" w:sz="8" w:color="000000" w:space="0"/>
              <w:bottom w:val="single" w:sz="6" w:color="000000" w:space="0"/>
            </w:tcBorders>
            <w:tcMar>
              <w:top w:w="35" w:type="dxa"/>
              <w:start w:w="35" w:type="dxa"/>
              <w:bottom w:w="35" w:type="dxa"/>
              <w:end w:w="35" w:type="dxa"/>
            </w:tcMar>
          </w:tcPr>
          <w:p>
            <w:pPr>
              <w:spacing w:before="0" w:after="0" w:line="240" w:lineRule="auto"/>
            </w:pPr>
            <w:r>
              <w:rPr>
                <w:rFonts w:ascii="Times New Roman" w:hAnsi="Times New Roman"/>
                <w:b/>
                <w:sz w:val="14"/>
              </w:rPr>
              <w:t>Analysis set</w:t>
            </w:r>
          </w:p>
        </w:tc>
        <w:tc>
          <w:tcPr>
            <w:tcW w:type="dxa" w:w="936"/>
            <w:vAlign w:val="center"/>
            <w:tcBorders>
              <w:top w:val="single" w:sz="8" w:color="000000" w:space="0"/>
              <w:bottom w:val="single" w:sz="6" w:color="000000" w:space="0"/>
            </w:tcBorders>
            <w:tcMar>
              <w:top w:w="35" w:type="dxa"/>
              <w:start w:w="35" w:type="dxa"/>
              <w:bottom w:w="35" w:type="dxa"/>
              <w:end w:w="35" w:type="dxa"/>
            </w:tcMar>
          </w:tcPr>
          <w:p>
            <w:pPr>
              <w:spacing w:before="0" w:after="0" w:line="240" w:lineRule="auto"/>
            </w:pPr>
            <w:r>
              <w:rPr>
                <w:rFonts w:ascii="Times New Roman" w:hAnsi="Times New Roman"/>
                <w:b/>
                <w:sz w:val="14"/>
              </w:rPr>
              <w:t>Imputations</w:t>
            </w:r>
          </w:p>
        </w:tc>
        <w:tc>
          <w:tcPr>
            <w:tcW w:type="dxa" w:w="1296"/>
            <w:vAlign w:val="center"/>
            <w:tcBorders>
              <w:top w:val="single" w:sz="8" w:color="000000" w:space="0"/>
              <w:bottom w:val="single" w:sz="6" w:color="000000" w:space="0"/>
            </w:tcBorders>
            <w:tcMar>
              <w:top w:w="35" w:type="dxa"/>
              <w:start w:w="35" w:type="dxa"/>
              <w:bottom w:w="35" w:type="dxa"/>
              <w:end w:w="35" w:type="dxa"/>
            </w:tcMar>
          </w:tcPr>
          <w:p>
            <w:pPr>
              <w:spacing w:before="0" w:after="0" w:line="240" w:lineRule="auto"/>
            </w:pPr>
            <w:r>
              <w:rPr>
                <w:rFonts w:ascii="Times New Roman" w:hAnsi="Times New Roman"/>
                <w:b/>
                <w:sz w:val="14"/>
              </w:rPr>
              <w:t>Variance specification</w:t>
            </w:r>
          </w:p>
        </w:tc>
        <w:tc>
          <w:tcPr>
            <w:tcW w:type="dxa" w:w="1080"/>
            <w:vAlign w:val="center"/>
            <w:tcBorders>
              <w:top w:val="single" w:sz="8" w:color="000000" w:space="0"/>
              <w:bottom w:val="single" w:sz="6" w:color="000000" w:space="0"/>
            </w:tcBorders>
            <w:tcMar>
              <w:top w:w="35" w:type="dxa"/>
              <w:start w:w="35" w:type="dxa"/>
              <w:bottom w:w="35" w:type="dxa"/>
              <w:end w:w="35" w:type="dxa"/>
            </w:tcMar>
          </w:tcPr>
          <w:p>
            <w:pPr>
              <w:spacing w:before="0" w:after="0" w:line="240" w:lineRule="auto"/>
            </w:pPr>
            <w:r>
              <w:rPr>
                <w:rFonts w:ascii="Times New Roman" w:hAnsi="Times New Roman"/>
                <w:b/>
                <w:sz w:val="14"/>
              </w:rPr>
              <w:t>Clustering level</w:t>
            </w:r>
          </w:p>
        </w:tc>
        <w:tc>
          <w:tcPr>
            <w:tcW w:type="dxa" w:w="1440"/>
            <w:vAlign w:val="center"/>
            <w:tcBorders>
              <w:top w:val="single" w:sz="8" w:color="000000" w:space="0"/>
              <w:bottom w:val="single" w:sz="6" w:color="000000" w:space="0"/>
            </w:tcBorders>
            <w:tcMar>
              <w:top w:w="35" w:type="dxa"/>
              <w:start w:w="35" w:type="dxa"/>
              <w:bottom w:w="35" w:type="dxa"/>
              <w:end w:w="35" w:type="dxa"/>
            </w:tcMar>
          </w:tcPr>
          <w:p>
            <w:pPr>
              <w:spacing w:before="0" w:after="0" w:line="240" w:lineRule="auto"/>
            </w:pPr>
            <w:r>
              <w:rPr>
                <w:rFonts w:ascii="Times New Roman" w:hAnsi="Times New Roman"/>
                <w:b/>
                <w:sz w:val="14"/>
              </w:rPr>
              <w:t>Notes</w:t>
            </w:r>
          </w:p>
        </w:tc>
      </w:tr>
      <w:tr>
        <w:tc>
          <w:tcPr>
            <w:tcW w:type="dxa" w:w="1080"/>
            <w:vAlign w:val="center"/>
            <w:tcMar>
              <w:top w:w="35" w:type="dxa"/>
              <w:start w:w="35" w:type="dxa"/>
              <w:bottom w:w="35" w:type="dxa"/>
              <w:end w:w="35" w:type="dxa"/>
            </w:tcMar>
            <w:tcBorders>
              <w:bottom w:val="single" w:sz="8" w:color="000000" w:space="0"/>
            </w:tcBorders>
          </w:tcPr>
          <w:p>
            <w:pPr>
              <w:spacing w:before="0" w:after="0" w:line="240" w:lineRule="auto"/>
            </w:pPr>
            <w:r>
              <w:rPr>
                <w:rFonts w:ascii="Times New Roman" w:hAnsi="Times New Roman"/>
                <w:sz w:val="14"/>
              </w:rPr>
              <w:t>MIMIC-IV</w:t>
            </w:r>
          </w:p>
        </w:tc>
        <w:tc>
          <w:tcPr>
            <w:tcW w:type="dxa" w:w="3024"/>
            <w:vAlign w:val="center"/>
            <w:tcMar>
              <w:top w:w="35" w:type="dxa"/>
              <w:start w:w="35" w:type="dxa"/>
              <w:bottom w:w="35" w:type="dxa"/>
              <w:end w:w="35" w:type="dxa"/>
            </w:tcMar>
            <w:tcBorders>
              <w:bottom w:val="single" w:sz="8" w:color="000000" w:space="0"/>
            </w:tcBorders>
          </w:tcPr>
          <w:p>
            <w:pPr>
              <w:spacing w:before="0" w:after="0" w:line="240" w:lineRule="auto"/>
            </w:pPr>
            <w:r>
              <w:rPr>
                <w:rFonts w:ascii="Times New Roman" w:hAnsi="Times New Roman"/>
                <w:sz w:val="14"/>
              </w:rPr>
              <w:t>Primary, extended, four-phenotype, and actual-weight analyses</w:t>
            </w:r>
          </w:p>
        </w:tc>
        <w:tc>
          <w:tcPr>
            <w:tcW w:type="dxa" w:w="936"/>
            <w:vAlign w:val="center"/>
            <w:tcMar>
              <w:top w:w="35" w:type="dxa"/>
              <w:start w:w="35" w:type="dxa"/>
              <w:bottom w:w="35" w:type="dxa"/>
              <w:end w:w="35" w:type="dxa"/>
            </w:tcMar>
            <w:tcBorders>
              <w:bottom w:val="single" w:sz="8" w:color="000000" w:space="0"/>
            </w:tcBorders>
          </w:tcPr>
          <w:p>
            <w:pPr>
              <w:spacing w:before="0" w:after="0" w:line="240" w:lineRule="auto"/>
            </w:pPr>
            <w:r>
              <w:rPr>
                <w:rFonts w:ascii="Times New Roman" w:hAnsi="Times New Roman"/>
                <w:sz w:val="14"/>
              </w:rPr>
              <w:t>40</w:t>
            </w:r>
          </w:p>
        </w:tc>
        <w:tc>
          <w:tcPr>
            <w:tcW w:type="dxa" w:w="1296"/>
            <w:vAlign w:val="center"/>
            <w:tcMar>
              <w:top w:w="35" w:type="dxa"/>
              <w:start w:w="35" w:type="dxa"/>
              <w:bottom w:w="35" w:type="dxa"/>
              <w:end w:w="35" w:type="dxa"/>
            </w:tcMar>
            <w:tcBorders>
              <w:bottom w:val="single" w:sz="8" w:color="000000" w:space="0"/>
            </w:tcBorders>
          </w:tcPr>
          <w:p>
            <w:pPr>
              <w:spacing w:before="0" w:after="0" w:line="240" w:lineRule="auto"/>
            </w:pPr>
            <w:r>
              <w:rPr>
                <w:rFonts w:ascii="Times New Roman" w:hAnsi="Times New Roman"/>
                <w:sz w:val="14"/>
              </w:rPr>
              <w:t>Robust</w:t>
            </w:r>
          </w:p>
        </w:tc>
        <w:tc>
          <w:tcPr>
            <w:tcW w:type="dxa" w:w="1080"/>
            <w:vAlign w:val="center"/>
            <w:tcMar>
              <w:top w:w="35" w:type="dxa"/>
              <w:start w:w="35" w:type="dxa"/>
              <w:bottom w:w="35" w:type="dxa"/>
              <w:end w:w="35" w:type="dxa"/>
            </w:tcMar>
            <w:tcBorders>
              <w:bottom w:val="single" w:sz="8" w:color="000000" w:space="0"/>
            </w:tcBorders>
          </w:tcPr>
          <w:p>
            <w:pPr>
              <w:spacing w:before="0" w:after="0" w:line="240" w:lineRule="auto"/>
            </w:pPr>
            <w:r>
              <w:rPr>
                <w:rFonts w:ascii="Times New Roman" w:hAnsi="Times New Roman"/>
                <w:sz w:val="14"/>
              </w:rPr>
              <w:t>Patient</w:t>
            </w:r>
          </w:p>
        </w:tc>
        <w:tc>
          <w:tcPr>
            <w:tcW w:type="dxa" w:w="1440"/>
            <w:vAlign w:val="center"/>
            <w:tcMar>
              <w:top w:w="35" w:type="dxa"/>
              <w:start w:w="35" w:type="dxa"/>
              <w:bottom w:w="35" w:type="dxa"/>
              <w:end w:w="35" w:type="dxa"/>
            </w:tcMar>
            <w:tcBorders>
              <w:bottom w:val="single" w:sz="8" w:color="000000" w:space="0"/>
            </w:tcBorders>
          </w:tcPr>
          <w:p>
            <w:pPr>
              <w:spacing w:before="0" w:after="0" w:line="240" w:lineRule="auto"/>
            </w:pPr>
            <w:r>
              <w:rPr>
                <w:rFonts w:ascii="Times New Roman" w:hAnsi="Times New Roman"/>
                <w:sz w:val="14"/>
              </w:rPr>
              <w:t>Fine–Gray models</w:t>
            </w:r>
          </w:p>
        </w:tc>
      </w:tr>
      <w:tr>
        <w:tc>
          <w:tcPr>
            <w:tcW w:type="dxa" w:w="1080"/>
            <w:vAlign w:val="center"/>
            <w:tcMar>
              <w:top w:w="35" w:type="dxa"/>
              <w:start w:w="35" w:type="dxa"/>
              <w:bottom w:w="35" w:type="dxa"/>
              <w:end w:w="35" w:type="dxa"/>
            </w:tcMar>
          </w:tcPr>
          <w:p>
            <w:pPr>
              <w:spacing w:before="0" w:after="0" w:line="240" w:lineRule="auto"/>
            </w:pPr>
            <w:r>
              <w:rPr>
                <w:rFonts w:ascii="Times New Roman" w:hAnsi="Times New Roman"/>
                <w:sz w:val="14"/>
              </w:rPr>
              <w:t>eICU-CRD</w:t>
            </w:r>
          </w:p>
        </w:tc>
        <w:tc>
          <w:tcPr>
            <w:tcW w:type="dxa" w:w="3024"/>
            <w:vAlign w:val="center"/>
            <w:tcMar>
              <w:top w:w="35" w:type="dxa"/>
              <w:start w:w="35" w:type="dxa"/>
              <w:bottom w:w="35" w:type="dxa"/>
              <w:end w:w="35" w:type="dxa"/>
            </w:tcMar>
          </w:tcPr>
          <w:p>
            <w:pPr>
              <w:spacing w:before="0" w:after="0" w:line="240" w:lineRule="auto"/>
            </w:pPr>
            <w:r>
              <w:rPr>
                <w:rFonts w:ascii="Times New Roman" w:hAnsi="Times New Roman"/>
                <w:sz w:val="14"/>
              </w:rPr>
              <w:t>Primary, extended, cirrhosis-definition, hospital-coverage, and actual-weight analyses</w:t>
            </w:r>
          </w:p>
        </w:tc>
        <w:tc>
          <w:tcPr>
            <w:tcW w:type="dxa" w:w="936"/>
            <w:vAlign w:val="center"/>
            <w:tcMar>
              <w:top w:w="35" w:type="dxa"/>
              <w:start w:w="35" w:type="dxa"/>
              <w:bottom w:w="35" w:type="dxa"/>
              <w:end w:w="35" w:type="dxa"/>
            </w:tcMar>
          </w:tcPr>
          <w:p>
            <w:pPr>
              <w:spacing w:before="0" w:after="0" w:line="240" w:lineRule="auto"/>
            </w:pPr>
            <w:r>
              <w:rPr>
                <w:rFonts w:ascii="Times New Roman" w:hAnsi="Times New Roman"/>
                <w:sz w:val="14"/>
              </w:rPr>
              <w:t>40</w:t>
            </w:r>
          </w:p>
        </w:tc>
        <w:tc>
          <w:tcPr>
            <w:tcW w:type="dxa" w:w="1296"/>
            <w:vAlign w:val="center"/>
            <w:tcMar>
              <w:top w:w="35" w:type="dxa"/>
              <w:start w:w="35" w:type="dxa"/>
              <w:bottom w:w="35" w:type="dxa"/>
              <w:end w:w="35" w:type="dxa"/>
            </w:tcMar>
          </w:tcPr>
          <w:p>
            <w:pPr>
              <w:spacing w:before="0" w:after="0" w:line="240" w:lineRule="auto"/>
            </w:pPr>
            <w:r>
              <w:rPr>
                <w:rFonts w:ascii="Times New Roman" w:hAnsi="Times New Roman"/>
                <w:sz w:val="14"/>
              </w:rPr>
              <w:t>Robust</w:t>
            </w:r>
          </w:p>
        </w:tc>
        <w:tc>
          <w:tcPr>
            <w:tcW w:type="dxa" w:w="1080"/>
            <w:vAlign w:val="center"/>
            <w:tcMar>
              <w:top w:w="35" w:type="dxa"/>
              <w:start w:w="35" w:type="dxa"/>
              <w:bottom w:w="35" w:type="dxa"/>
              <w:end w:w="35" w:type="dxa"/>
            </w:tcMar>
          </w:tcPr>
          <w:p>
            <w:pPr>
              <w:spacing w:before="0" w:after="0" w:line="240" w:lineRule="auto"/>
            </w:pPr>
            <w:r>
              <w:rPr>
                <w:rFonts w:ascii="Times New Roman" w:hAnsi="Times New Roman"/>
                <w:sz w:val="14"/>
              </w:rPr>
              <w:t>Hospital</w:t>
            </w:r>
          </w:p>
        </w:tc>
        <w:tc>
          <w:tcPr>
            <w:tcW w:type="dxa" w:w="1440"/>
            <w:vAlign w:val="center"/>
            <w:tcMar>
              <w:top w:w="35" w:type="dxa"/>
              <w:start w:w="35" w:type="dxa"/>
              <w:bottom w:w="35" w:type="dxa"/>
              <w:end w:w="35" w:type="dxa"/>
            </w:tcMar>
          </w:tcPr>
          <w:p>
            <w:pPr>
              <w:spacing w:before="0" w:after="0" w:line="240" w:lineRule="auto"/>
            </w:pPr>
            <w:r>
              <w:rPr>
                <w:rFonts w:ascii="Times New Roman" w:hAnsi="Times New Roman"/>
                <w:sz w:val="14"/>
              </w:rPr>
              <w:t>Fine–Gray models</w:t>
            </w:r>
          </w:p>
        </w:tc>
      </w:tr>
    </w:tbl>
    <w:p>
      <w:pPr>
        <w:spacing w:line="240" w:lineRule="auto" w:after="80"/>
      </w:pPr>
      <w:r>
        <w:rPr>
          <w:rFonts w:ascii="Times New Roman" w:hAnsi="Times New Roman"/>
        </w:rPr>
        <w:t>Variance estimation was prespecified by database: patient-level robust variance in MIMIC-IV and hospital-clustered robust variance in eICU-CRD. Multiple imputation used 40 datasets for the imputed analyses.</w:t>
      </w:r>
    </w:p>
    <w:p>
      <w:pPr>
        <w:keepNext/>
        <w:pageBreakBefore/>
        <w:spacing w:before="120"/>
      </w:pPr>
      <w:r>
        <w:rPr>
          <w:rFonts w:ascii="Times New Roman" w:hAnsi="Times New Roman"/>
        </w:rPr>
        <w:t>Table S7. Assessment of proportional subdistribution hazards</w:t>
      </w:r>
    </w:p>
    <w:tbl>
      <w:tblPr>
        <w:tblStyle w:val="TableGrid"/>
        <w:tblW w:type="auto" w:w="0"/>
        <w:tblLayout w:type="fixed"/>
        <w:tblLook w:firstColumn="1" w:firstRow="1" w:lastColumn="0" w:lastRow="0" w:noHBand="0" w:noVBand="1" w:val="04A0"/>
        <w:jc w:val="center"/>
        <w:tblBorders>
          <w:top w:val="nil"/>
          <w:left w:val="nil"/>
          <w:bottom w:val="nil"/>
          <w:right w:val="nil"/>
          <w:insideH w:val="nil"/>
          <w:insideV w:val="nil"/>
        </w:tblBorders>
      </w:tblPr>
      <w:tblGrid>
        <w:gridCol w:w="1872"/>
        <w:gridCol w:w="1872"/>
        <w:gridCol w:w="1872"/>
        <w:gridCol w:w="1872"/>
        <w:gridCol w:w="1872"/>
      </w:tblGrid>
      <w:tr>
        <w:trPr>
          <w:tblHeader w:val="true"/>
        </w:trPr>
        <w:tc>
          <w:tcPr>
            <w:tcW w:type="dxa" w:w="108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4"/>
              </w:rPr>
            </w:r>
            <w:r>
              <w:rPr>
                <w:rFonts w:ascii="Times New Roman" w:hAnsi="Times New Roman" w:eastAsia="Times New Roman"/>
                <w:b/>
                <w:color w:val="000000"/>
                <w:sz w:val="14"/>
              </w:rPr>
              <w:t>Database</w:t>
            </w:r>
          </w:p>
        </w:tc>
        <w:tc>
          <w:tcPr>
            <w:tcW w:type="dxa" w:w="1512"/>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4"/>
              </w:rPr>
            </w:r>
            <w:r>
              <w:rPr>
                <w:rFonts w:ascii="Times New Roman" w:hAnsi="Times New Roman" w:eastAsia="Times New Roman"/>
                <w:b/>
                <w:color w:val="000000"/>
                <w:sz w:val="14"/>
              </w:rPr>
              <w:t>Term</w:t>
            </w:r>
          </w:p>
        </w:tc>
        <w:tc>
          <w:tcPr>
            <w:tcW w:type="dxa" w:w="1656"/>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4"/>
              </w:rPr>
            </w:r>
            <w:r>
              <w:rPr>
                <w:rFonts w:ascii="Times New Roman" w:hAnsi="Times New Roman" w:eastAsia="Times New Roman"/>
                <w:b/>
                <w:color w:val="000000"/>
                <w:sz w:val="14"/>
              </w:rPr>
              <w:t>Median screening P</w:t>
            </w:r>
          </w:p>
        </w:tc>
        <w:tc>
          <w:tcPr>
            <w:tcW w:type="dxa" w:w="180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4"/>
              </w:rPr>
            </w:r>
            <w:r>
              <w:rPr>
                <w:rFonts w:ascii="Times New Roman" w:hAnsi="Times New Roman" w:eastAsia="Times New Roman"/>
                <w:b/>
                <w:color w:val="000000"/>
                <w:sz w:val="14"/>
              </w:rPr>
              <w:t>Imputations with P&lt;0.05</w:t>
            </w:r>
          </w:p>
        </w:tc>
        <w:tc>
          <w:tcPr>
            <w:tcW w:type="dxa" w:w="2880"/>
            <w:vAlign w:val="center"/>
            <w:tcBorders>
              <w:top w:val="single" w:sz="8" w:color="000000" w:space="0"/>
              <w:bottom w:val="single" w:sz="6" w:color="000000" w:space="0"/>
            </w:tcBorders>
            <w:tcMar>
              <w:top w:w="35" w:type="dxa"/>
              <w:start w:w="35" w:type="dxa"/>
              <w:bottom w:w="35" w:type="dxa"/>
              <w:end w:w="35" w:type="dxa"/>
            </w:tcMar>
          </w:tcPr>
          <w:p>
            <w:pPr>
              <w:spacing w:after="0" w:line="240" w:lineRule="auto" w:before="0"/>
            </w:pPr>
            <w:r>
              <w:rPr>
                <w:rFonts w:ascii="Times New Roman" w:hAnsi="Times New Roman"/>
                <w:b/>
                <w:sz w:val="14"/>
              </w:rPr>
            </w:r>
            <w:r>
              <w:rPr>
                <w:rFonts w:ascii="Times New Roman" w:hAnsi="Times New Roman" w:eastAsia="Times New Roman"/>
                <w:b/>
                <w:color w:val="000000"/>
                <w:sz w:val="14"/>
              </w:rPr>
              <w:t>Interpretation</w:t>
            </w:r>
          </w:p>
        </w:tc>
      </w:tr>
      <w:tr>
        <w:tc>
          <w:tcPr>
            <w:tcW w:type="dxa" w:w="1080"/>
            <w:vAlign w:val="center"/>
            <w:tcMar>
              <w:top w:w="35" w:type="dxa"/>
              <w:start w:w="35" w:type="dxa"/>
              <w:bottom w:w="35" w:type="dxa"/>
              <w:end w:w="35" w:type="dxa"/>
            </w:tcMar>
          </w:tcPr>
          <w:p>
            <w:pPr>
              <w:spacing w:after="0" w:line="240" w:lineRule="auto" w:before="0"/>
            </w:pPr>
            <w:r>
              <w:rPr>
                <w:rFonts w:ascii="Times New Roman" w:hAnsi="Times New Roman"/>
                <w:sz w:val="14"/>
              </w:rPr>
            </w:r>
            <w:r>
              <w:rPr>
                <w:rFonts w:ascii="Times New Roman" w:hAnsi="Times New Roman" w:eastAsia="Times New Roman"/>
                <w:b w:val="0"/>
                <w:color w:val="000000"/>
                <w:sz w:val="14"/>
              </w:rPr>
              <w:t>MIMIC-IV</w:t>
            </w:r>
          </w:p>
        </w:tc>
        <w:tc>
          <w:tcPr>
            <w:tcW w:type="dxa" w:w="1512"/>
            <w:vAlign w:val="center"/>
            <w:tcMar>
              <w:top w:w="35" w:type="dxa"/>
              <w:start w:w="35" w:type="dxa"/>
              <w:bottom w:w="35" w:type="dxa"/>
              <w:end w:w="35" w:type="dxa"/>
            </w:tcMar>
          </w:tcPr>
          <w:p>
            <w:pPr>
              <w:spacing w:after="0" w:line="240" w:lineRule="auto" w:before="0"/>
            </w:pPr>
            <w:r>
              <w:rPr>
                <w:rFonts w:ascii="Times New Roman" w:hAnsi="Times New Roman"/>
                <w:sz w:val="14"/>
              </w:rPr>
            </w:r>
            <w:r>
              <w:rPr>
                <w:rFonts w:ascii="Times New Roman" w:hAnsi="Times New Roman" w:eastAsia="Times New Roman"/>
                <w:b w:val="0"/>
                <w:color w:val="000000"/>
                <w:sz w:val="14"/>
              </w:rPr>
              <w:t>Criterion count</w:t>
            </w:r>
          </w:p>
        </w:tc>
        <w:tc>
          <w:tcPr>
            <w:tcW w:type="dxa" w:w="1656"/>
            <w:vAlign w:val="center"/>
            <w:tcMar>
              <w:top w:w="35" w:type="dxa"/>
              <w:start w:w="35" w:type="dxa"/>
              <w:bottom w:w="35" w:type="dxa"/>
              <w:end w:w="35" w:type="dxa"/>
            </w:tcMar>
          </w:tcPr>
          <w:p>
            <w:pPr>
              <w:spacing w:after="0" w:line="240" w:lineRule="auto" w:before="0"/>
            </w:pPr>
            <w:r>
              <w:rPr>
                <w:rFonts w:ascii="Times New Roman" w:hAnsi="Times New Roman"/>
                <w:sz w:val="14"/>
              </w:rPr>
            </w:r>
            <w:r>
              <w:rPr>
                <w:rFonts w:ascii="Times New Roman" w:hAnsi="Times New Roman" w:eastAsia="Times New Roman"/>
                <w:b w:val="0"/>
                <w:color w:val="000000"/>
                <w:sz w:val="14"/>
              </w:rPr>
              <w:t>0.0018</w:t>
            </w:r>
          </w:p>
        </w:tc>
        <w:tc>
          <w:tcPr>
            <w:tcW w:type="dxa" w:w="1800"/>
            <w:vAlign w:val="center"/>
            <w:tcMar>
              <w:top w:w="35" w:type="dxa"/>
              <w:start w:w="35" w:type="dxa"/>
              <w:bottom w:w="35" w:type="dxa"/>
              <w:end w:w="35" w:type="dxa"/>
            </w:tcMar>
          </w:tcPr>
          <w:p>
            <w:pPr>
              <w:spacing w:after="0" w:line="240" w:lineRule="auto" w:before="0"/>
            </w:pPr>
            <w:r>
              <w:rPr>
                <w:rFonts w:ascii="Times New Roman" w:hAnsi="Times New Roman"/>
                <w:sz w:val="14"/>
              </w:rPr>
            </w:r>
            <w:r>
              <w:rPr>
                <w:rFonts w:ascii="Times New Roman" w:hAnsi="Times New Roman" w:eastAsia="Times New Roman"/>
                <w:b w:val="0"/>
                <w:color w:val="000000"/>
                <w:sz w:val="14"/>
              </w:rPr>
              <w:t>40/40</w:t>
            </w:r>
          </w:p>
        </w:tc>
        <w:tc>
          <w:tcPr>
            <w:tcW w:type="dxa" w:w="2880"/>
            <w:vAlign w:val="center"/>
            <w:tcMar>
              <w:top w:w="35" w:type="dxa"/>
              <w:start w:w="35" w:type="dxa"/>
              <w:bottom w:w="35" w:type="dxa"/>
              <w:end w:w="35" w:type="dxa"/>
            </w:tcMar>
          </w:tcPr>
          <w:p>
            <w:pPr>
              <w:spacing w:before="0" w:after="0" w:line="240" w:lineRule="auto"/>
            </w:pPr>
            <w:r>
              <w:rPr>
                <w:rFonts w:ascii="Times New Roman" w:hAnsi="Times New Roman"/>
                <w:sz w:val="14"/>
              </w:rPr>
              <w:t>Evidence against proportionality; piecewise analysis reported</w:t>
            </w:r>
          </w:p>
        </w:tc>
      </w:tr>
      <w:tr>
        <w:tc>
          <w:tcPr>
            <w:tcW w:type="dxa" w:w="1080"/>
            <w:vAlign w:val="center"/>
            <w:tcMar>
              <w:top w:w="35" w:type="dxa"/>
              <w:start w:w="35" w:type="dxa"/>
              <w:bottom w:w="35" w:type="dxa"/>
              <w:end w:w="35" w:type="dxa"/>
            </w:tcMar>
          </w:tcPr>
          <w:p>
            <w:pPr>
              <w:spacing w:after="0" w:line="240" w:lineRule="auto" w:before="0"/>
            </w:pPr>
            <w:r>
              <w:rPr>
                <w:rFonts w:ascii="Times New Roman" w:hAnsi="Times New Roman"/>
                <w:sz w:val="14"/>
              </w:rPr>
            </w:r>
            <w:r>
              <w:rPr>
                <w:rFonts w:ascii="Times New Roman" w:hAnsi="Times New Roman" w:eastAsia="Times New Roman"/>
                <w:b w:val="0"/>
                <w:color w:val="000000"/>
                <w:sz w:val="14"/>
              </w:rPr>
              <w:t>MIMIC-IV</w:t>
            </w:r>
          </w:p>
        </w:tc>
        <w:tc>
          <w:tcPr>
            <w:tcW w:type="dxa" w:w="1512"/>
            <w:vAlign w:val="center"/>
            <w:tcMar>
              <w:top w:w="35" w:type="dxa"/>
              <w:start w:w="35" w:type="dxa"/>
              <w:bottom w:w="35" w:type="dxa"/>
              <w:end w:w="35" w:type="dxa"/>
            </w:tcMar>
          </w:tcPr>
          <w:p>
            <w:pPr>
              <w:spacing w:after="0" w:line="240" w:lineRule="auto" w:before="0"/>
            </w:pPr>
            <w:r>
              <w:rPr>
                <w:rFonts w:ascii="Times New Roman" w:hAnsi="Times New Roman"/>
                <w:sz w:val="14"/>
              </w:rPr>
            </w:r>
            <w:r>
              <w:rPr>
                <w:rFonts w:ascii="Times New Roman" w:hAnsi="Times New Roman" w:eastAsia="Times New Roman"/>
                <w:b w:val="0"/>
                <w:color w:val="000000"/>
                <w:sz w:val="14"/>
              </w:rPr>
              <w:t>Global</w:t>
            </w:r>
          </w:p>
        </w:tc>
        <w:tc>
          <w:tcPr>
            <w:tcW w:type="dxa" w:w="1656"/>
            <w:vAlign w:val="center"/>
            <w:tcMar>
              <w:top w:w="35" w:type="dxa"/>
              <w:start w:w="35" w:type="dxa"/>
              <w:bottom w:w="35" w:type="dxa"/>
              <w:end w:w="35" w:type="dxa"/>
            </w:tcMar>
          </w:tcPr>
          <w:p>
            <w:pPr>
              <w:spacing w:after="0" w:line="240" w:lineRule="auto" w:before="0"/>
            </w:pPr>
            <w:r>
              <w:rPr>
                <w:rFonts w:ascii="Times New Roman" w:hAnsi="Times New Roman"/>
                <w:sz w:val="14"/>
              </w:rPr>
            </w:r>
            <w:r>
              <w:rPr>
                <w:rFonts w:ascii="Times New Roman" w:hAnsi="Times New Roman" w:eastAsia="Times New Roman"/>
                <w:b w:val="0"/>
                <w:color w:val="000000"/>
                <w:sz w:val="14"/>
              </w:rPr>
              <w:t>0.0045</w:t>
            </w:r>
          </w:p>
        </w:tc>
        <w:tc>
          <w:tcPr>
            <w:tcW w:type="dxa" w:w="1800"/>
            <w:vAlign w:val="center"/>
            <w:tcMar>
              <w:top w:w="35" w:type="dxa"/>
              <w:start w:w="35" w:type="dxa"/>
              <w:bottom w:w="35" w:type="dxa"/>
              <w:end w:w="35" w:type="dxa"/>
            </w:tcMar>
          </w:tcPr>
          <w:p>
            <w:pPr>
              <w:spacing w:after="0" w:line="240" w:lineRule="auto" w:before="0"/>
            </w:pPr>
            <w:r>
              <w:rPr>
                <w:rFonts w:ascii="Times New Roman" w:hAnsi="Times New Roman"/>
                <w:sz w:val="14"/>
              </w:rPr>
            </w:r>
            <w:r>
              <w:rPr>
                <w:rFonts w:ascii="Times New Roman" w:hAnsi="Times New Roman" w:eastAsia="Times New Roman"/>
                <w:b w:val="0"/>
                <w:color w:val="000000"/>
                <w:sz w:val="14"/>
              </w:rPr>
              <w:t>40/40</w:t>
            </w:r>
          </w:p>
        </w:tc>
        <w:tc>
          <w:tcPr>
            <w:tcW w:type="dxa" w:w="2880"/>
            <w:vAlign w:val="center"/>
            <w:tcMar>
              <w:top w:w="35" w:type="dxa"/>
              <w:start w:w="35" w:type="dxa"/>
              <w:bottom w:w="35" w:type="dxa"/>
              <w:end w:w="35" w:type="dxa"/>
            </w:tcMar>
          </w:tcPr>
          <w:p>
            <w:pPr>
              <w:spacing w:before="0" w:after="0" w:line="240" w:lineRule="auto"/>
            </w:pPr>
            <w:r>
              <w:rPr>
                <w:rFonts w:ascii="Times New Roman" w:hAnsi="Times New Roman"/>
                <w:sz w:val="14"/>
              </w:rPr>
              <w:t>Evidence against proportionality</w:t>
            </w:r>
          </w:p>
        </w:tc>
      </w:tr>
      <w:tr>
        <w:tc>
          <w:tcPr>
            <w:tcW w:type="dxa" w:w="1080"/>
            <w:vAlign w:val="center"/>
            <w:tcMar>
              <w:top w:w="35" w:type="dxa"/>
              <w:start w:w="35" w:type="dxa"/>
              <w:bottom w:w="35" w:type="dxa"/>
              <w:end w:w="35" w:type="dxa"/>
            </w:tcMar>
          </w:tcPr>
          <w:p>
            <w:pPr>
              <w:spacing w:after="0" w:line="240" w:lineRule="auto" w:before="0"/>
            </w:pPr>
            <w:r>
              <w:rPr>
                <w:rFonts w:ascii="Times New Roman" w:hAnsi="Times New Roman"/>
                <w:sz w:val="14"/>
              </w:rPr>
            </w:r>
            <w:r>
              <w:rPr>
                <w:rFonts w:ascii="Times New Roman" w:hAnsi="Times New Roman" w:eastAsia="Times New Roman"/>
                <w:b w:val="0"/>
                <w:color w:val="000000"/>
                <w:sz w:val="14"/>
              </w:rPr>
              <w:t>eICU-CRD</w:t>
            </w:r>
          </w:p>
        </w:tc>
        <w:tc>
          <w:tcPr>
            <w:tcW w:type="dxa" w:w="1512"/>
            <w:vAlign w:val="center"/>
            <w:tcMar>
              <w:top w:w="35" w:type="dxa"/>
              <w:start w:w="35" w:type="dxa"/>
              <w:bottom w:w="35" w:type="dxa"/>
              <w:end w:w="35" w:type="dxa"/>
            </w:tcMar>
          </w:tcPr>
          <w:p>
            <w:pPr>
              <w:spacing w:after="0" w:line="240" w:lineRule="auto" w:before="0"/>
            </w:pPr>
            <w:r>
              <w:rPr>
                <w:rFonts w:ascii="Times New Roman" w:hAnsi="Times New Roman"/>
                <w:sz w:val="14"/>
              </w:rPr>
            </w:r>
            <w:r>
              <w:rPr>
                <w:rFonts w:ascii="Times New Roman" w:hAnsi="Times New Roman" w:eastAsia="Times New Roman"/>
                <w:b w:val="0"/>
                <w:color w:val="000000"/>
                <w:sz w:val="14"/>
              </w:rPr>
              <w:t>Criterion count</w:t>
            </w:r>
          </w:p>
        </w:tc>
        <w:tc>
          <w:tcPr>
            <w:tcW w:type="dxa" w:w="1656"/>
            <w:vAlign w:val="center"/>
            <w:tcMar>
              <w:top w:w="35" w:type="dxa"/>
              <w:start w:w="35" w:type="dxa"/>
              <w:bottom w:w="35" w:type="dxa"/>
              <w:end w:w="35" w:type="dxa"/>
            </w:tcMar>
          </w:tcPr>
          <w:p>
            <w:pPr>
              <w:spacing w:after="0" w:line="240" w:lineRule="auto" w:before="0"/>
            </w:pPr>
            <w:r>
              <w:rPr>
                <w:rFonts w:ascii="Times New Roman" w:hAnsi="Times New Roman"/>
                <w:sz w:val="14"/>
              </w:rPr>
            </w:r>
            <w:r>
              <w:rPr>
                <w:rFonts w:ascii="Times New Roman" w:hAnsi="Times New Roman" w:eastAsia="Times New Roman"/>
                <w:b w:val="0"/>
                <w:color w:val="000000"/>
                <w:sz w:val="14"/>
              </w:rPr>
              <w:t>0.134</w:t>
            </w:r>
          </w:p>
        </w:tc>
        <w:tc>
          <w:tcPr>
            <w:tcW w:type="dxa" w:w="1800"/>
            <w:vAlign w:val="center"/>
            <w:tcMar>
              <w:top w:w="35" w:type="dxa"/>
              <w:start w:w="35" w:type="dxa"/>
              <w:bottom w:w="35" w:type="dxa"/>
              <w:end w:w="35" w:type="dxa"/>
            </w:tcMar>
          </w:tcPr>
          <w:p>
            <w:pPr>
              <w:spacing w:after="0" w:line="240" w:lineRule="auto" w:before="0"/>
            </w:pPr>
            <w:r>
              <w:rPr>
                <w:rFonts w:ascii="Times New Roman" w:hAnsi="Times New Roman"/>
                <w:sz w:val="14"/>
              </w:rPr>
            </w:r>
            <w:r>
              <w:rPr>
                <w:rFonts w:ascii="Times New Roman" w:hAnsi="Times New Roman" w:eastAsia="Times New Roman"/>
                <w:b w:val="0"/>
                <w:color w:val="000000"/>
                <w:sz w:val="14"/>
              </w:rPr>
              <w:t>0/40</w:t>
            </w:r>
          </w:p>
        </w:tc>
        <w:tc>
          <w:tcPr>
            <w:tcW w:type="dxa" w:w="2880"/>
            <w:vAlign w:val="center"/>
            <w:tcMar>
              <w:top w:w="35" w:type="dxa"/>
              <w:start w:w="35" w:type="dxa"/>
              <w:bottom w:w="35" w:type="dxa"/>
              <w:end w:w="35" w:type="dxa"/>
            </w:tcMar>
          </w:tcPr>
          <w:p>
            <w:pPr>
              <w:spacing w:before="0" w:after="0" w:line="240" w:lineRule="auto"/>
            </w:pPr>
            <w:r>
              <w:rPr>
                <w:rFonts w:ascii="Times New Roman" w:hAnsi="Times New Roman"/>
                <w:sz w:val="14"/>
              </w:rPr>
              <w:t>No evidence against proportionality</w:t>
            </w:r>
          </w:p>
        </w:tc>
      </w:tr>
      <w:tr>
        <w:tc>
          <w:tcPr>
            <w:tcW w:type="dxa" w:w="1080"/>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4"/>
              </w:rPr>
            </w:r>
            <w:r>
              <w:rPr>
                <w:rFonts w:ascii="Times New Roman" w:hAnsi="Times New Roman" w:eastAsia="Times New Roman"/>
                <w:b w:val="0"/>
                <w:color w:val="000000"/>
                <w:sz w:val="14"/>
              </w:rPr>
              <w:t>eICU-CRD</w:t>
            </w:r>
          </w:p>
        </w:tc>
        <w:tc>
          <w:tcPr>
            <w:tcW w:type="dxa" w:w="1512"/>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4"/>
              </w:rPr>
            </w:r>
            <w:r>
              <w:rPr>
                <w:rFonts w:ascii="Times New Roman" w:hAnsi="Times New Roman" w:eastAsia="Times New Roman"/>
                <w:b w:val="0"/>
                <w:color w:val="000000"/>
                <w:sz w:val="14"/>
              </w:rPr>
              <w:t>Global</w:t>
            </w:r>
          </w:p>
        </w:tc>
        <w:tc>
          <w:tcPr>
            <w:tcW w:type="dxa" w:w="1656"/>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4"/>
              </w:rPr>
            </w:r>
            <w:r>
              <w:rPr>
                <w:rFonts w:ascii="Times New Roman" w:hAnsi="Times New Roman" w:eastAsia="Times New Roman"/>
                <w:b w:val="0"/>
                <w:color w:val="000000"/>
                <w:sz w:val="14"/>
              </w:rPr>
              <w:t>0.700</w:t>
            </w:r>
          </w:p>
        </w:tc>
        <w:tc>
          <w:tcPr>
            <w:tcW w:type="dxa" w:w="1800"/>
            <w:vAlign w:val="center"/>
            <w:tcMar>
              <w:top w:w="35" w:type="dxa"/>
              <w:start w:w="35" w:type="dxa"/>
              <w:bottom w:w="35" w:type="dxa"/>
              <w:end w:w="35" w:type="dxa"/>
            </w:tcMar>
            <w:tcBorders>
              <w:bottom w:val="single" w:sz="8" w:color="000000" w:space="0"/>
            </w:tcBorders>
          </w:tcPr>
          <w:p>
            <w:pPr>
              <w:spacing w:after="0" w:line="240" w:lineRule="auto" w:before="0"/>
            </w:pPr>
            <w:r>
              <w:rPr>
                <w:rFonts w:ascii="Times New Roman" w:hAnsi="Times New Roman"/>
                <w:sz w:val="14"/>
              </w:rPr>
            </w:r>
            <w:r>
              <w:rPr>
                <w:rFonts w:ascii="Times New Roman" w:hAnsi="Times New Roman" w:eastAsia="Times New Roman"/>
                <w:b w:val="0"/>
                <w:color w:val="000000"/>
                <w:sz w:val="14"/>
              </w:rPr>
              <w:t>0/40</w:t>
            </w:r>
          </w:p>
        </w:tc>
        <w:tc>
          <w:tcPr>
            <w:tcW w:type="dxa" w:w="2880"/>
            <w:vAlign w:val="center"/>
            <w:tcMar>
              <w:top w:w="35" w:type="dxa"/>
              <w:start w:w="35" w:type="dxa"/>
              <w:bottom w:w="35" w:type="dxa"/>
              <w:end w:w="35" w:type="dxa"/>
            </w:tcMar>
            <w:tcBorders>
              <w:bottom w:val="single" w:sz="8" w:color="000000" w:space="0"/>
            </w:tcBorders>
          </w:tcPr>
          <w:p>
            <w:pPr>
              <w:spacing w:before="0" w:after="0" w:line="240" w:lineRule="auto"/>
            </w:pPr>
            <w:r>
              <w:rPr>
                <w:rFonts w:ascii="Times New Roman" w:hAnsi="Times New Roman"/>
                <w:sz w:val="14"/>
              </w:rPr>
              <w:t>No evidence against proportionality</w:t>
            </w:r>
          </w:p>
        </w:tc>
      </w:tr>
    </w:tbl>
    <w:p>
      <w:pPr>
        <w:spacing w:line="240" w:lineRule="auto" w:after="80"/>
      </w:pPr>
      <w:r>
        <w:rPr>
          <w:rFonts w:ascii="Times New Roman" w:hAnsi="Times New Roman"/>
        </w:rPr>
        <w:t>The table summarises the proportionality assessment across 40 imputations. Piecewise MIMIC-IV results are provided in Table S2.</w:t>
      </w:r>
    </w:p>
    <w:p>
      <w:pPr>
        <w:keepNext/>
      </w:pPr>
      <w:r>
        <w:rPr>
          <w:rFonts w:ascii="Times New Roman" w:hAnsi="Times New Roman"/>
          <w:b/>
        </w:rPr>
        <w:t>Table S8. Diagnostic codes used for cirrhosis identification</w:t>
      </w:r>
    </w:p>
    <w:tbl>
      <w:tblPr>
        <w:tblStyle w:val="TableGrid"/>
        <w:tblW w:type="auto" w:w="0"/>
        <w:tblLayout w:type="autofit"/>
        <w:tblLook w:firstColumn="1" w:firstRow="1" w:lastColumn="0" w:lastRow="0" w:noHBand="0" w:noVBand="1" w:val="04A0"/>
        <w:jc w:val="center"/>
        <w:tblBorders>
          <w:top w:val="nil"/>
          <w:left w:val="nil"/>
          <w:bottom w:val="nil"/>
          <w:right w:val="nil"/>
          <w:insideH w:val="nil"/>
          <w:insideV w:val="nil"/>
        </w:tblBorders>
      </w:tblPr>
      <w:tblGrid>
        <w:gridCol w:w="3120"/>
        <w:gridCol w:w="3120"/>
        <w:gridCol w:w="3120"/>
      </w:tblGrid>
      <w:tr>
        <w:tc>
          <w:tcPr>
            <w:tcW w:type="dxa" w:w="3120"/>
            <w:tcBorders>
              <w:top w:val="single" w:sz="8" w:color="000000" w:space="0"/>
              <w:bottom w:val="single" w:sz="6" w:color="000000" w:space="0"/>
            </w:tcBorders>
            <w:vAlign w:val="center"/>
            <w:tcMar>
              <w:top w:w="35" w:type="dxa"/>
              <w:start w:w="35" w:type="dxa"/>
              <w:bottom w:w="35" w:type="dxa"/>
              <w:end w:w="35" w:type="dxa"/>
            </w:tcMar>
          </w:tcPr>
          <w:p>
            <w:pPr>
              <w:spacing w:before="0" w:after="0" w:line="240" w:lineRule="auto"/>
            </w:pPr>
            <w:r>
              <w:rPr>
                <w:rFonts w:ascii="Times New Roman" w:hAnsi="Times New Roman"/>
                <w:b/>
                <w:sz w:val="16"/>
              </w:rPr>
              <w:t>Database</w:t>
            </w:r>
          </w:p>
        </w:tc>
        <w:tc>
          <w:tcPr>
            <w:tcW w:type="dxa" w:w="3120"/>
            <w:tcBorders>
              <w:top w:val="single" w:sz="8" w:color="000000" w:space="0"/>
              <w:bottom w:val="single" w:sz="6" w:color="000000" w:space="0"/>
            </w:tcBorders>
            <w:vAlign w:val="center"/>
            <w:tcMar>
              <w:top w:w="35" w:type="dxa"/>
              <w:start w:w="35" w:type="dxa"/>
              <w:bottom w:w="35" w:type="dxa"/>
              <w:end w:w="35" w:type="dxa"/>
            </w:tcMar>
          </w:tcPr>
          <w:p>
            <w:pPr>
              <w:spacing w:before="0" w:after="0" w:line="240" w:lineRule="auto"/>
            </w:pPr>
            <w:r>
              <w:rPr>
                <w:rFonts w:ascii="Times New Roman" w:hAnsi="Times New Roman"/>
                <w:b/>
                <w:sz w:val="16"/>
              </w:rPr>
              <w:t>Code system</w:t>
            </w:r>
          </w:p>
        </w:tc>
        <w:tc>
          <w:tcPr>
            <w:tcW w:type="dxa" w:w="3120"/>
            <w:tcBorders>
              <w:top w:val="single" w:sz="8" w:color="000000" w:space="0"/>
              <w:bottom w:val="single" w:sz="6" w:color="000000" w:space="0"/>
            </w:tcBorders>
            <w:vAlign w:val="center"/>
            <w:tcMar>
              <w:top w:w="35" w:type="dxa"/>
              <w:start w:w="35" w:type="dxa"/>
              <w:bottom w:w="35" w:type="dxa"/>
              <w:end w:w="35" w:type="dxa"/>
            </w:tcMar>
          </w:tcPr>
          <w:p>
            <w:pPr>
              <w:spacing w:before="0" w:after="0" w:line="240" w:lineRule="auto"/>
            </w:pPr>
            <w:r>
              <w:rPr>
                <w:rFonts w:ascii="Times New Roman" w:hAnsi="Times New Roman"/>
                <w:b/>
                <w:sz w:val="16"/>
              </w:rPr>
              <w:t>Codes</w:t>
            </w:r>
          </w:p>
        </w:tc>
      </w:tr>
      <w:tr>
        <w:tc>
          <w:tcPr>
            <w:tcW w:type="dxa" w:w="3120"/>
            <w:vAlign w:val="center"/>
            <w:tcMar>
              <w:top w:w="35" w:type="dxa"/>
              <w:start w:w="35" w:type="dxa"/>
              <w:bottom w:w="35" w:type="dxa"/>
              <w:end w:w="35" w:type="dxa"/>
            </w:tcMar>
          </w:tcPr>
          <w:p>
            <w:pPr>
              <w:spacing w:before="0" w:after="0" w:line="240" w:lineRule="auto"/>
            </w:pPr>
            <w:r>
              <w:rPr>
                <w:rFonts w:ascii="Times New Roman" w:hAnsi="Times New Roman"/>
                <w:sz w:val="16"/>
              </w:rPr>
              <w:t>MIMIC-IV</w:t>
            </w:r>
          </w:p>
        </w:tc>
        <w:tc>
          <w:tcPr>
            <w:tcW w:type="dxa" w:w="3120"/>
            <w:vAlign w:val="center"/>
            <w:tcMar>
              <w:top w:w="35" w:type="dxa"/>
              <w:start w:w="35" w:type="dxa"/>
              <w:bottom w:w="35" w:type="dxa"/>
              <w:end w:w="35" w:type="dxa"/>
            </w:tcMar>
          </w:tcPr>
          <w:p>
            <w:pPr>
              <w:spacing w:before="0" w:after="0" w:line="240" w:lineRule="auto"/>
            </w:pPr>
            <w:r>
              <w:rPr>
                <w:rFonts w:ascii="Times New Roman" w:hAnsi="Times New Roman"/>
                <w:sz w:val="16"/>
              </w:rPr>
              <w:t>ICD-9-CM</w:t>
            </w:r>
          </w:p>
        </w:tc>
        <w:tc>
          <w:tcPr>
            <w:tcW w:type="dxa" w:w="3120"/>
            <w:vAlign w:val="center"/>
            <w:tcMar>
              <w:top w:w="35" w:type="dxa"/>
              <w:start w:w="35" w:type="dxa"/>
              <w:bottom w:w="35" w:type="dxa"/>
              <w:end w:w="35" w:type="dxa"/>
            </w:tcMar>
          </w:tcPr>
          <w:p>
            <w:pPr>
              <w:spacing w:before="0" w:after="0" w:line="240" w:lineRule="auto"/>
            </w:pPr>
            <w:r>
              <w:rPr>
                <w:rFonts w:ascii="Times New Roman" w:hAnsi="Times New Roman"/>
                <w:sz w:val="16"/>
              </w:rPr>
              <w:t>5712, 5715, 5716</w:t>
            </w:r>
          </w:p>
        </w:tc>
      </w:tr>
      <w:tr>
        <w:tc>
          <w:tcPr>
            <w:tcW w:type="dxa" w:w="3120"/>
            <w:tcBorders>
              <w:bottom w:val="single" w:sz="8" w:color="000000" w:space="0"/>
            </w:tcBorders>
            <w:vAlign w:val="center"/>
            <w:tcMar>
              <w:top w:w="35" w:type="dxa"/>
              <w:start w:w="35" w:type="dxa"/>
              <w:bottom w:w="35" w:type="dxa"/>
              <w:end w:w="35" w:type="dxa"/>
            </w:tcMar>
          </w:tcPr>
          <w:p>
            <w:pPr>
              <w:spacing w:before="0" w:after="0" w:line="240" w:lineRule="auto"/>
            </w:pPr>
            <w:r>
              <w:rPr>
                <w:rFonts w:ascii="Times New Roman" w:hAnsi="Times New Roman"/>
                <w:sz w:val="16"/>
              </w:rPr>
              <w:t>MIMIC-IV</w:t>
            </w:r>
          </w:p>
        </w:tc>
        <w:tc>
          <w:tcPr>
            <w:tcW w:type="dxa" w:w="3120"/>
            <w:tcBorders>
              <w:bottom w:val="single" w:sz="8" w:color="000000" w:space="0"/>
            </w:tcBorders>
            <w:vAlign w:val="center"/>
            <w:tcMar>
              <w:top w:w="35" w:type="dxa"/>
              <w:start w:w="35" w:type="dxa"/>
              <w:bottom w:w="35" w:type="dxa"/>
              <w:end w:w="35" w:type="dxa"/>
            </w:tcMar>
          </w:tcPr>
          <w:p>
            <w:pPr>
              <w:spacing w:before="0" w:after="0" w:line="240" w:lineRule="auto"/>
            </w:pPr>
            <w:r>
              <w:rPr>
                <w:rFonts w:ascii="Times New Roman" w:hAnsi="Times New Roman"/>
                <w:sz w:val="16"/>
              </w:rPr>
              <w:t>ICD-10-CM</w:t>
            </w:r>
          </w:p>
        </w:tc>
        <w:tc>
          <w:tcPr>
            <w:tcW w:type="dxa" w:w="3120"/>
            <w:tcBorders>
              <w:bottom w:val="single" w:sz="8" w:color="000000" w:space="0"/>
            </w:tcBorders>
            <w:vAlign w:val="center"/>
            <w:tcMar>
              <w:top w:w="35" w:type="dxa"/>
              <w:start w:w="35" w:type="dxa"/>
              <w:bottom w:w="35" w:type="dxa"/>
              <w:end w:w="35" w:type="dxa"/>
            </w:tcMar>
          </w:tcPr>
          <w:p>
            <w:pPr>
              <w:spacing w:before="0" w:after="0" w:line="240" w:lineRule="auto"/>
            </w:pPr>
            <w:r>
              <w:rPr>
                <w:rFonts w:ascii="Times New Roman" w:hAnsi="Times New Roman"/>
                <w:sz w:val="16"/>
              </w:rPr>
              <w:t>K703, K7030, K7031, K743, K744, K745, K746, K7460, K7469</w:t>
            </w:r>
          </w:p>
        </w:tc>
      </w:tr>
    </w:tbl>
    <w:p>
      <w:pPr>
        <w:pStyle w:val="Heading1"/>
      </w:pPr>
      <w:r>
        <w:t>Supplementary figures</w:t>
      </w:r>
    </w:p>
    <w:p>
      <w:pPr>
        <w:keepNext/>
      </w:pPr>
      <w:r>
        <w:rPr>
          <w:rFonts w:ascii="Times New Roman" w:hAnsi="Times New Roman" w:eastAsia="Times New Roman"/>
          <w:b/>
          <w:color w:val="000000"/>
          <w:sz w:val="20"/>
        </w:rPr>
        <w:t>Figure S1. Four-phenotype kidney progression in MIMIC-IV</w:t>
      </w:r>
    </w:p>
    <w:p>
      <w:r>
        <w:drawing>
          <wp:inline xmlns:a="http://schemas.openxmlformats.org/drawingml/2006/main" xmlns:pic="http://schemas.openxmlformats.org/drawingml/2006/picture">
            <wp:extent cx="5715000" cy="4244501"/>
            <wp:docPr id="1" name="Picture 1"/>
            <wp:cNvGraphicFramePr>
              <a:graphicFrameLocks noChangeAspect="1"/>
            </wp:cNvGraphicFramePr>
            <a:graphic>
              <a:graphicData uri="http://schemas.openxmlformats.org/drawingml/2006/picture">
                <pic:pic>
                  <pic:nvPicPr>
                    <pic:cNvPr id="0" name="FigureS1_MIMIC_Four_Phenotype_CIF.png"/>
                    <pic:cNvPicPr/>
                  </pic:nvPicPr>
                  <pic:blipFill>
                    <a:blip r:embed="rId10"/>
                    <a:stretch>
                      <a:fillRect/>
                    </a:stretch>
                  </pic:blipFill>
                  <pic:spPr>
                    <a:xfrm>
                      <a:off x="0" y="0"/>
                      <a:ext cx="5715000" cy="4244501"/>
                    </a:xfrm>
                    <a:prstGeom prst="rect"/>
                  </pic:spPr>
                </pic:pic>
              </a:graphicData>
            </a:graphic>
          </wp:inline>
        </w:drawing>
      </w:r>
    </w:p>
    <w:p>
      <w:pPr>
        <w:spacing w:line="240" w:lineRule="auto"/>
      </w:pPr>
      <w:r>
        <w:rPr>
          <w:rFonts w:ascii="Times New Roman" w:hAnsi="Times New Roman" w:eastAsia="Times New Roman"/>
          <w:color w:val="000000"/>
          <w:sz w:val="18"/>
        </w:rPr>
        <w:t>Aalen–Johansen cumulative incidence of stage 2/3 AKI or KRT from 24 to 72 h, with ICU death and live discharge as competing events. Full clinical phenotype names are used; bands show pointwise 95% confidence intervals.</w:t>
      </w:r>
    </w:p>
    <w:p>
      <w:pPr>
        <w:keepNext/>
      </w:pPr>
      <w:r>
        <w:rPr>
          <w:rFonts w:ascii="Times New Roman" w:hAnsi="Times New Roman" w:eastAsia="Times New Roman"/>
          <w:b/>
          <w:color w:val="000000"/>
          <w:sz w:val="20"/>
        </w:rPr>
        <w:t>Figure S2. Actual-weight sensitivity</w:t>
      </w:r>
    </w:p>
    <w:p>
      <w:r>
        <w:drawing>
          <wp:inline xmlns:a="http://schemas.openxmlformats.org/drawingml/2006/main" xmlns:pic="http://schemas.openxmlformats.org/drawingml/2006/picture">
            <wp:extent cx="5715000" cy="3322252"/>
            <wp:docPr id="2" name="Picture 2"/>
            <wp:cNvGraphicFramePr>
              <a:graphicFrameLocks noChangeAspect="1"/>
            </wp:cNvGraphicFramePr>
            <a:graphic>
              <a:graphicData uri="http://schemas.openxmlformats.org/drawingml/2006/picture">
                <pic:pic>
                  <pic:nvPicPr>
                    <pic:cNvPr id="0" name="FigureS2_Actual_Weight_Sensitivity.png"/>
                    <pic:cNvPicPr/>
                  </pic:nvPicPr>
                  <pic:blipFill>
                    <a:blip r:embed="rId11"/>
                    <a:stretch>
                      <a:fillRect/>
                    </a:stretch>
                  </pic:blipFill>
                  <pic:spPr>
                    <a:xfrm>
                      <a:off x="0" y="0"/>
                      <a:ext cx="5715000" cy="3322252"/>
                    </a:xfrm>
                    <a:prstGeom prst="rect"/>
                  </pic:spPr>
                </pic:pic>
              </a:graphicData>
            </a:graphic>
          </wp:inline>
        </w:drawing>
      </w:r>
    </w:p>
    <w:p>
      <w:pPr>
        <w:spacing w:line="240" w:lineRule="auto"/>
      </w:pPr>
      <w:r>
        <w:rPr>
          <w:rFonts w:ascii="Times New Roman" w:hAnsi="Times New Roman"/>
        </w:rPr>
        <w:t>Adjusted sHRs per additional positive AKI criterion for the ideal-body-weight primary analysis, the actual-weight analysis retaining the primary risk set, and the actual-weight analysis after reassessing landmark eligibility.</w:t>
      </w:r>
    </w:p>
    <w:p>
      <w:pPr>
        <w:pStyle w:val="Heading1"/>
      </w:pPr>
      <w:r>
        <w:t>STROBE checklist</w:t>
      </w:r>
    </w:p>
    <w:tbl>
      <w:tblPr>
        <w:tblStyle w:val="TableGrid"/>
        <w:tblW w:type="auto" w:w="0"/>
        <w:jc w:val="center"/>
        <w:tblLayout w:type="autofit"/>
        <w:tblLook w:firstColumn="1" w:firstRow="1" w:lastColumn="0" w:lastRow="0" w:noHBand="0" w:noVBand="1" w:val="04A0"/>
      </w:tblPr>
      <w:tblGrid>
        <w:gridCol w:w="2340"/>
        <w:gridCol w:w="2340"/>
        <w:gridCol w:w="2340"/>
        <w:gridCol w:w="2340"/>
      </w:tblGrid>
      <w:tr>
        <w:trPr>
          <w:tblHeader w:val="true"/>
        </w:trPr>
        <w:tc>
          <w:tcPr>
            <w:tcW w:type="dxa" w:w="2340"/>
            <w:vAlign w:val="center"/>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Item</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Topic</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Recommendation</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b/>
                <w:sz w:val="16"/>
              </w:rPr>
            </w:r>
            <w:r>
              <w:rPr>
                <w:rFonts w:ascii="Times New Roman" w:hAnsi="Times New Roman" w:eastAsia="Times New Roman"/>
                <w:b/>
                <w:color w:val="000000"/>
                <w:sz w:val="16"/>
              </w:rPr>
              <w:t>Location</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Title and abstract</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Indicate the study design and provide an informative summary</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Title; Abstract</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2</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Background</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Explain the scientific background and rationale</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Background</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3</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Objectives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State specific objectives and hypotheses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Background, final paragraph</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4</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Study design</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Present key elements early</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Methods: Study design and data sources</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5</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Setting</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Describe setting, locations, dates, and data collection</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Methods: Study design and data sources</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6</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Participants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Eligibility and selection methods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Methods: Study population; Figure 1</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7</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Variables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Define outcomes, exposures, predictors, confounders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Methods: Creatinine and urine-output criteria through Covariates</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8</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Data sources/measurement</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Give sources and comparability</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Methods: Data sources; Creatinine and urine-output criteria</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9</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Bias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Describe efforts to address bias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Methods: landmark design, competing events, sensitivities; Discussion: Limitations</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10</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Study size</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Explain study size</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Methods: Study population; all eligible records used</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11</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Quantitative variables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Explain handling of quantitative variables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Methods: Covariates; Statistical analysis</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12</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Statistical methods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Describe confounding, missingness, sensitivities, and losses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Methods: Statistical analysis</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13</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Participants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Report numbers at each stage and reasons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Results: Study cohorts; Figure 1</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14</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Descriptive data</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Report participant characteristics and missingness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Results: Baseline characteristics; Table 1; Table S5</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15</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Outcome data</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Report outcome events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Results: Kidney progression and cumulative incidence</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16</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Main results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Give unadjusted and adjusted estimates with precision</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Results; Tables 2 and S1–S4; Figures 2–3</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17</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Other analyses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Report subgroup and sensitivity analyses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Results: Sensitivity and secondary analyses</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18</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Key results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Summarise key results with reference to objectives</w:t>
            </w:r>
          </w:p>
        </w:tc>
        <w:tc>
          <w:tcPr>
            <w:tcW w:type="dxa" w:w="2340"/>
            <w:vAlign w:val="center"/>
            <w:tcMar>
              <w:top w:w="35" w:type="dxa"/>
              <w:start w:w="35" w:type="dxa"/>
              <w:bottom w:w="35" w:type="dxa"/>
              <w:end w:w="35" w:type="dxa"/>
            </w:tcMar>
          </w:tcPr>
          <w:p>
            <w:pPr>
              <w:spacing w:before="0" w:after="0" w:line="240" w:lineRule="auto"/>
            </w:pPr>
            <w:r>
              <w:rPr>
                <w:rFonts w:ascii="Times New Roman" w:hAnsi="Times New Roman"/>
                <w:sz w:val="16"/>
              </w:rPr>
            </w:r>
            <w:r>
              <w:rPr>
                <w:rFonts w:ascii="Times New Roman" w:hAnsi="Times New Roman"/>
                <w:b w:val="0"/>
                <w:sz w:val="16"/>
              </w:rPr>
              <w:t>Discussion, first paragraph</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19</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Limitations</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Discuss limitations and direction/magnitude of bias</w:t>
            </w:r>
          </w:p>
        </w:tc>
        <w:tc>
          <w:tcPr>
            <w:tcW w:type="dxa" w:w="2340"/>
            <w:vAlign w:val="center"/>
            <w:tcMar>
              <w:top w:w="35" w:type="dxa"/>
              <w:start w:w="35" w:type="dxa"/>
              <w:bottom w:w="35" w:type="dxa"/>
              <w:end w:w="35" w:type="dxa"/>
            </w:tcMar>
          </w:tcPr>
          <w:p>
            <w:pPr>
              <w:spacing w:before="0" w:after="0" w:line="240" w:lineRule="auto"/>
            </w:pPr>
            <w:r>
              <w:rPr>
                <w:rFonts w:ascii="Times New Roman" w:hAnsi="Times New Roman"/>
                <w:sz w:val="16"/>
              </w:rPr>
            </w:r>
            <w:r>
              <w:rPr>
                <w:rFonts w:ascii="Times New Roman" w:hAnsi="Times New Roman"/>
                <w:b w:val="0"/>
                <w:sz w:val="16"/>
              </w:rPr>
              <w:t>Discussion, limitations paragraph</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20</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Interpretation</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Provide cautious overall interpretation</w:t>
            </w:r>
          </w:p>
        </w:tc>
        <w:tc>
          <w:tcPr>
            <w:tcW w:type="dxa" w:w="2340"/>
            <w:vAlign w:val="center"/>
            <w:tcMar>
              <w:top w:w="35" w:type="dxa"/>
              <w:start w:w="35" w:type="dxa"/>
              <w:bottom w:w="35" w:type="dxa"/>
              <w:end w:w="35" w:type="dxa"/>
            </w:tcMar>
          </w:tcPr>
          <w:p>
            <w:pPr>
              <w:spacing w:before="0" w:after="0" w:line="240" w:lineRule="auto"/>
            </w:pPr>
            <w:r>
              <w:rPr>
                <w:rFonts w:ascii="Times New Roman" w:hAnsi="Times New Roman"/>
                <w:sz w:val="16"/>
              </w:rPr>
            </w:r>
            <w:r>
              <w:rPr>
                <w:rFonts w:ascii="Times New Roman" w:hAnsi="Times New Roman"/>
                <w:b w:val="0"/>
                <w:sz w:val="16"/>
              </w:rPr>
              <w:t>Discussion; Conclusions</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21</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Generalisability</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Discuss external validity</w:t>
            </w:r>
          </w:p>
        </w:tc>
        <w:tc>
          <w:tcPr>
            <w:tcW w:type="dxa" w:w="2340"/>
            <w:vAlign w:val="center"/>
            <w:tcMar>
              <w:top w:w="35" w:type="dxa"/>
              <w:start w:w="35" w:type="dxa"/>
              <w:bottom w:w="35" w:type="dxa"/>
              <w:end w:w="35" w:type="dxa"/>
            </w:tcMar>
          </w:tcPr>
          <w:p>
            <w:pPr>
              <w:spacing w:before="0" w:after="0" w:line="240" w:lineRule="auto"/>
            </w:pPr>
            <w:r>
              <w:rPr>
                <w:rFonts w:ascii="Times New Roman" w:hAnsi="Times New Roman"/>
                <w:sz w:val="16"/>
              </w:rPr>
            </w:r>
            <w:r>
              <w:rPr>
                <w:rFonts w:ascii="Times New Roman" w:hAnsi="Times New Roman"/>
                <w:b w:val="0"/>
                <w:sz w:val="16"/>
              </w:rPr>
              <w:t>Discussion, cross-database interpretation and limitations</w:t>
            </w:r>
          </w:p>
        </w:tc>
      </w:tr>
      <w:tr>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22</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Funding</w:t>
            </w:r>
          </w:p>
        </w:tc>
        <w:tc>
          <w:tcPr>
            <w:tcW w:type="dxa" w:w="2340"/>
            <w:vAlign w:val="center"/>
            <w:tcMar>
              <w:top w:w="35" w:type="dxa"/>
              <w:start w:w="35" w:type="dxa"/>
              <w:bottom w:w="35" w:type="dxa"/>
              <w:end w:w="35" w:type="dxa"/>
            </w:tcMar>
          </w:tcPr>
          <w:p>
            <w:pPr>
              <w:spacing w:after="0" w:line="240" w:lineRule="auto" w:before="0"/>
            </w:pPr>
            <w:r>
              <w:rPr>
                <w:rFonts w:ascii="Times New Roman" w:hAnsi="Times New Roman"/>
                <w:sz w:val="16"/>
              </w:rPr>
            </w:r>
            <w:r>
              <w:rPr>
                <w:rFonts w:ascii="Times New Roman" w:hAnsi="Times New Roman" w:eastAsia="Times New Roman"/>
                <w:b w:val="0"/>
                <w:color w:val="000000"/>
                <w:sz w:val="16"/>
              </w:rPr>
              <w:t>Give source and role of funders</w:t>
            </w:r>
          </w:p>
        </w:tc>
        <w:tc>
          <w:tcPr>
            <w:tcW w:type="dxa" w:w="2340"/>
            <w:vAlign w:val="center"/>
            <w:tcMar>
              <w:top w:w="35" w:type="dxa"/>
              <w:start w:w="35" w:type="dxa"/>
              <w:bottom w:w="35" w:type="dxa"/>
              <w:end w:w="35" w:type="dxa"/>
            </w:tcMar>
          </w:tcPr>
          <w:p>
            <w:pPr>
              <w:spacing w:before="0" w:after="0" w:line="240" w:lineRule="auto"/>
            </w:pPr>
            <w:r>
              <w:rPr>
                <w:rFonts w:ascii="Times New Roman" w:hAnsi="Times New Roman"/>
                <w:sz w:val="16"/>
              </w:rPr>
              <w:t>Declarations: Funding</w:t>
            </w:r>
          </w:p>
        </w:tc>
      </w:tr>
    </w:tbl>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000000"/>
        <w:sz w:val="20"/>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480" w:lineRule="auto" w:after="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0"/>
      <w:outlineLvl w:val="0"/>
    </w:pPr>
    <w:rPr>
      <w:rFonts w:asciiTheme="majorHAnsi" w:eastAsiaTheme="majorEastAsia" w:hAnsiTheme="majorHAnsi" w:cstheme="majorBidi" w:ascii="Times New Roman" w:hAnsi="Times New Roman" w:eastAsia="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20" w:after="0"/>
      <w:outlineLvl w:val="1"/>
    </w:pPr>
    <w:rPr>
      <w:rFonts w:asciiTheme="majorHAnsi" w:eastAsiaTheme="majorEastAsia" w:hAnsiTheme="majorHAnsi" w:cstheme="majorBidi" w:ascii="Times New Roman" w:hAnsi="Times New Roman" w:eastAsia="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0"/>
      <w:outlineLvl w:val="2"/>
    </w:pPr>
    <w:rPr>
      <w:rFonts w:asciiTheme="majorHAnsi" w:eastAsiaTheme="majorEastAsia" w:hAnsiTheme="majorHAnsi" w:cstheme="majorBidi" w:ascii="Times New Roman" w:hAnsi="Times New Roman" w:eastAsia="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0" w:line="240" w:lineRule="auto" w:before="120"/>
      <w:contextualSpacing/>
    </w:pPr>
    <w:rPr>
      <w:rFonts w:asciiTheme="majorHAnsi" w:eastAsiaTheme="majorEastAsia" w:hAnsiTheme="majorHAnsi" w:cstheme="majorBidi" w:ascii="Times New Roman" w:hAnsi="Times New Roman" w:eastAsia="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