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5F00" w14:textId="77777777" w:rsidR="00D76D2E" w:rsidRPr="00656064" w:rsidRDefault="00D76D2E" w:rsidP="00D76D2E">
      <w:pPr>
        <w:pStyle w:val="Heading1"/>
      </w:pPr>
      <w:r w:rsidRPr="00656064">
        <w:t>Supplement</w:t>
      </w:r>
    </w:p>
    <w:p w14:paraId="443C4BC1" w14:textId="77777777" w:rsidR="00D76D2E" w:rsidRPr="00A7287E" w:rsidRDefault="00D76D2E" w:rsidP="00D76D2E">
      <w:pPr>
        <w:widowControl w:val="0"/>
        <w:spacing w:before="240" w:after="120"/>
        <w:rPr>
          <w:rFonts w:ascii="Calibri" w:hAnsi="Calibri" w:cs="Calibri"/>
          <w:b/>
          <w:bCs/>
        </w:rPr>
      </w:pPr>
      <w:r w:rsidRPr="00656064">
        <w:rPr>
          <w:rFonts w:ascii="Calibri" w:hAnsi="Calibri" w:cs="Calibri"/>
          <w:b/>
          <w:bCs/>
        </w:rPr>
        <w:t>Table S1. Demographic and clinic characteristics of new patients seen in the oncology palliative care clinic with and without baseline fatigue scores available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694"/>
        <w:gridCol w:w="2551"/>
      </w:tblGrid>
      <w:tr w:rsidR="00D76D2E" w:rsidRPr="004D0EE5" w14:paraId="6616CB18" w14:textId="77777777" w:rsidTr="00603200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8331343" w14:textId="77777777" w:rsidR="00D76D2E" w:rsidRPr="00FC49BE" w:rsidRDefault="00D76D2E" w:rsidP="0060320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</w:pPr>
            <w:r w:rsidRPr="00FC49BE"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>Variable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3A76DD9D" w14:textId="77777777" w:rsidR="00D76D2E" w:rsidRPr="00FC49BE" w:rsidRDefault="00D76D2E" w:rsidP="0060320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</w:pPr>
            <w:r w:rsidRPr="00FC49BE"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>Completed ESAS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 xml:space="preserve">-r-CS </w:t>
            </w:r>
            <w:r w:rsidRPr="00FC49BE"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>(N=2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>,</w:t>
            </w:r>
            <w:r w:rsidRPr="00FC49BE"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>057)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7D209591" w14:textId="77777777" w:rsidR="00D76D2E" w:rsidRPr="00FC49BE" w:rsidRDefault="00D76D2E" w:rsidP="0060320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 xml:space="preserve">Missing </w:t>
            </w:r>
            <w:r w:rsidRPr="00FC49BE"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>ESAS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 xml:space="preserve">-r-CS </w:t>
            </w:r>
            <w:r w:rsidRPr="00FC49BE"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>(N=1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>,</w:t>
            </w:r>
            <w:r w:rsidRPr="00FC49BE"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  <w:t>530)</w:t>
            </w:r>
          </w:p>
        </w:tc>
      </w:tr>
      <w:tr w:rsidR="00D76D2E" w:rsidRPr="004D0EE5" w14:paraId="66A535EF" w14:textId="77777777" w:rsidTr="00603200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</w:tcPr>
          <w:p w14:paraId="137A3575" w14:textId="77777777" w:rsidR="00D76D2E" w:rsidRPr="00FC49BE" w:rsidRDefault="00D76D2E" w:rsidP="0060320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CA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6185E5" w14:textId="77777777" w:rsidR="00D76D2E" w:rsidRPr="00C428F8" w:rsidRDefault="00D76D2E" w:rsidP="00603200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  <w:lang w:eastAsia="en-CA"/>
              </w:rPr>
            </w:pPr>
            <w:r w:rsidRPr="00C428F8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CA"/>
              </w:rPr>
              <w:t>Mean ± SD or N (%)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5A8B78" w14:textId="77777777" w:rsidR="00D76D2E" w:rsidRPr="00C428F8" w:rsidRDefault="00D76D2E" w:rsidP="00603200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  <w:lang w:eastAsia="en-CA"/>
              </w:rPr>
            </w:pPr>
            <w:r w:rsidRPr="00C428F8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CA"/>
              </w:rPr>
              <w:t>Mean ± SD or N (%)</w:t>
            </w:r>
          </w:p>
        </w:tc>
      </w:tr>
      <w:tr w:rsidR="00D76D2E" w:rsidRPr="004D0EE5" w14:paraId="54645B71" w14:textId="77777777" w:rsidTr="00603200">
        <w:trPr>
          <w:trHeight w:val="20"/>
        </w:trPr>
        <w:tc>
          <w:tcPr>
            <w:tcW w:w="3969" w:type="dxa"/>
            <w:tcBorders>
              <w:top w:val="single" w:sz="4" w:space="0" w:color="auto"/>
            </w:tcBorders>
            <w:noWrap/>
            <w:vAlign w:val="bottom"/>
          </w:tcPr>
          <w:p w14:paraId="6B130CA2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="Calibri" w:hAnsi="Calibri" w:cs="Calibri"/>
                <w:sz w:val="22"/>
                <w:szCs w:val="22"/>
                <w:lang w:eastAsia="en-CA"/>
              </w:rPr>
              <w:t>Age, years (</w:t>
            </w: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Mean ± SD</w:t>
            </w:r>
            <w:r>
              <w:rPr>
                <w:rFonts w:ascii="Calibri" w:hAnsi="Calibri" w:cs="Calibri"/>
                <w:sz w:val="22"/>
                <w:szCs w:val="22"/>
                <w:lang w:eastAsia="en-CA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noWrap/>
            <w:vAlign w:val="bottom"/>
          </w:tcPr>
          <w:p w14:paraId="54D88887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66.7 ± 13.6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noWrap/>
            <w:vAlign w:val="bottom"/>
          </w:tcPr>
          <w:p w14:paraId="11FA8F9E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66.2 ± 15.1</w:t>
            </w:r>
          </w:p>
        </w:tc>
      </w:tr>
      <w:tr w:rsidR="00D76D2E" w:rsidRPr="004D0EE5" w14:paraId="6D70E0D7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2914DCFD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="Calibri" w:hAnsi="Calibri" w:cs="Calibri"/>
                <w:sz w:val="22"/>
                <w:szCs w:val="22"/>
                <w:lang w:eastAsia="en-CA"/>
              </w:rPr>
              <w:t>Female gender</w:t>
            </w:r>
          </w:p>
        </w:tc>
        <w:tc>
          <w:tcPr>
            <w:tcW w:w="2694" w:type="dxa"/>
            <w:noWrap/>
            <w:vAlign w:val="bottom"/>
            <w:hideMark/>
          </w:tcPr>
          <w:p w14:paraId="206E8EB5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1030 (50.1%)</w:t>
            </w:r>
          </w:p>
        </w:tc>
        <w:tc>
          <w:tcPr>
            <w:tcW w:w="2551" w:type="dxa"/>
            <w:noWrap/>
            <w:vAlign w:val="bottom"/>
            <w:hideMark/>
          </w:tcPr>
          <w:p w14:paraId="4C658374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726 (47.5%)</w:t>
            </w:r>
          </w:p>
        </w:tc>
      </w:tr>
      <w:tr w:rsidR="00D76D2E" w:rsidRPr="004D0EE5" w14:paraId="7BB597C4" w14:textId="77777777" w:rsidTr="00603200">
        <w:trPr>
          <w:trHeight w:val="20"/>
        </w:trPr>
        <w:tc>
          <w:tcPr>
            <w:tcW w:w="3969" w:type="dxa"/>
            <w:noWrap/>
            <w:hideMark/>
          </w:tcPr>
          <w:p w14:paraId="1E6E80EF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3547E0">
              <w:rPr>
                <w:rFonts w:asciiTheme="minorHAnsi" w:hAnsiTheme="minorHAnsi" w:cstheme="minorHAnsi"/>
                <w:sz w:val="22"/>
                <w:szCs w:val="22"/>
              </w:rPr>
              <w:t>Primary Cancer</w:t>
            </w:r>
          </w:p>
        </w:tc>
        <w:tc>
          <w:tcPr>
            <w:tcW w:w="2694" w:type="dxa"/>
            <w:noWrap/>
            <w:vAlign w:val="bottom"/>
            <w:hideMark/>
          </w:tcPr>
          <w:p w14:paraId="105508CD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</w:p>
        </w:tc>
        <w:tc>
          <w:tcPr>
            <w:tcW w:w="2551" w:type="dxa"/>
            <w:noWrap/>
            <w:vAlign w:val="bottom"/>
            <w:hideMark/>
          </w:tcPr>
          <w:p w14:paraId="293F47E3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</w:p>
        </w:tc>
      </w:tr>
      <w:tr w:rsidR="00D76D2E" w:rsidRPr="004D0EE5" w14:paraId="487D1889" w14:textId="77777777" w:rsidTr="00603200">
        <w:trPr>
          <w:trHeight w:val="20"/>
        </w:trPr>
        <w:tc>
          <w:tcPr>
            <w:tcW w:w="3969" w:type="dxa"/>
            <w:noWrap/>
            <w:hideMark/>
          </w:tcPr>
          <w:p w14:paraId="008C4546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3547E0">
              <w:rPr>
                <w:rFonts w:asciiTheme="minorHAnsi" w:hAnsiTheme="minorHAnsi" w:cstheme="minorHAnsi"/>
                <w:sz w:val="22"/>
                <w:szCs w:val="22"/>
              </w:rPr>
              <w:t xml:space="preserve">   Breast      </w:t>
            </w:r>
          </w:p>
        </w:tc>
        <w:tc>
          <w:tcPr>
            <w:tcW w:w="2694" w:type="dxa"/>
            <w:noWrap/>
            <w:vAlign w:val="bottom"/>
            <w:hideMark/>
          </w:tcPr>
          <w:p w14:paraId="204A46B4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111 (5.4%)</w:t>
            </w:r>
          </w:p>
        </w:tc>
        <w:tc>
          <w:tcPr>
            <w:tcW w:w="2551" w:type="dxa"/>
            <w:noWrap/>
            <w:vAlign w:val="bottom"/>
            <w:hideMark/>
          </w:tcPr>
          <w:p w14:paraId="5C872AAD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72 (4.8%)</w:t>
            </w:r>
          </w:p>
        </w:tc>
      </w:tr>
      <w:tr w:rsidR="00D76D2E" w:rsidRPr="004D0EE5" w14:paraId="466F6408" w14:textId="77777777" w:rsidTr="00603200">
        <w:trPr>
          <w:trHeight w:val="20"/>
        </w:trPr>
        <w:tc>
          <w:tcPr>
            <w:tcW w:w="3969" w:type="dxa"/>
            <w:noWrap/>
            <w:hideMark/>
          </w:tcPr>
          <w:p w14:paraId="02230E4C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3547E0">
              <w:rPr>
                <w:rFonts w:asciiTheme="minorHAnsi" w:hAnsiTheme="minorHAnsi" w:cstheme="minorHAnsi"/>
                <w:sz w:val="22"/>
                <w:szCs w:val="22"/>
              </w:rPr>
              <w:t xml:space="preserve">   CNS         </w:t>
            </w:r>
          </w:p>
        </w:tc>
        <w:tc>
          <w:tcPr>
            <w:tcW w:w="2694" w:type="dxa"/>
            <w:noWrap/>
            <w:vAlign w:val="bottom"/>
            <w:hideMark/>
          </w:tcPr>
          <w:p w14:paraId="15E83AE0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80 (3.9%)</w:t>
            </w:r>
          </w:p>
        </w:tc>
        <w:tc>
          <w:tcPr>
            <w:tcW w:w="2551" w:type="dxa"/>
            <w:noWrap/>
            <w:vAlign w:val="bottom"/>
            <w:hideMark/>
          </w:tcPr>
          <w:p w14:paraId="09275EE0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78 (5.2%)</w:t>
            </w:r>
          </w:p>
        </w:tc>
      </w:tr>
      <w:tr w:rsidR="00D76D2E" w:rsidRPr="004D0EE5" w14:paraId="525BB218" w14:textId="77777777" w:rsidTr="00603200">
        <w:trPr>
          <w:trHeight w:val="20"/>
        </w:trPr>
        <w:tc>
          <w:tcPr>
            <w:tcW w:w="3969" w:type="dxa"/>
            <w:noWrap/>
            <w:hideMark/>
          </w:tcPr>
          <w:p w14:paraId="3A5D6AA3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3547E0">
              <w:rPr>
                <w:rFonts w:asciiTheme="minorHAnsi" w:hAnsiTheme="minorHAnsi" w:cstheme="minorHAnsi"/>
                <w:sz w:val="22"/>
                <w:szCs w:val="22"/>
              </w:rPr>
              <w:t xml:space="preserve">   Gastrointestinal</w:t>
            </w:r>
          </w:p>
        </w:tc>
        <w:tc>
          <w:tcPr>
            <w:tcW w:w="2694" w:type="dxa"/>
            <w:noWrap/>
            <w:vAlign w:val="bottom"/>
            <w:hideMark/>
          </w:tcPr>
          <w:p w14:paraId="2CD0BFFD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351 (17.1%)</w:t>
            </w:r>
          </w:p>
        </w:tc>
        <w:tc>
          <w:tcPr>
            <w:tcW w:w="2551" w:type="dxa"/>
            <w:noWrap/>
            <w:vAlign w:val="bottom"/>
            <w:hideMark/>
          </w:tcPr>
          <w:p w14:paraId="5F621F68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248 (16.5%)</w:t>
            </w:r>
          </w:p>
        </w:tc>
      </w:tr>
      <w:tr w:rsidR="00D76D2E" w:rsidRPr="004D0EE5" w14:paraId="1F0937ED" w14:textId="77777777" w:rsidTr="00603200">
        <w:trPr>
          <w:trHeight w:val="20"/>
        </w:trPr>
        <w:tc>
          <w:tcPr>
            <w:tcW w:w="3969" w:type="dxa"/>
            <w:noWrap/>
            <w:hideMark/>
          </w:tcPr>
          <w:p w14:paraId="22CC3057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3547E0">
              <w:rPr>
                <w:rFonts w:asciiTheme="minorHAnsi" w:hAnsiTheme="minorHAnsi" w:cstheme="minorHAnsi"/>
                <w:sz w:val="22"/>
                <w:szCs w:val="22"/>
              </w:rPr>
              <w:t xml:space="preserve">   Genitourinary</w:t>
            </w:r>
          </w:p>
        </w:tc>
        <w:tc>
          <w:tcPr>
            <w:tcW w:w="2694" w:type="dxa"/>
            <w:noWrap/>
            <w:vAlign w:val="bottom"/>
            <w:hideMark/>
          </w:tcPr>
          <w:p w14:paraId="0E67497B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195 (9.5%)</w:t>
            </w:r>
          </w:p>
        </w:tc>
        <w:tc>
          <w:tcPr>
            <w:tcW w:w="2551" w:type="dxa"/>
            <w:noWrap/>
            <w:vAlign w:val="bottom"/>
            <w:hideMark/>
          </w:tcPr>
          <w:p w14:paraId="2B7ABF4A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147 (9.8%)</w:t>
            </w:r>
          </w:p>
        </w:tc>
      </w:tr>
      <w:tr w:rsidR="00D76D2E" w:rsidRPr="004D0EE5" w14:paraId="4828F9D6" w14:textId="77777777" w:rsidTr="00603200">
        <w:trPr>
          <w:trHeight w:val="20"/>
        </w:trPr>
        <w:tc>
          <w:tcPr>
            <w:tcW w:w="3969" w:type="dxa"/>
            <w:noWrap/>
            <w:hideMark/>
          </w:tcPr>
          <w:p w14:paraId="3FB341DC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3547E0">
              <w:rPr>
                <w:rFonts w:asciiTheme="minorHAnsi" w:hAnsiTheme="minorHAnsi" w:cstheme="minorHAnsi"/>
                <w:sz w:val="22"/>
                <w:szCs w:val="22"/>
              </w:rPr>
              <w:t xml:space="preserve">   Gynecologic</w:t>
            </w:r>
          </w:p>
        </w:tc>
        <w:tc>
          <w:tcPr>
            <w:tcW w:w="2694" w:type="dxa"/>
            <w:noWrap/>
            <w:vAlign w:val="bottom"/>
            <w:hideMark/>
          </w:tcPr>
          <w:p w14:paraId="5AF268B1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264 (12.8%)</w:t>
            </w:r>
          </w:p>
        </w:tc>
        <w:tc>
          <w:tcPr>
            <w:tcW w:w="2551" w:type="dxa"/>
            <w:noWrap/>
            <w:vAlign w:val="bottom"/>
            <w:hideMark/>
          </w:tcPr>
          <w:p w14:paraId="20A72AFD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173 (11.5%)</w:t>
            </w:r>
          </w:p>
        </w:tc>
      </w:tr>
      <w:tr w:rsidR="00D76D2E" w:rsidRPr="004D0EE5" w14:paraId="053C7CC8" w14:textId="77777777" w:rsidTr="00603200">
        <w:trPr>
          <w:trHeight w:val="20"/>
        </w:trPr>
        <w:tc>
          <w:tcPr>
            <w:tcW w:w="3969" w:type="dxa"/>
            <w:noWrap/>
            <w:hideMark/>
          </w:tcPr>
          <w:p w14:paraId="67055CFC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3547E0">
              <w:rPr>
                <w:rFonts w:asciiTheme="minorHAnsi" w:hAnsiTheme="minorHAnsi" w:cstheme="minorHAnsi"/>
                <w:sz w:val="22"/>
                <w:szCs w:val="22"/>
              </w:rPr>
              <w:t xml:space="preserve">   Head and neck</w:t>
            </w:r>
          </w:p>
        </w:tc>
        <w:tc>
          <w:tcPr>
            <w:tcW w:w="2694" w:type="dxa"/>
            <w:noWrap/>
            <w:vAlign w:val="bottom"/>
            <w:hideMark/>
          </w:tcPr>
          <w:p w14:paraId="53CD0C02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327 (15.9%)</w:t>
            </w:r>
          </w:p>
        </w:tc>
        <w:tc>
          <w:tcPr>
            <w:tcW w:w="2551" w:type="dxa"/>
            <w:noWrap/>
            <w:vAlign w:val="bottom"/>
            <w:hideMark/>
          </w:tcPr>
          <w:p w14:paraId="7C52881B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262 (17.4%)</w:t>
            </w:r>
          </w:p>
        </w:tc>
      </w:tr>
      <w:tr w:rsidR="00D76D2E" w:rsidRPr="004D0EE5" w14:paraId="0AC46811" w14:textId="77777777" w:rsidTr="00603200">
        <w:trPr>
          <w:trHeight w:val="20"/>
        </w:trPr>
        <w:tc>
          <w:tcPr>
            <w:tcW w:w="3969" w:type="dxa"/>
            <w:noWrap/>
            <w:hideMark/>
          </w:tcPr>
          <w:p w14:paraId="7C8BB9A1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3547E0">
              <w:rPr>
                <w:rFonts w:asciiTheme="minorHAnsi" w:hAnsiTheme="minorHAnsi" w:cstheme="minorHAnsi"/>
                <w:sz w:val="22"/>
                <w:szCs w:val="22"/>
              </w:rPr>
              <w:t xml:space="preserve">   Hematologic</w:t>
            </w:r>
          </w:p>
        </w:tc>
        <w:tc>
          <w:tcPr>
            <w:tcW w:w="2694" w:type="dxa"/>
            <w:noWrap/>
            <w:vAlign w:val="bottom"/>
            <w:hideMark/>
          </w:tcPr>
          <w:p w14:paraId="175D3F71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157 (7.6%)</w:t>
            </w:r>
          </w:p>
        </w:tc>
        <w:tc>
          <w:tcPr>
            <w:tcW w:w="2551" w:type="dxa"/>
            <w:noWrap/>
            <w:vAlign w:val="bottom"/>
            <w:hideMark/>
          </w:tcPr>
          <w:p w14:paraId="6F577F88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129 (8.6%)</w:t>
            </w:r>
          </w:p>
        </w:tc>
      </w:tr>
      <w:tr w:rsidR="00D76D2E" w:rsidRPr="004D0EE5" w14:paraId="26D76EE1" w14:textId="77777777" w:rsidTr="00603200">
        <w:trPr>
          <w:trHeight w:val="20"/>
        </w:trPr>
        <w:tc>
          <w:tcPr>
            <w:tcW w:w="3969" w:type="dxa"/>
            <w:noWrap/>
            <w:hideMark/>
          </w:tcPr>
          <w:p w14:paraId="2BD8F7C5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3547E0">
              <w:rPr>
                <w:rFonts w:asciiTheme="minorHAnsi" w:hAnsiTheme="minorHAnsi" w:cstheme="minorHAnsi"/>
                <w:sz w:val="22"/>
                <w:szCs w:val="22"/>
              </w:rPr>
              <w:t xml:space="preserve">   Sarcoma</w:t>
            </w:r>
          </w:p>
        </w:tc>
        <w:tc>
          <w:tcPr>
            <w:tcW w:w="2694" w:type="dxa"/>
            <w:noWrap/>
            <w:vAlign w:val="bottom"/>
            <w:hideMark/>
          </w:tcPr>
          <w:p w14:paraId="3DA5FEC2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57 (2.8%)</w:t>
            </w:r>
          </w:p>
        </w:tc>
        <w:tc>
          <w:tcPr>
            <w:tcW w:w="2551" w:type="dxa"/>
            <w:noWrap/>
            <w:vAlign w:val="bottom"/>
            <w:hideMark/>
          </w:tcPr>
          <w:p w14:paraId="242B292D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53 (3.5%)</w:t>
            </w:r>
          </w:p>
        </w:tc>
      </w:tr>
      <w:tr w:rsidR="00D76D2E" w:rsidRPr="004D0EE5" w14:paraId="559F237B" w14:textId="77777777" w:rsidTr="00603200">
        <w:trPr>
          <w:trHeight w:val="20"/>
        </w:trPr>
        <w:tc>
          <w:tcPr>
            <w:tcW w:w="3969" w:type="dxa"/>
            <w:noWrap/>
            <w:hideMark/>
          </w:tcPr>
          <w:p w14:paraId="31C564D0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3547E0">
              <w:rPr>
                <w:rFonts w:asciiTheme="minorHAnsi" w:hAnsiTheme="minorHAnsi" w:cstheme="minorHAnsi"/>
                <w:sz w:val="22"/>
                <w:szCs w:val="22"/>
              </w:rPr>
              <w:t xml:space="preserve">   Skin</w:t>
            </w:r>
          </w:p>
        </w:tc>
        <w:tc>
          <w:tcPr>
            <w:tcW w:w="2694" w:type="dxa"/>
            <w:noWrap/>
            <w:vAlign w:val="bottom"/>
            <w:hideMark/>
          </w:tcPr>
          <w:p w14:paraId="7CB94671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108 (5.3%)</w:t>
            </w:r>
          </w:p>
        </w:tc>
        <w:tc>
          <w:tcPr>
            <w:tcW w:w="2551" w:type="dxa"/>
            <w:noWrap/>
            <w:vAlign w:val="bottom"/>
            <w:hideMark/>
          </w:tcPr>
          <w:p w14:paraId="6AD056CF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80 (5.3%)</w:t>
            </w:r>
          </w:p>
        </w:tc>
      </w:tr>
      <w:tr w:rsidR="00D76D2E" w:rsidRPr="004D0EE5" w14:paraId="5F7EB3DF" w14:textId="77777777" w:rsidTr="00603200">
        <w:trPr>
          <w:trHeight w:val="20"/>
        </w:trPr>
        <w:tc>
          <w:tcPr>
            <w:tcW w:w="3969" w:type="dxa"/>
            <w:noWrap/>
            <w:hideMark/>
          </w:tcPr>
          <w:p w14:paraId="55210F42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Thorax</w:t>
            </w:r>
          </w:p>
        </w:tc>
        <w:tc>
          <w:tcPr>
            <w:tcW w:w="2694" w:type="dxa"/>
            <w:noWrap/>
            <w:vAlign w:val="bottom"/>
            <w:hideMark/>
          </w:tcPr>
          <w:p w14:paraId="70532E31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405 (19.7%)</w:t>
            </w:r>
          </w:p>
        </w:tc>
        <w:tc>
          <w:tcPr>
            <w:tcW w:w="2551" w:type="dxa"/>
            <w:noWrap/>
            <w:vAlign w:val="bottom"/>
            <w:hideMark/>
          </w:tcPr>
          <w:p w14:paraId="421FF820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264 (17.5%)</w:t>
            </w:r>
          </w:p>
        </w:tc>
      </w:tr>
      <w:tr w:rsidR="00D76D2E" w:rsidRPr="004D0EE5" w14:paraId="56FC2E9E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1AC76075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ECOG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Performance Status</w:t>
            </w:r>
          </w:p>
        </w:tc>
        <w:tc>
          <w:tcPr>
            <w:tcW w:w="2694" w:type="dxa"/>
            <w:noWrap/>
            <w:vAlign w:val="bottom"/>
            <w:hideMark/>
          </w:tcPr>
          <w:p w14:paraId="6DCC384D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</w:p>
        </w:tc>
        <w:tc>
          <w:tcPr>
            <w:tcW w:w="2551" w:type="dxa"/>
            <w:noWrap/>
            <w:vAlign w:val="bottom"/>
            <w:hideMark/>
          </w:tcPr>
          <w:p w14:paraId="4E98CCF8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</w:p>
        </w:tc>
      </w:tr>
      <w:tr w:rsidR="00D76D2E" w:rsidRPr="004D0EE5" w14:paraId="05886E25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23954C26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0</w:t>
            </w:r>
          </w:p>
        </w:tc>
        <w:tc>
          <w:tcPr>
            <w:tcW w:w="2694" w:type="dxa"/>
            <w:noWrap/>
            <w:vAlign w:val="bottom"/>
            <w:hideMark/>
          </w:tcPr>
          <w:p w14:paraId="31972519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53 (4.9%)</w:t>
            </w:r>
          </w:p>
        </w:tc>
        <w:tc>
          <w:tcPr>
            <w:tcW w:w="2551" w:type="dxa"/>
            <w:noWrap/>
            <w:vAlign w:val="bottom"/>
            <w:hideMark/>
          </w:tcPr>
          <w:p w14:paraId="0E76FB04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16 (6.9%)</w:t>
            </w:r>
          </w:p>
        </w:tc>
      </w:tr>
      <w:tr w:rsidR="00D76D2E" w:rsidRPr="004D0EE5" w14:paraId="0FC3721C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5DF642ED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1</w:t>
            </w:r>
          </w:p>
        </w:tc>
        <w:tc>
          <w:tcPr>
            <w:tcW w:w="2694" w:type="dxa"/>
            <w:noWrap/>
            <w:vAlign w:val="bottom"/>
            <w:hideMark/>
          </w:tcPr>
          <w:p w14:paraId="4B7274DC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453 (41.8%)</w:t>
            </w:r>
          </w:p>
        </w:tc>
        <w:tc>
          <w:tcPr>
            <w:tcW w:w="2551" w:type="dxa"/>
            <w:noWrap/>
            <w:vAlign w:val="bottom"/>
            <w:hideMark/>
          </w:tcPr>
          <w:p w14:paraId="00F9F1F2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92 (39.5%)</w:t>
            </w:r>
          </w:p>
        </w:tc>
      </w:tr>
      <w:tr w:rsidR="00D76D2E" w:rsidRPr="004D0EE5" w14:paraId="15A44875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57FD618E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2</w:t>
            </w:r>
          </w:p>
        </w:tc>
        <w:tc>
          <w:tcPr>
            <w:tcW w:w="2694" w:type="dxa"/>
            <w:noWrap/>
            <w:vAlign w:val="bottom"/>
            <w:hideMark/>
          </w:tcPr>
          <w:p w14:paraId="2E947192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326 (30.1%)</w:t>
            </w:r>
          </w:p>
        </w:tc>
        <w:tc>
          <w:tcPr>
            <w:tcW w:w="2551" w:type="dxa"/>
            <w:noWrap/>
            <w:vAlign w:val="bottom"/>
            <w:hideMark/>
          </w:tcPr>
          <w:p w14:paraId="0FD5BC44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71 (30.5%)</w:t>
            </w:r>
          </w:p>
        </w:tc>
      </w:tr>
      <w:tr w:rsidR="00D76D2E" w:rsidRPr="004D0EE5" w14:paraId="2B12B9CF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5A7C7C7B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3</w:t>
            </w:r>
          </w:p>
        </w:tc>
        <w:tc>
          <w:tcPr>
            <w:tcW w:w="2694" w:type="dxa"/>
            <w:noWrap/>
            <w:vAlign w:val="bottom"/>
            <w:hideMark/>
          </w:tcPr>
          <w:p w14:paraId="74C05B90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238 (22.0%)</w:t>
            </w:r>
          </w:p>
        </w:tc>
        <w:tc>
          <w:tcPr>
            <w:tcW w:w="2551" w:type="dxa"/>
            <w:noWrap/>
            <w:vAlign w:val="bottom"/>
            <w:hideMark/>
          </w:tcPr>
          <w:p w14:paraId="12859E33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52 (22.3%)</w:t>
            </w:r>
          </w:p>
        </w:tc>
      </w:tr>
      <w:tr w:rsidR="00D76D2E" w:rsidRPr="004D0EE5" w14:paraId="3A84B7DA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086F0548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4</w:t>
            </w:r>
          </w:p>
        </w:tc>
        <w:tc>
          <w:tcPr>
            <w:tcW w:w="2694" w:type="dxa"/>
            <w:noWrap/>
            <w:vAlign w:val="bottom"/>
            <w:hideMark/>
          </w:tcPr>
          <w:p w14:paraId="262A4EC9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14 (1.3%)</w:t>
            </w:r>
          </w:p>
        </w:tc>
        <w:tc>
          <w:tcPr>
            <w:tcW w:w="2551" w:type="dxa"/>
            <w:noWrap/>
            <w:vAlign w:val="bottom"/>
            <w:hideMark/>
          </w:tcPr>
          <w:p w14:paraId="401D2E44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2 (0.9%)</w:t>
            </w:r>
          </w:p>
        </w:tc>
      </w:tr>
      <w:tr w:rsidR="00D76D2E" w:rsidRPr="004D0EE5" w14:paraId="2E2BD660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108DF52C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Palliative Performance Scale</w:t>
            </w:r>
          </w:p>
        </w:tc>
        <w:tc>
          <w:tcPr>
            <w:tcW w:w="2694" w:type="dxa"/>
            <w:noWrap/>
            <w:vAlign w:val="bottom"/>
            <w:hideMark/>
          </w:tcPr>
          <w:p w14:paraId="31035DB2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</w:p>
        </w:tc>
        <w:tc>
          <w:tcPr>
            <w:tcW w:w="2551" w:type="dxa"/>
            <w:noWrap/>
            <w:vAlign w:val="bottom"/>
            <w:hideMark/>
          </w:tcPr>
          <w:p w14:paraId="692E3ECB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</w:p>
        </w:tc>
      </w:tr>
      <w:tr w:rsidR="00D76D2E" w:rsidRPr="004D0EE5" w14:paraId="7938034A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62CBF88A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20</w:t>
            </w:r>
          </w:p>
        </w:tc>
        <w:tc>
          <w:tcPr>
            <w:tcW w:w="2694" w:type="dxa"/>
            <w:noWrap/>
            <w:vAlign w:val="bottom"/>
            <w:hideMark/>
          </w:tcPr>
          <w:p w14:paraId="460AB3E7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0 (0.0%)</w:t>
            </w:r>
          </w:p>
        </w:tc>
        <w:tc>
          <w:tcPr>
            <w:tcW w:w="2551" w:type="dxa"/>
            <w:noWrap/>
            <w:vAlign w:val="bottom"/>
            <w:hideMark/>
          </w:tcPr>
          <w:p w14:paraId="23A482BB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2 (0.5%)</w:t>
            </w:r>
          </w:p>
        </w:tc>
      </w:tr>
      <w:tr w:rsidR="00D76D2E" w:rsidRPr="004D0EE5" w14:paraId="6D53544C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74E33965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30</w:t>
            </w:r>
          </w:p>
        </w:tc>
        <w:tc>
          <w:tcPr>
            <w:tcW w:w="2694" w:type="dxa"/>
            <w:noWrap/>
            <w:vAlign w:val="bottom"/>
            <w:hideMark/>
          </w:tcPr>
          <w:p w14:paraId="4C1DE049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10 (0.7%)</w:t>
            </w:r>
          </w:p>
        </w:tc>
        <w:tc>
          <w:tcPr>
            <w:tcW w:w="2551" w:type="dxa"/>
            <w:noWrap/>
            <w:vAlign w:val="bottom"/>
            <w:hideMark/>
          </w:tcPr>
          <w:p w14:paraId="31322F74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4 (0.9%)</w:t>
            </w:r>
          </w:p>
        </w:tc>
      </w:tr>
      <w:tr w:rsidR="00D76D2E" w:rsidRPr="004D0EE5" w14:paraId="0FE0EBB5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30D5DBAD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40</w:t>
            </w:r>
          </w:p>
        </w:tc>
        <w:tc>
          <w:tcPr>
            <w:tcW w:w="2694" w:type="dxa"/>
            <w:noWrap/>
            <w:vAlign w:val="bottom"/>
            <w:hideMark/>
          </w:tcPr>
          <w:p w14:paraId="17593D43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52 (3.8%)</w:t>
            </w:r>
          </w:p>
        </w:tc>
        <w:tc>
          <w:tcPr>
            <w:tcW w:w="2551" w:type="dxa"/>
            <w:noWrap/>
            <w:vAlign w:val="bottom"/>
            <w:hideMark/>
          </w:tcPr>
          <w:p w14:paraId="558FFCC5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40 (9.0%)</w:t>
            </w:r>
          </w:p>
        </w:tc>
      </w:tr>
      <w:tr w:rsidR="00D76D2E" w:rsidRPr="004D0EE5" w14:paraId="112EB415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42BF45F0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50</w:t>
            </w:r>
          </w:p>
        </w:tc>
        <w:tc>
          <w:tcPr>
            <w:tcW w:w="2694" w:type="dxa"/>
            <w:noWrap/>
            <w:vAlign w:val="bottom"/>
            <w:hideMark/>
          </w:tcPr>
          <w:p w14:paraId="3EEAD118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300 (21.8%)</w:t>
            </w:r>
          </w:p>
        </w:tc>
        <w:tc>
          <w:tcPr>
            <w:tcW w:w="2551" w:type="dxa"/>
            <w:noWrap/>
            <w:vAlign w:val="bottom"/>
            <w:hideMark/>
          </w:tcPr>
          <w:p w14:paraId="51645571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97 (21.8%)</w:t>
            </w:r>
          </w:p>
        </w:tc>
      </w:tr>
      <w:tr w:rsidR="00D76D2E" w:rsidRPr="004D0EE5" w14:paraId="01BA2807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47BF4FE9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60</w:t>
            </w:r>
          </w:p>
        </w:tc>
        <w:tc>
          <w:tcPr>
            <w:tcW w:w="2694" w:type="dxa"/>
            <w:noWrap/>
            <w:vAlign w:val="bottom"/>
            <w:hideMark/>
          </w:tcPr>
          <w:p w14:paraId="11698606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400 (29.1%)</w:t>
            </w:r>
          </w:p>
        </w:tc>
        <w:tc>
          <w:tcPr>
            <w:tcW w:w="2551" w:type="dxa"/>
            <w:noWrap/>
            <w:vAlign w:val="bottom"/>
            <w:hideMark/>
          </w:tcPr>
          <w:p w14:paraId="184748A2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123 (27.7%)</w:t>
            </w:r>
          </w:p>
        </w:tc>
      </w:tr>
      <w:tr w:rsidR="00D76D2E" w:rsidRPr="004D0EE5" w14:paraId="3CCC899E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5D9E385B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70</w:t>
            </w:r>
          </w:p>
        </w:tc>
        <w:tc>
          <w:tcPr>
            <w:tcW w:w="2694" w:type="dxa"/>
            <w:noWrap/>
            <w:vAlign w:val="bottom"/>
            <w:hideMark/>
          </w:tcPr>
          <w:p w14:paraId="19E4F486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398 (28.9%)</w:t>
            </w:r>
          </w:p>
        </w:tc>
        <w:tc>
          <w:tcPr>
            <w:tcW w:w="2551" w:type="dxa"/>
            <w:noWrap/>
            <w:vAlign w:val="bottom"/>
            <w:hideMark/>
          </w:tcPr>
          <w:p w14:paraId="7F856DA7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122 (27.5%)</w:t>
            </w:r>
          </w:p>
        </w:tc>
      </w:tr>
      <w:tr w:rsidR="00D76D2E" w:rsidRPr="004D0EE5" w14:paraId="41145092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0DC8463F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80</w:t>
            </w:r>
          </w:p>
        </w:tc>
        <w:tc>
          <w:tcPr>
            <w:tcW w:w="2694" w:type="dxa"/>
            <w:noWrap/>
            <w:vAlign w:val="bottom"/>
            <w:hideMark/>
          </w:tcPr>
          <w:p w14:paraId="573B9C2D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152 (11.1%)</w:t>
            </w:r>
          </w:p>
        </w:tc>
        <w:tc>
          <w:tcPr>
            <w:tcW w:w="2551" w:type="dxa"/>
            <w:noWrap/>
            <w:vAlign w:val="bottom"/>
            <w:hideMark/>
          </w:tcPr>
          <w:p w14:paraId="24E35A84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41 (9.2%)</w:t>
            </w:r>
          </w:p>
        </w:tc>
      </w:tr>
      <w:tr w:rsidR="00D76D2E" w:rsidRPr="004D0EE5" w14:paraId="397F3790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4363C9FB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90</w:t>
            </w:r>
          </w:p>
        </w:tc>
        <w:tc>
          <w:tcPr>
            <w:tcW w:w="2694" w:type="dxa"/>
            <w:noWrap/>
            <w:vAlign w:val="bottom"/>
            <w:hideMark/>
          </w:tcPr>
          <w:p w14:paraId="66486CF6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58 (4.2%)</w:t>
            </w:r>
          </w:p>
        </w:tc>
        <w:tc>
          <w:tcPr>
            <w:tcW w:w="2551" w:type="dxa"/>
            <w:noWrap/>
            <w:vAlign w:val="bottom"/>
            <w:hideMark/>
          </w:tcPr>
          <w:p w14:paraId="0388FDDA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12 (2.7%)</w:t>
            </w:r>
          </w:p>
        </w:tc>
      </w:tr>
      <w:tr w:rsidR="00D76D2E" w:rsidRPr="004D0EE5" w14:paraId="217F25CA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60835EF6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100</w:t>
            </w:r>
          </w:p>
        </w:tc>
        <w:tc>
          <w:tcPr>
            <w:tcW w:w="2694" w:type="dxa"/>
            <w:noWrap/>
            <w:vAlign w:val="bottom"/>
            <w:hideMark/>
          </w:tcPr>
          <w:p w14:paraId="2ADEE06E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5 (0.4%)</w:t>
            </w:r>
          </w:p>
        </w:tc>
        <w:tc>
          <w:tcPr>
            <w:tcW w:w="2551" w:type="dxa"/>
            <w:noWrap/>
            <w:vAlign w:val="bottom"/>
            <w:hideMark/>
          </w:tcPr>
          <w:p w14:paraId="4354A65D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3 (0.7%)</w:t>
            </w:r>
          </w:p>
        </w:tc>
      </w:tr>
      <w:tr w:rsidR="00D76D2E" w:rsidRPr="004D0EE5" w14:paraId="4456F910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25D96E5B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Estimated prognosis by referring clinician</w:t>
            </w:r>
          </w:p>
        </w:tc>
        <w:tc>
          <w:tcPr>
            <w:tcW w:w="2694" w:type="dxa"/>
            <w:noWrap/>
            <w:vAlign w:val="bottom"/>
            <w:hideMark/>
          </w:tcPr>
          <w:p w14:paraId="216B66D6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</w:p>
        </w:tc>
        <w:tc>
          <w:tcPr>
            <w:tcW w:w="2551" w:type="dxa"/>
            <w:noWrap/>
            <w:vAlign w:val="bottom"/>
            <w:hideMark/>
          </w:tcPr>
          <w:p w14:paraId="3054E80D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</w:p>
        </w:tc>
      </w:tr>
      <w:tr w:rsidR="00D76D2E" w:rsidRPr="004D0EE5" w14:paraId="4E1D47D7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579DB972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&lt;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6 months</w:t>
            </w:r>
          </w:p>
        </w:tc>
        <w:tc>
          <w:tcPr>
            <w:tcW w:w="2694" w:type="dxa"/>
            <w:noWrap/>
            <w:vAlign w:val="bottom"/>
            <w:hideMark/>
          </w:tcPr>
          <w:p w14:paraId="58E03410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470 (23.8%)</w:t>
            </w:r>
          </w:p>
        </w:tc>
        <w:tc>
          <w:tcPr>
            <w:tcW w:w="2551" w:type="dxa"/>
            <w:noWrap/>
            <w:vAlign w:val="bottom"/>
            <w:hideMark/>
          </w:tcPr>
          <w:p w14:paraId="2C3A2800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360 (25.2%)</w:t>
            </w:r>
          </w:p>
        </w:tc>
      </w:tr>
      <w:tr w:rsidR="00D76D2E" w:rsidRPr="004D0EE5" w14:paraId="0B0AC330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5459D3A7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6-24 month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s</w:t>
            </w:r>
          </w:p>
        </w:tc>
        <w:tc>
          <w:tcPr>
            <w:tcW w:w="2694" w:type="dxa"/>
            <w:noWrap/>
            <w:vAlign w:val="bottom"/>
            <w:hideMark/>
          </w:tcPr>
          <w:p w14:paraId="151991A0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572 (29.0%)</w:t>
            </w:r>
          </w:p>
        </w:tc>
        <w:tc>
          <w:tcPr>
            <w:tcW w:w="2551" w:type="dxa"/>
            <w:noWrap/>
            <w:vAlign w:val="bottom"/>
            <w:hideMark/>
          </w:tcPr>
          <w:p w14:paraId="10F46671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428 (29.9%)</w:t>
            </w:r>
          </w:p>
        </w:tc>
      </w:tr>
      <w:tr w:rsidR="00D76D2E" w:rsidRPr="004D0EE5" w14:paraId="5FE638DE" w14:textId="77777777" w:rsidTr="00603200">
        <w:trPr>
          <w:trHeight w:val="20"/>
        </w:trPr>
        <w:tc>
          <w:tcPr>
            <w:tcW w:w="3969" w:type="dxa"/>
            <w:noWrap/>
            <w:vAlign w:val="bottom"/>
            <w:hideMark/>
          </w:tcPr>
          <w:p w14:paraId="36EEBC83" w14:textId="77777777" w:rsidR="00D76D2E" w:rsidRPr="004D0EE5" w:rsidRDefault="00D76D2E" w:rsidP="00603200">
            <w:pPr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 xml:space="preserve">   </w:t>
            </w:r>
            <w:r w:rsidRPr="003378FF">
              <w:rPr>
                <w:rFonts w:asciiTheme="minorHAnsi" w:hAnsiTheme="minorHAnsi" w:cstheme="minorHAnsi"/>
                <w:sz w:val="22"/>
                <w:szCs w:val="22"/>
                <w:lang w:eastAsia="en-CA"/>
              </w:rPr>
              <w:t>Uncertain</w:t>
            </w:r>
          </w:p>
        </w:tc>
        <w:tc>
          <w:tcPr>
            <w:tcW w:w="2694" w:type="dxa"/>
            <w:noWrap/>
            <w:vAlign w:val="bottom"/>
            <w:hideMark/>
          </w:tcPr>
          <w:p w14:paraId="7FC2D0A4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929 (47.1%)</w:t>
            </w:r>
          </w:p>
        </w:tc>
        <w:tc>
          <w:tcPr>
            <w:tcW w:w="2551" w:type="dxa"/>
            <w:noWrap/>
            <w:vAlign w:val="bottom"/>
            <w:hideMark/>
          </w:tcPr>
          <w:p w14:paraId="6FCB28B9" w14:textId="77777777" w:rsidR="00D76D2E" w:rsidRPr="004D0EE5" w:rsidRDefault="00D76D2E" w:rsidP="00603200">
            <w:pPr>
              <w:jc w:val="center"/>
              <w:rPr>
                <w:rFonts w:ascii="Calibri" w:hAnsi="Calibri" w:cs="Calibri"/>
                <w:sz w:val="22"/>
                <w:szCs w:val="22"/>
                <w:lang w:eastAsia="en-CA"/>
              </w:rPr>
            </w:pPr>
            <w:r w:rsidRPr="004D0EE5">
              <w:rPr>
                <w:rFonts w:ascii="Calibri" w:hAnsi="Calibri" w:cs="Calibri"/>
                <w:sz w:val="22"/>
                <w:szCs w:val="22"/>
                <w:lang w:eastAsia="en-CA"/>
              </w:rPr>
              <w:t>643 (44.9%)</w:t>
            </w:r>
          </w:p>
        </w:tc>
      </w:tr>
    </w:tbl>
    <w:p w14:paraId="1E2079A3" w14:textId="77777777" w:rsidR="00D76D2E" w:rsidRDefault="00D76D2E" w:rsidP="00D76D2E">
      <w:pPr>
        <w:widowControl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EE725A6" w14:textId="77777777" w:rsidR="00D76D2E" w:rsidRDefault="00D76D2E" w:rsidP="00D76D2E">
      <w:pPr>
        <w:widowControl w:val="0"/>
        <w:rPr>
          <w:rFonts w:asciiTheme="minorHAnsi" w:hAnsiTheme="minorHAnsi" w:cstheme="minorHAnsi"/>
          <w:color w:val="000000"/>
          <w:sz w:val="20"/>
          <w:szCs w:val="20"/>
        </w:rPr>
      </w:pPr>
      <w:r w:rsidRPr="00C924C0">
        <w:rPr>
          <w:rFonts w:asciiTheme="minorHAnsi" w:hAnsiTheme="minorHAnsi" w:cstheme="minorHAnsi"/>
          <w:color w:val="000000"/>
          <w:sz w:val="20"/>
          <w:szCs w:val="20"/>
        </w:rPr>
        <w:t>Missing/not documented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: </w:t>
      </w:r>
      <w:r w:rsidRPr="00C924C0">
        <w:rPr>
          <w:rFonts w:asciiTheme="minorHAnsi" w:hAnsiTheme="minorHAnsi" w:cstheme="minorHAnsi"/>
          <w:color w:val="000000"/>
          <w:sz w:val="20"/>
          <w:szCs w:val="20"/>
        </w:rPr>
        <w:t>primary cancer, n</w:t>
      </w:r>
      <w:r>
        <w:rPr>
          <w:rFonts w:asciiTheme="minorHAnsi" w:hAnsiTheme="minorHAnsi" w:cstheme="minorHAnsi"/>
          <w:color w:val="000000"/>
          <w:sz w:val="20"/>
          <w:szCs w:val="20"/>
        </w:rPr>
        <w:t>=2 (0.1%) in completed, n=24 (1.6%) in missing</w:t>
      </w:r>
      <w:r w:rsidRPr="00C924C0">
        <w:rPr>
          <w:rFonts w:asciiTheme="minorHAnsi" w:hAnsiTheme="minorHAnsi" w:cstheme="minorHAnsi"/>
          <w:color w:val="000000"/>
          <w:sz w:val="20"/>
          <w:szCs w:val="20"/>
        </w:rPr>
        <w:t>;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C924C0">
        <w:rPr>
          <w:rFonts w:asciiTheme="minorHAnsi" w:hAnsiTheme="minorHAnsi" w:cstheme="minorHAnsi"/>
          <w:color w:val="000000"/>
          <w:sz w:val="20"/>
          <w:szCs w:val="20"/>
        </w:rPr>
        <w:t xml:space="preserve">ECOG, </w:t>
      </w:r>
      <w:r>
        <w:rPr>
          <w:rFonts w:asciiTheme="minorHAnsi" w:hAnsiTheme="minorHAnsi" w:cstheme="minorHAnsi"/>
          <w:color w:val="000000"/>
          <w:sz w:val="20"/>
          <w:szCs w:val="20"/>
        </w:rPr>
        <w:t>n=973 (47.3%) in completed, n=1297 (84.8%) in missing</w:t>
      </w:r>
      <w:r w:rsidRPr="00C924C0">
        <w:rPr>
          <w:rFonts w:asciiTheme="minorHAnsi" w:hAnsiTheme="minorHAnsi" w:cstheme="minorHAnsi"/>
          <w:color w:val="000000"/>
          <w:sz w:val="20"/>
          <w:szCs w:val="20"/>
        </w:rPr>
        <w:t xml:space="preserve">; PPS, </w:t>
      </w:r>
      <w:r>
        <w:rPr>
          <w:rFonts w:asciiTheme="minorHAnsi" w:hAnsiTheme="minorHAnsi" w:cstheme="minorHAnsi"/>
          <w:color w:val="000000"/>
          <w:sz w:val="20"/>
          <w:szCs w:val="20"/>
        </w:rPr>
        <w:t>n=682 (33.2%) in completed, n=1086 (71.0%) in missing;</w:t>
      </w:r>
      <w:r w:rsidRPr="00C924C0">
        <w:rPr>
          <w:rFonts w:asciiTheme="minorHAnsi" w:hAnsiTheme="minorHAnsi" w:cstheme="minorHAnsi"/>
          <w:color w:val="000000"/>
          <w:sz w:val="20"/>
          <w:szCs w:val="20"/>
        </w:rPr>
        <w:t xml:space="preserve"> estimated prognosis,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n=86 (4.2%) in completed, n=99 (6.5%)</w:t>
      </w:r>
      <w:r w:rsidRPr="00C924C0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in missing. </w:t>
      </w:r>
    </w:p>
    <w:p w14:paraId="649C3D6D" w14:textId="77777777" w:rsidR="00D76D2E" w:rsidRDefault="00D76D2E" w:rsidP="00D76D2E">
      <w:pPr>
        <w:widowControl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8ED5C8E" w14:textId="77777777" w:rsidR="00D76D2E" w:rsidRPr="00BB40CD" w:rsidRDefault="00D76D2E" w:rsidP="00D76D2E">
      <w:pPr>
        <w:widowControl w:val="0"/>
        <w:rPr>
          <w:rFonts w:asciiTheme="minorHAnsi" w:eastAsia="Calibri" w:hAnsiTheme="minorHAnsi" w:cstheme="minorHAnsi"/>
          <w:color w:val="000000" w:themeColor="text1"/>
        </w:rPr>
      </w:pPr>
      <w:r w:rsidRPr="00C924C0">
        <w:rPr>
          <w:rFonts w:ascii="Calibri" w:hAnsi="Calibri" w:cs="Calibri"/>
          <w:sz w:val="20"/>
          <w:szCs w:val="20"/>
        </w:rPr>
        <w:t>Abbreviations: ECOG, Eastern Cooperative Oncology Group; PPS, Palliative Performance Scale</w:t>
      </w:r>
      <w:r>
        <w:rPr>
          <w:rFonts w:ascii="Calibri" w:hAnsi="Calibri" w:cs="Calibri"/>
          <w:sz w:val="20"/>
          <w:szCs w:val="20"/>
        </w:rPr>
        <w:t>;</w:t>
      </w:r>
      <w:r w:rsidRPr="00C924C0">
        <w:rPr>
          <w:rFonts w:ascii="Calibri" w:hAnsi="Calibri" w:cs="Calibri"/>
          <w:sz w:val="20"/>
          <w:szCs w:val="20"/>
        </w:rPr>
        <w:t xml:space="preserve"> ESAS-r-CS,</w:t>
      </w:r>
      <w:r>
        <w:rPr>
          <w:rFonts w:ascii="Calibri" w:hAnsi="Calibri" w:cs="Calibri"/>
          <w:sz w:val="20"/>
          <w:szCs w:val="20"/>
        </w:rPr>
        <w:t xml:space="preserve"> </w:t>
      </w:r>
      <w:r w:rsidRPr="00C924C0">
        <w:rPr>
          <w:rFonts w:ascii="Calibri" w:hAnsi="Calibri" w:cs="Calibri"/>
          <w:sz w:val="20"/>
          <w:szCs w:val="20"/>
        </w:rPr>
        <w:t>Edmonton Symptom Assessment System-revised version with Constipation and Sleep; SD, standard deviation.</w:t>
      </w:r>
    </w:p>
    <w:p w14:paraId="3A9C1D80" w14:textId="77777777" w:rsidR="00F553FF" w:rsidRDefault="00F553FF"/>
    <w:sectPr w:rsidR="00F553FF" w:rsidSect="00D76D2E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22762436"/>
      <w:docPartObj>
        <w:docPartGallery w:val="Page Numbers (Bottom of Page)"/>
        <w:docPartUnique/>
      </w:docPartObj>
    </w:sdtPr>
    <w:sdtContent>
      <w:p w14:paraId="1821748D" w14:textId="77777777" w:rsidR="00D76D2E" w:rsidRDefault="00D76D2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680F3C1" w14:textId="77777777" w:rsidR="00D76D2E" w:rsidRDefault="00D76D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9ABA3" w14:textId="77777777" w:rsidR="00D76D2E" w:rsidRPr="00E500E5" w:rsidRDefault="00D76D2E" w:rsidP="728E79C4">
    <w:pPr>
      <w:pStyle w:val="Footer"/>
      <w:jc w:val="center"/>
      <w:rPr>
        <w:rFonts w:asciiTheme="minorHAnsi" w:eastAsiaTheme="minorEastAsia" w:hAnsiTheme="minorHAnsi" w:cstheme="minorHAnsi"/>
      </w:rPr>
    </w:pPr>
    <w:r w:rsidRPr="00E500E5">
      <w:rPr>
        <w:rFonts w:asciiTheme="minorHAnsi" w:eastAsiaTheme="minorEastAsia" w:hAnsiTheme="minorHAnsi" w:cstheme="minorHAnsi"/>
      </w:rPr>
      <w:fldChar w:fldCharType="begin"/>
    </w:r>
    <w:r w:rsidRPr="00E500E5">
      <w:rPr>
        <w:rFonts w:asciiTheme="minorHAnsi" w:hAnsiTheme="minorHAnsi" w:cstheme="minorHAnsi"/>
      </w:rPr>
      <w:instrText>PAGE</w:instrText>
    </w:r>
    <w:r w:rsidRPr="00E500E5">
      <w:rPr>
        <w:rFonts w:asciiTheme="minorHAnsi" w:eastAsiaTheme="minorEastAsia" w:hAnsiTheme="minorHAnsi" w:cstheme="minorHAnsi"/>
      </w:rPr>
      <w:fldChar w:fldCharType="separate"/>
    </w:r>
    <w:r>
      <w:rPr>
        <w:rFonts w:asciiTheme="minorHAnsi" w:hAnsiTheme="minorHAnsi" w:cstheme="minorHAnsi"/>
        <w:noProof/>
      </w:rPr>
      <w:t>10</w:t>
    </w:r>
    <w:r w:rsidRPr="00E500E5">
      <w:rPr>
        <w:rFonts w:asciiTheme="minorHAnsi" w:hAnsiTheme="minorHAnsi" w:cstheme="minorHAnsi"/>
      </w:rPr>
      <w:fldChar w:fldCharType="end"/>
    </w:r>
  </w:p>
  <w:sdt>
    <w:sdtPr>
      <w:rPr>
        <w:rStyle w:val="PageNumber"/>
      </w:rPr>
      <w:id w:val="1499456632"/>
      <w:showingPlcHdr/>
      <w:docPartObj>
        <w:docPartGallery w:val="Page Numbers (Bottom of Page)"/>
        <w:docPartUnique/>
      </w:docPartObj>
    </w:sdtPr>
    <w:sdtContent>
      <w:p w14:paraId="4EDA41B7" w14:textId="77777777" w:rsidR="00D76D2E" w:rsidRDefault="00D76D2E" w:rsidP="728E79C4">
        <w:pPr>
          <w:pStyle w:val="Footer"/>
          <w:framePr w:wrap="none" w:vAnchor="text" w:hAnchor="margin" w:xAlign="center" w:y="1"/>
          <w:rPr>
            <w:rStyle w:val="PageNumber"/>
            <w:noProof/>
          </w:rPr>
        </w:pPr>
        <w:r w:rsidRPr="728E79C4">
          <w:rPr>
            <w:rStyle w:val="PlaceholderText"/>
          </w:rPr>
          <w:t xml:space="preserve">     </w:t>
        </w:r>
      </w:p>
    </w:sdtContent>
  </w:sdt>
  <w:p w14:paraId="2617D77C" w14:textId="77777777" w:rsidR="00D76D2E" w:rsidRDefault="00D76D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8D637" w14:textId="77777777" w:rsidR="00D76D2E" w:rsidRDefault="00D76D2E" w:rsidP="728E79C4">
    <w:pPr>
      <w:pStyle w:val="Footer"/>
      <w:jc w:val="center"/>
      <w:rPr>
        <w:rFonts w:asciiTheme="minorHAnsi" w:eastAsiaTheme="minorEastAsia" w:hAnsiTheme="minorHAnsi" w:cstheme="minorBidi"/>
      </w:rPr>
    </w:pPr>
  </w:p>
  <w:p w14:paraId="3F4EBE98" w14:textId="77777777" w:rsidR="00D76D2E" w:rsidRDefault="00D76D2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4AB40" w14:textId="77777777" w:rsidR="00D76D2E" w:rsidRDefault="00D76D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B0F0" w14:textId="77777777" w:rsidR="00D76D2E" w:rsidRPr="00191EC5" w:rsidRDefault="00D76D2E">
    <w:pPr>
      <w:pStyle w:val="Header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</w:t>
    </w:r>
    <w:r w:rsidRPr="00191EC5">
      <w:rPr>
        <w:rFonts w:asciiTheme="minorHAnsi" w:hAnsiTheme="minorHAnsi" w:cstheme="minorHAnsi"/>
        <w:sz w:val="22"/>
        <w:szCs w:val="22"/>
      </w:rPr>
      <w:t xml:space="preserve">sychostimulant </w:t>
    </w:r>
    <w:r>
      <w:rPr>
        <w:rFonts w:asciiTheme="minorHAnsi" w:hAnsiTheme="minorHAnsi" w:cstheme="minorHAnsi"/>
        <w:sz w:val="22"/>
        <w:szCs w:val="22"/>
      </w:rPr>
      <w:t>use for CRF</w:t>
    </w:r>
    <w:r w:rsidRPr="00191EC5">
      <w:rPr>
        <w:rFonts w:asciiTheme="minorHAnsi" w:hAnsiTheme="minorHAnsi" w:cstheme="minorHAnsi"/>
        <w:sz w:val="22"/>
        <w:szCs w:val="22"/>
      </w:rPr>
      <w:t xml:space="preserve"> i</w:t>
    </w:r>
    <w:r>
      <w:rPr>
        <w:rFonts w:asciiTheme="minorHAnsi" w:hAnsiTheme="minorHAnsi" w:cstheme="minorHAnsi"/>
        <w:sz w:val="22"/>
        <w:szCs w:val="22"/>
      </w:rPr>
      <w:t>n OPCC</w:t>
    </w:r>
    <w:r>
      <w:rPr>
        <w:rFonts w:asciiTheme="minorHAnsi" w:hAnsiTheme="minorHAnsi" w:cstheme="minorHAnsi"/>
        <w:sz w:val="22"/>
        <w:szCs w:val="22"/>
      </w:rPr>
      <w:tab/>
    </w:r>
    <w:r w:rsidRPr="00191EC5">
      <w:rPr>
        <w:rFonts w:asciiTheme="minorHAnsi" w:hAnsiTheme="minorHAnsi" w:cstheme="minorHAnsi"/>
        <w:sz w:val="22"/>
        <w:szCs w:val="22"/>
      </w:rPr>
      <w:tab/>
      <w:t>Chin-Yee et al.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23789" w14:textId="77777777" w:rsidR="00D76D2E" w:rsidRDefault="00D76D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2E"/>
    <w:rsid w:val="003C2EF4"/>
    <w:rsid w:val="00446799"/>
    <w:rsid w:val="00471820"/>
    <w:rsid w:val="0064259E"/>
    <w:rsid w:val="006A7E07"/>
    <w:rsid w:val="00701021"/>
    <w:rsid w:val="00866E40"/>
    <w:rsid w:val="00B74216"/>
    <w:rsid w:val="00CF0FCC"/>
    <w:rsid w:val="00D62F8C"/>
    <w:rsid w:val="00D76D2E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B4F88"/>
  <w15:chartTrackingRefBased/>
  <w15:docId w15:val="{749C849B-A828-4D0D-B88C-F720F129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D2E"/>
    <w:pPr>
      <w:spacing w:after="0" w:line="240" w:lineRule="auto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6D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D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D2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D2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D2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D2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D2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D2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D2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D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D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D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D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D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D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D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6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D2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6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D2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6D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D2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6D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D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D2E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76D2E"/>
    <w:rPr>
      <w:color w:val="666666"/>
    </w:rPr>
  </w:style>
  <w:style w:type="paragraph" w:styleId="Footer">
    <w:name w:val="footer"/>
    <w:basedOn w:val="Normal"/>
    <w:link w:val="FooterChar"/>
    <w:uiPriority w:val="99"/>
    <w:unhideWhenUsed/>
    <w:rsid w:val="00D76D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D2E"/>
    <w:rPr>
      <w:rFonts w:ascii="Times New Roman" w:eastAsia="Times New Roman" w:hAnsi="Times New Roman" w:cs="Times New Roman"/>
      <w:kern w:val="0"/>
      <w:lang w:val="en-CA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D76D2E"/>
  </w:style>
  <w:style w:type="paragraph" w:styleId="Header">
    <w:name w:val="header"/>
    <w:basedOn w:val="Normal"/>
    <w:link w:val="HeaderChar"/>
    <w:uiPriority w:val="99"/>
    <w:unhideWhenUsed/>
    <w:rsid w:val="00D76D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D2E"/>
    <w:rPr>
      <w:rFonts w:ascii="Times New Roman" w:eastAsia="Times New Roman" w:hAnsi="Times New Roman" w:cs="Times New Roman"/>
      <w:kern w:val="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1587</Characters>
  <Application>Microsoft Office Word</Application>
  <DocSecurity>0</DocSecurity>
  <Lines>13</Lines>
  <Paragraphs>3</Paragraphs>
  <ScaleCrop>false</ScaleCrop>
  <Company>Springer Nature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2026-10-30T12:12:00Z</dcterms:created>
  <dcterms:modified xsi:type="dcterms:W3CDTF">2026-10-30T12:12:00Z</dcterms:modified>
</cp:coreProperties>
</file>