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?>
<Relationships xmlns="http://schemas.openxmlformats.org/package/2006/relationships"><Relationship Id="rId4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1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2"/>
        </w:rPr>
        <w:t>Additional file 1</w:t>
      </w:r>
    </w:p>
    <w:p>
      <w:pPr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Supplementary methods, tables, and figures</w:t>
      </w:r>
    </w:p>
    <w:p>
      <w:pPr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i/>
          <w:color w:val="000000"/>
          <w:sz w:val="22"/>
        </w:rPr>
        <w:t>Sonographic fatty liver and current gallstones among normal-weight adults at a Chinese health-check center: a cross-sectional study of 162,312 participants</w:t>
      </w:r>
    </w:p>
    <w:p>
      <w:pPr>
        <w:pStyle w:val="2"/>
        <w:keepNext/>
        <w:pageBreakBefore w:val="0"/>
        <w:spacing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Supplementary methods</w:t>
      </w:r>
    </w:p>
    <w:p>
      <w:pPr>
        <w:pStyle w:val="4"/>
        <w:keepNext/>
        <w:pageBreakBefore w:val="0"/>
        <w:spacing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Operational ultrasound coding</w:t>
      </w:r>
    </w:p>
    <w:p>
      <w:pPr>
        <w:pStyle w:val="24"/>
        <w:keepNext w:val="0"/>
        <w:pageBreakBefore w:val="0"/>
        <w:spacing w:line="240" w:lineRule="auto"/>
      </w:pPr>
      <w:r>
        <w:rPr>
          <w:rFonts w:ascii="Times New Roman" w:hAnsi="Times New Roman" w:eastAsia="Times New Roman"/>
          <w:color w:val="000000"/>
        </w:rPr>
        <w:t>Reports were first required to have ultrasound-specific language or compatible hepatobiliary project context. Organ sections ended at the next major-organ heading. Positive, negative, uncertain, postoperative, and quality states were retained separately before examination-level aggregation. A report describing only a focal hepatic lesion did not establish that liver parenchyma was assessed for steatosis. A nonvisualized gallbladder was not treated as confirmed cholecystectomy and was not eligible for a current-gallstone negative label. Gallbladder observability was established only from the organ-local gallbladder section, so renal or other-organ terms such as cyst-wall descriptions could not make a nonvisualized gallbladder appear assessable. Historical or postoperative stone terms alone did not establish current gallstones, and tentative wording was retained as uncertain. Quantitative field labels such as B-mode Ratio or an ultrasound-guided attenuation parameter (UGAP) 'fatty liver index' were not interpreted as diagnoses without narrative or characteristic parenchymal evidence.</w:t>
      </w:r>
    </w:p>
    <w:p>
      <w:pPr>
        <w:pStyle w:val="24"/>
        <w:keepNext w:val="0"/>
        <w:pageBreakBefore w:val="0"/>
        <w:spacing w:line="240" w:lineRule="auto"/>
      </w:pPr>
      <w:r>
        <w:rPr>
          <w:rFonts w:ascii="Times New Roman" w:hAnsi="Times New Roman" w:eastAsia="Times New Roman"/>
          <w:color w:val="000000"/>
        </w:rPr>
        <w:t>For examinations with more than one eligible report, liver and gallbladder evidence were aggregated independently. A positive-negative contradiction for the same label, or a post-cholecystectomy statement combined with current gallbladder evidence, produced an unclassifiable conflict. In the absence of conflict, definite positive evidence took precedence over tentative wording, and tentative wording precluded a negative label. The full source distribution of report counts and conflicts was audited, and a sensitivity analysis retained only index examinations with one eligible report.</w:t>
      </w:r>
    </w:p>
    <w:p>
      <w:pPr>
        <w:pStyle w:val="4"/>
        <w:keepNext/>
        <w:pageBreakBefore w:val="0"/>
        <w:spacing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Data cleaning and physiologic ranges</w:t>
      </w:r>
    </w:p>
    <w:p>
      <w:pPr>
        <w:pStyle w:val="24"/>
        <w:keepNext w:val="0"/>
        <w:pageBreakBefore w:val="0"/>
        <w:spacing w:line="240" w:lineRule="auto"/>
      </w:pPr>
      <w:r>
        <w:rPr>
          <w:rFonts w:ascii="Times New Roman" w:hAnsi="Times New Roman" w:eastAsia="Times New Roman"/>
          <w:color w:val="000000"/>
        </w:rPr>
        <w:t>When a source cell contained multiple pipe-delimited numeric results, the median was used. Values outside the following inclusive physiologic ranges were set to missing: age 18-100 years; height 100-230 cm; weight 25-250 kg; reported or derived BMI 10-80 kg/m²; systolic blood pressure 50-260 mmHg; diastolic blood pressure 30-160 mmHg; HbA1c 3-20%; triglycerides 0.05-100 mmol/L; total cholesterol 0.5-30 mmol/L; HDL-C 0.1-10 mmol/L; LDL-C 0.1-20 mmol/L; uric acid 30-1,500 μmol/L; creatinine 5-2,000 μmol/L; ALT, AST, GGT, and ALP 0-5,000 U/L; total bile acid 0-1,000 μmol/L; white blood cell count 0.5-100 ×10⁹/L; neutrophil percentage 0-100%; absolute neutrophil count 0-100 ×10⁹/L; platelet count 1-2,000 ×10⁹/L; and CRP 0-500 mg/L. Boundary values were retained. These bounds were data-cleaning safeguards rather than clinical reference ranges or diagnostic thresholds.</w:t>
      </w:r>
    </w:p>
    <w:p>
      <w:pPr>
        <w:pStyle w:val="4"/>
        <w:keepNext/>
        <w:pageBreakBefore w:val="0"/>
        <w:spacing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Index-examination sensitivity</w:t>
      </w:r>
    </w:p>
    <w:p>
      <w:pPr>
        <w:pStyle w:val="24"/>
        <w:keepNext w:val="0"/>
        <w:pageBreakBefore w:val="0"/>
        <w:spacing w:line="240" w:lineRule="auto"/>
      </w:pPr>
      <w:r>
        <w:rPr>
          <w:rFonts w:ascii="Times New Roman" w:hAnsi="Times New Roman" w:eastAsia="Times New Roman"/>
          <w:color w:val="000000"/>
        </w:rPr>
        <w:t>The primary pseudo-random rank was a deterministic Secure Hash Algorithm 256-bit (SHA-256) hash of the privacy-preserving person key and health-check identifier. Ten alternative SHA-256 ranks changed the selected examination while preserving one examination per linked adult. The most-complete sensitivity selected the examination with the greatest count of available metabolic measurements, with the fixed pseudo-random rank breaking ties.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Table S1. Operational ultrasound label definitions</w:t>
      </w:r>
    </w:p>
    <w:tbl>
      <w:tblPr>
        <w:tblW w:type="dxa" w:w="8000"/>
        <w:jc w:val="center"/>
        <w:tblLayout w:type="fixed"/>
        <w:tblLook w:firstColumn="1" w:firstRow="1" w:lastColumn="0" w:lastRow="0" w:noHBand="0" w:noVBand="1" w:val="04A0"/>
      </w:tblPr>
      <w:tblGrid>
        <w:gridCol w:w="1550"/>
        <w:gridCol w:w="3800"/>
        <w:gridCol w:w="2650"/>
      </w:tblGrid>
      <w:tr>
        <w:trPr>
          <w:cantSplit/>
          <w:tblHeader w:val="true"/>
        </w:trPr>
        <w:tc>
          <w:tcPr>
            <w:tcW w:type="dxa" w:w="15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State</w:t>
            </w:r>
          </w:p>
        </w:tc>
        <w:tc>
          <w:tcPr>
            <w:tcW w:type="dxa" w:w="38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Required evidence</w:t>
            </w:r>
          </w:p>
        </w:tc>
        <w:tc>
          <w:tcPr>
            <w:tcW w:type="dxa" w:w="26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Conservative safeguard</w:t>
            </w:r>
          </w:p>
        </w:tc>
      </w:tr>
      <w:tr>
        <w:tc>
          <w:tcPr>
            <w:tcW w:type="dxa" w:w="15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Assessable liver</w:t>
            </w:r>
          </w:p>
        </w:tc>
        <w:tc>
          <w:tcPr>
            <w:tcW w:type="dxa" w:w="3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Parenchymal echo description, explicit fatty-liver diagnosis, or explicit normal liver parenchyma</w:t>
            </w:r>
          </w:p>
        </w:tc>
        <w:tc>
          <w:tcPr>
            <w:tcW w:type="dxa" w:w="26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Focal lesion alone did not qualify</w:t>
            </w:r>
          </w:p>
        </w:tc>
      </w:tr>
      <w:tr>
        <w:tc>
          <w:tcPr>
            <w:tcW w:type="dxa" w:w="15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Fatty liver positive</w:t>
            </w:r>
          </w:p>
        </w:tc>
        <w:tc>
          <w:tcPr>
            <w:tcW w:type="dxa" w:w="3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Non-negated narrative diagnosis or characteristic diffuse/fine dense increased echo pattern</w:t>
            </w:r>
          </w:p>
        </w:tc>
        <w:tc>
          <w:tcPr>
            <w:tcW w:type="dxa" w:w="26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Measurement-field names such as B-mode Ratio/UGAP 'fatty liver index' alone did not qualify</w:t>
            </w:r>
          </w:p>
        </w:tc>
      </w:tr>
      <w:tr>
        <w:tc>
          <w:tcPr>
            <w:tcW w:type="dxa" w:w="15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Observable gallbladder</w:t>
            </w:r>
          </w:p>
        </w:tc>
        <w:tc>
          <w:tcPr>
            <w:tcW w:type="dxa" w:w="3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Clear organ-local gallbladder morphology, wall, lumen, or bile description</w:t>
            </w:r>
          </w:p>
        </w:tc>
        <w:tc>
          <w:tcPr>
            <w:tcW w:type="dxa" w:w="26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Postoperative, nonvisualized, and poor-quality negative studies excluded</w:t>
            </w:r>
          </w:p>
        </w:tc>
      </w:tr>
      <w:tr>
        <w:tc>
          <w:tcPr>
            <w:tcW w:type="dxa" w:w="15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Current gallstones positive</w:t>
            </w:r>
          </w:p>
        </w:tc>
        <w:tc>
          <w:tcPr>
            <w:tcW w:type="dxa" w:w="3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Current gallbladder-local stone term, mobile or shadowing echogenic focus, or wall-echo-shadow (WES)/packed-stone pattern</w:t>
            </w:r>
          </w:p>
        </w:tc>
        <w:tc>
          <w:tcPr>
            <w:tcW w:type="dxa" w:w="26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Historical/postoperative terms alone and renal or bile-duct stones excluded</w:t>
            </w:r>
          </w:p>
        </w:tc>
      </w:tr>
      <w:tr>
        <w:tc>
          <w:tcPr>
            <w:tcW w:type="dxa" w:w="15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Uncertain</w:t>
            </w:r>
          </w:p>
        </w:tc>
        <w:tc>
          <w:tcPr>
            <w:tcW w:type="dxa" w:w="3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Tentative suspected stone, sludge, debris, or conflicting positive and negative reports</w:t>
            </w:r>
          </w:p>
        </w:tc>
        <w:tc>
          <w:tcPr>
            <w:tcW w:type="dxa" w:w="26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Not forced to positive or negative</w:t>
            </w:r>
          </w:p>
        </w:tc>
      </w:tr>
      <w:tr>
        <w:tc>
          <w:tcPr>
            <w:tcW w:type="dxa" w:w="15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Negative</w:t>
            </w:r>
          </w:p>
        </w:tc>
        <w:tc>
          <w:tcPr>
            <w:tcW w:type="dxa" w:w="38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Target organ assessable with no positive pattern</w:t>
            </w:r>
          </w:p>
        </w:tc>
        <w:tc>
          <w:tcPr>
            <w:tcW w:type="dxa" w:w="26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Negation and artifact rules applied</w:t>
            </w:r>
          </w:p>
        </w:tc>
      </w:tr>
    </w:tbl>
    <w:p>
      <w:pPr>
        <w:keepNext w:val="0"/>
        <w:pageBreakBefore w:val="0"/>
        <w:spacing w:line="240" w:lineRule="auto"/>
      </w:pPr>
    </w:p>
    <w:p>
      <w:pPr>
        <w:pStyle w:val="14"/>
        <w:keepNext w:val="0"/>
        <w:pageBreakBefore w:val="0"/>
        <w:spacing w:after="160" w:line="240" w:lineRule="auto"/>
      </w:pPr>
      <w:r>
        <w:rPr>
          <w:rFonts w:ascii="Times New Roman" w:hAnsi="Times New Roman" w:eastAsia="Times New Roman"/>
          <w:color w:val="000000"/>
          <w:sz w:val="17"/>
        </w:rPr>
        <w:t>WES, wall-echo-shadow.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Table S2. Cohort construction and privacy-preserving identity linkage</w:t>
      </w:r>
    </w:p>
    <w:tbl>
      <w:tblPr>
        <w:tblW w:type="dxa" w:w="800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1300"/>
        <w:gridCol w:w="3100"/>
      </w:tblGrid>
      <w:tr>
        <w:trPr>
          <w:cantSplit/>
          <w:tblHeader w:val="true"/>
        </w:trPr>
        <w:tc>
          <w:tcPr>
            <w:tcW w:type="dxa" w:w="36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Stage</w:t>
            </w:r>
          </w:p>
        </w:tc>
        <w:tc>
          <w:tcPr>
            <w:tcW w:type="dxa" w:w="13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N</w:t>
            </w:r>
          </w:p>
        </w:tc>
        <w:tc>
          <w:tcPr>
            <w:tcW w:type="dxa" w:w="31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Definition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Panel A - final analytic cohort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Integrated wide health-check records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1720871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Examination-level starting database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Eligible organ-local ultrasound reports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780622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Examinations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Valid adult examinations linked to identity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776586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Examinations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Unique identity-linked adults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374443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One index examination selected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Adults with repeated eligible examinations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163785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Maximum 18 examinations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Assessable liver and active gallbladder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363160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After one or more ultrasound exclusions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Complete BMI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300017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Full-BMI context population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Chinese normal weight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162312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Primary population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Panel B - source identity-linkage quality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Before final organ-local report matching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Candidate examinations entering linkage audit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782208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Source linkage denominator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Validated national identity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689503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Examinations assigned by this route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Unique demographic group to validated identity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36768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Examinations assigned by this route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Name-sex-date-of-birth fallback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55901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Examinations assigned by this route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Ambiguous missing identity retained separately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36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Examinations assigned by this route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Checksum-valid identity with birth-date mismatch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4854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Not accepted as validated identity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Checksum-valid identity with sex mismatch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217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Not accepted as validated identity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Demographic groups containing multiple validated identities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331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Missing-identity records were not force-linked</w:t>
            </w:r>
          </w:p>
        </w:tc>
      </w:tr>
      <w:tr>
        <w:tc>
          <w:tcPr>
            <w:tcW w:type="dxa" w:w="3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Validated identities spanning multiple demographic groups</w:t>
            </w:r>
          </w:p>
        </w:tc>
        <w:tc>
          <w:tcPr>
            <w:tcW w:type="dxa" w:w="1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1767</w:t>
            </w:r>
          </w:p>
        </w:tc>
        <w:tc>
          <w:tcPr>
            <w:tcW w:type="dxa" w:w="3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Groups joined only through validated identity</w:t>
            </w:r>
          </w:p>
        </w:tc>
      </w:tr>
      <w:tr>
        <w:tc>
          <w:tcPr>
            <w:tcW w:type="dxa" w:w="36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Conservative person groups before final label matching</w:t>
            </w:r>
          </w:p>
        </w:tc>
        <w:tc>
          <w:tcPr>
            <w:tcW w:type="dxa" w:w="13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375040</w:t>
            </w:r>
          </w:p>
        </w:tc>
        <w:tc>
          <w:tcPr>
            <w:tcW w:type="dxa" w:w="31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4"/>
              </w:rPr>
              <w:t>Privacy-preserving linkage output</w:t>
            </w:r>
          </w:p>
        </w:tc>
      </w:tr>
    </w:tbl>
    <w:p>
      <w:pPr>
        <w:keepNext w:val="0"/>
        <w:pageBreakBefore w:val="0"/>
        <w:spacing w:line="240" w:lineRule="auto"/>
      </w:pPr>
    </w:p>
    <w:p>
      <w:pPr>
        <w:pStyle w:val="14"/>
        <w:keepNext w:val="0"/>
        <w:pageBreakBefore w:val="0"/>
        <w:spacing w:after="160" w:line="240" w:lineRule="auto"/>
      </w:pPr>
      <w:r>
        <w:rPr>
          <w:rFonts w:ascii="Times New Roman" w:hAnsi="Times New Roman" w:eastAsia="Times New Roman"/>
          <w:color w:val="000000"/>
          <w:sz w:val="17"/>
        </w:rPr>
        <w:t>The source linkage audit preceded final organ-local report matching. Its four mutually exclusive routing counts sum to 782208 candidate examinations; the final report-linked cohort contained 776586 examinations and 374443 adults. Counts describe linkage quality checks, not external identity ground-truth validation. Demographic fallback may leave residual under- or over-linkage. No plaintext identity number was written to an analytic output. BMI, body mass index.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Table S3. Missingness among normal-weight adults</w:t>
      </w:r>
    </w:p>
    <w:tbl>
      <w:tblPr>
        <w:tblW w:type="dxa" w:w="7900"/>
        <w:jc w:val="center"/>
        <w:tblLayout w:type="fixed"/>
        <w:tblLook w:firstColumn="1" w:firstRow="1" w:lastColumn="0" w:lastRow="0" w:noHBand="0" w:noVBand="1" w:val="04A0"/>
      </w:tblPr>
      <w:tblGrid>
        <w:gridCol w:w="3500"/>
        <w:gridCol w:w="1500"/>
        <w:gridCol w:w="1500"/>
        <w:gridCol w:w="1400"/>
      </w:tblGrid>
      <w:tr>
        <w:trPr>
          <w:cantSplit/>
          <w:tblHeader w:val="true"/>
        </w:trPr>
        <w:tc>
          <w:tcPr>
            <w:tcW w:type="dxa" w:w="35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Variable</w:t>
            </w:r>
          </w:p>
        </w:tc>
        <w:tc>
          <w:tcPr>
            <w:tcW w:type="dxa" w:w="15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Available, n</w:t>
            </w:r>
          </w:p>
        </w:tc>
        <w:tc>
          <w:tcPr>
            <w:tcW w:type="dxa" w:w="15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Missing, n</w:t>
            </w:r>
          </w:p>
        </w:tc>
        <w:tc>
          <w:tcPr>
            <w:tcW w:type="dxa" w:w="14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Missing, 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Height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162312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0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0.0%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Weight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162312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0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0.0%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BMI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162312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0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0.0%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Systolic blood pressure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162219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93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0.1%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Diastolic blood pressure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162233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79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&lt;0.1%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HbA1c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49950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112362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69.2%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Triglycerides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61806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100506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61.9%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Total cholesterol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45667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116645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71.9%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HDL-C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61805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100507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61.9%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LDL-C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61806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100506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61.9%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Uric acid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63775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98537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60.7%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Creatinine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67969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94343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58.1%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ALT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67968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94344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58.1%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AST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63722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98590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60.7%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GGT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63777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98535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60.7%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ALP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63778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98534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60.7%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Total bile acid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61237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101075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62.3%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White blood cell count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49304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113008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69.6%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Neutrophil percentage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49280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113032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69.6%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Neutrophil count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49280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113032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69.6%</w:t>
            </w:r>
          </w:p>
        </w:tc>
      </w:tr>
      <w:tr>
        <w:tc>
          <w:tcPr>
            <w:tcW w:type="dxa" w:w="3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Platelet count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49284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113028</w:t>
            </w:r>
          </w:p>
        </w:tc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69.6%</w:t>
            </w:r>
          </w:p>
        </w:tc>
      </w:tr>
      <w:tr>
        <w:tc>
          <w:tcPr>
            <w:tcW w:type="dxa" w:w="35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CRP</w:t>
            </w:r>
          </w:p>
        </w:tc>
        <w:tc>
          <w:tcPr>
            <w:tcW w:type="dxa" w:w="15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63733</w:t>
            </w:r>
          </w:p>
        </w:tc>
        <w:tc>
          <w:tcPr>
            <w:tcW w:type="dxa" w:w="15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98579</w:t>
            </w:r>
          </w:p>
        </w:tc>
        <w:tc>
          <w:tcPr>
            <w:tcW w:type="dxa" w:w="14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60.7%</w:t>
            </w:r>
          </w:p>
        </w:tc>
      </w:tr>
    </w:tbl>
    <w:p>
      <w:pPr>
        <w:keepNext w:val="0"/>
        <w:pageBreakBefore w:val="0"/>
        <w:spacing w:line="240" w:lineRule="auto"/>
      </w:pPr>
    </w:p>
    <w:p>
      <w:pPr>
        <w:pStyle w:val="14"/>
        <w:keepNext w:val="0"/>
        <w:pageBreakBefore w:val="0"/>
        <w:spacing w:after="160" w:line="240" w:lineRule="auto"/>
      </w:pPr>
      <w:r>
        <w:rPr>
          <w:rFonts w:ascii="Times New Roman" w:hAnsi="Times New Roman" w:eastAsia="Times New Roman"/>
          <w:color w:val="000000"/>
          <w:sz w:val="17"/>
        </w:rPr>
        <w:t>The primary model used age, sex, BMI, fatty liver, and gallstones, all complete by design in this population. Laboratory missingness reflected variation in health-check packages. ALP, alkaline phosphatase; ALT, alanine aminotransferase; AST, aspartate aminotransferase; BMI, body mass index; CRP, C-reactive protein; GGT, gamma-glutamyl transferase; HDL-C, high-density lipoprotein cholesterol; LDL-C, low-density lipoprotein cholesterol.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Table S4. Standardized gallstone prevalence among normal-weight adults</w:t>
      </w:r>
    </w:p>
    <w:tbl>
      <w:tblPr>
        <w:tblW w:type="dxa" w:w="7800"/>
        <w:jc w:val="center"/>
        <w:tblLayout w:type="fixed"/>
        <w:tblLook w:firstColumn="1" w:firstRow="1" w:lastColumn="0" w:lastRow="0" w:noHBand="0" w:noVBand="1" w:val="04A0"/>
      </w:tblPr>
      <w:tblGrid>
        <w:gridCol w:w="3300"/>
        <w:gridCol w:w="2300"/>
        <w:gridCol w:w="2200"/>
      </w:tblGrid>
      <w:tr>
        <w:trPr>
          <w:cantSplit/>
          <w:tblHeader w:val="true"/>
        </w:trPr>
        <w:tc>
          <w:tcPr>
            <w:tcW w:type="dxa" w:w="33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Contrast</w:t>
            </w:r>
          </w:p>
        </w:tc>
        <w:tc>
          <w:tcPr>
            <w:tcW w:type="dxa" w:w="23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Estimate</w:t>
            </w:r>
          </w:p>
        </w:tc>
        <w:tc>
          <w:tcPr>
            <w:tcW w:type="dxa" w:w="22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95% CI</w:t>
            </w:r>
          </w:p>
        </w:tc>
      </w:tr>
      <w:tr>
        <w:tc>
          <w:tcPr>
            <w:tcW w:type="dxa" w:w="3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No fatty liver</w:t>
            </w:r>
          </w:p>
        </w:tc>
        <w:tc>
          <w:tcPr>
            <w:tcW w:type="dxa" w:w="2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3.93%</w:t>
            </w:r>
          </w:p>
        </w:tc>
        <w:tc>
          <w:tcPr>
            <w:tcW w:type="dxa" w:w="2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3.82%-4.04%</w:t>
            </w:r>
          </w:p>
        </w:tc>
      </w:tr>
      <w:tr>
        <w:tc>
          <w:tcPr>
            <w:tcW w:type="dxa" w:w="3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Fatty liver</w:t>
            </w:r>
          </w:p>
        </w:tc>
        <w:tc>
          <w:tcPr>
            <w:tcW w:type="dxa" w:w="2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4.70%</w:t>
            </w:r>
          </w:p>
        </w:tc>
        <w:tc>
          <w:tcPr>
            <w:tcW w:type="dxa" w:w="2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4.50%-4.91%</w:t>
            </w:r>
          </w:p>
        </w:tc>
      </w:tr>
      <w:tr>
        <w:tc>
          <w:tcPr>
            <w:tcW w:type="dxa" w:w="3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Absolute difference</w:t>
            </w:r>
          </w:p>
        </w:tc>
        <w:tc>
          <w:tcPr>
            <w:tcW w:type="dxa" w:w="2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0.77 percentage points</w:t>
            </w:r>
          </w:p>
        </w:tc>
        <w:tc>
          <w:tcPr>
            <w:tcW w:type="dxa" w:w="2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0.54-1.01</w:t>
            </w:r>
          </w:p>
        </w:tc>
      </w:tr>
      <w:tr>
        <w:tc>
          <w:tcPr>
            <w:tcW w:type="dxa" w:w="33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Prevalence ratio</w:t>
            </w:r>
          </w:p>
        </w:tc>
        <w:tc>
          <w:tcPr>
            <w:tcW w:type="dxa" w:w="23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1.20</w:t>
            </w:r>
          </w:p>
        </w:tc>
        <w:tc>
          <w:tcPr>
            <w:tcW w:type="dxa" w:w="22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See Table 2 for model-based CI</w:t>
            </w:r>
          </w:p>
        </w:tc>
      </w:tr>
    </w:tbl>
    <w:p>
      <w:pPr>
        <w:keepNext w:val="0"/>
        <w:pageBreakBefore w:val="0"/>
        <w:spacing w:line="240" w:lineRule="auto"/>
      </w:pPr>
    </w:p>
    <w:p>
      <w:pPr>
        <w:pStyle w:val="14"/>
        <w:keepNext w:val="0"/>
        <w:pageBreakBefore w:val="0"/>
        <w:spacing w:after="160" w:line="240" w:lineRule="auto"/>
      </w:pPr>
      <w:r>
        <w:rPr>
          <w:rFonts w:ascii="Times New Roman" w:hAnsi="Times New Roman" w:eastAsia="Times New Roman"/>
          <w:color w:val="000000"/>
          <w:sz w:val="17"/>
        </w:rPr>
        <w:t>Model-based marginal predictions standardized to the observed age, sex, and BMI distribution of 162312 normal-weight adults. CI, confidence interval.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Table S5. Supporting complete-case models among normal-weight adults</w:t>
      </w:r>
    </w:p>
    <w:tbl>
      <w:tblPr>
        <w:tblW w:type="dxa" w:w="7850"/>
        <w:jc w:val="center"/>
        <w:tblLayout w:type="fixed"/>
        <w:tblLook w:firstColumn="1" w:firstRow="1" w:lastColumn="0" w:lastRow="0" w:noHBand="0" w:noVBand="1" w:val="04A0"/>
      </w:tblPr>
      <w:tblGrid>
        <w:gridCol w:w="1400"/>
        <w:gridCol w:w="2600"/>
        <w:gridCol w:w="800"/>
        <w:gridCol w:w="900"/>
        <w:gridCol w:w="1450"/>
        <w:gridCol w:w="700"/>
      </w:tblGrid>
      <w:tr>
        <w:trPr>
          <w:cantSplit/>
          <w:tblHeader w:val="true"/>
        </w:trPr>
        <w:tc>
          <w:tcPr>
            <w:tcW w:type="dxa" w:w="14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Complete-case sample</w:t>
            </w:r>
          </w:p>
        </w:tc>
        <w:tc>
          <w:tcPr>
            <w:tcW w:type="dxa" w:w="26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Adjustment</w:t>
            </w:r>
          </w:p>
        </w:tc>
        <w:tc>
          <w:tcPr>
            <w:tcW w:type="dxa" w:w="8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N</w:t>
            </w:r>
          </w:p>
        </w:tc>
        <w:tc>
          <w:tcPr>
            <w:tcW w:type="dxa" w:w="9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Gallstones, n</w:t>
            </w:r>
          </w:p>
        </w:tc>
        <w:tc>
          <w:tcPr>
            <w:tcW w:type="dxa" w:w="14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PR (95% CI)</w:t>
            </w:r>
          </w:p>
        </w:tc>
        <w:tc>
          <w:tcPr>
            <w:tcW w:type="dxa" w:w="7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P value</w:t>
            </w:r>
          </w:p>
        </w:tc>
      </w:tr>
      <w:tr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Metabolic complete cases</w:t>
            </w:r>
          </w:p>
        </w:tc>
        <w:tc>
          <w:tcPr>
            <w:tcW w:type="dxa" w:w="2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Age, sex, and BMI adjusted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38407</w:t>
            </w:r>
          </w:p>
        </w:tc>
        <w:tc>
          <w:tcPr>
            <w:tcW w:type="dxa" w:w="9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1079</w:t>
            </w:r>
          </w:p>
        </w:tc>
        <w:tc>
          <w:tcPr>
            <w:tcW w:type="dxa" w:w="14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1.38 (1.19-1.61)</w:t>
            </w:r>
          </w:p>
        </w:tc>
        <w:tc>
          <w:tcPr>
            <w:tcW w:type="dxa" w:w="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&lt;0.001</w:t>
            </w:r>
          </w:p>
        </w:tc>
      </w:tr>
      <w:tr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Metabolic complete cases</w:t>
            </w:r>
          </w:p>
        </w:tc>
        <w:tc>
          <w:tcPr>
            <w:tcW w:type="dxa" w:w="2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+ Blood pressure, HbA1c, TG, HDL-C, and uric acid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38407</w:t>
            </w:r>
          </w:p>
        </w:tc>
        <w:tc>
          <w:tcPr>
            <w:tcW w:type="dxa" w:w="9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1079</w:t>
            </w:r>
          </w:p>
        </w:tc>
        <w:tc>
          <w:tcPr>
            <w:tcW w:type="dxa" w:w="14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1.41 (1.20-1.65)</w:t>
            </w:r>
          </w:p>
        </w:tc>
        <w:tc>
          <w:tcPr>
            <w:tcW w:type="dxa" w:w="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&lt;0.001</w:t>
            </w:r>
          </w:p>
        </w:tc>
      </w:tr>
      <w:tr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CRP complete cases</w:t>
            </w:r>
          </w:p>
        </w:tc>
        <w:tc>
          <w:tcPr>
            <w:tcW w:type="dxa" w:w="2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Age, sex, and BMI adjusted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37071</w:t>
            </w:r>
          </w:p>
        </w:tc>
        <w:tc>
          <w:tcPr>
            <w:tcW w:type="dxa" w:w="9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1040</w:t>
            </w:r>
          </w:p>
        </w:tc>
        <w:tc>
          <w:tcPr>
            <w:tcW w:type="dxa" w:w="14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1.38 (1.18-1.61)</w:t>
            </w:r>
          </w:p>
        </w:tc>
        <w:tc>
          <w:tcPr>
            <w:tcW w:type="dxa" w:w="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&lt;0.001</w:t>
            </w:r>
          </w:p>
        </w:tc>
      </w:tr>
      <w:tr>
        <w:tc>
          <w:tcPr>
            <w:tcW w:type="dxa" w:w="14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CRP complete cases</w:t>
            </w:r>
          </w:p>
        </w:tc>
        <w:tc>
          <w:tcPr>
            <w:tcW w:type="dxa" w:w="26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+ Metabolic indicators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37071</w:t>
            </w:r>
          </w:p>
        </w:tc>
        <w:tc>
          <w:tcPr>
            <w:tcW w:type="dxa" w:w="9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1040</w:t>
            </w:r>
          </w:p>
        </w:tc>
        <w:tc>
          <w:tcPr>
            <w:tcW w:type="dxa" w:w="14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1.42 (1.20-1.67)</w:t>
            </w:r>
          </w:p>
        </w:tc>
        <w:tc>
          <w:tcPr>
            <w:tcW w:type="dxa" w:w="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&lt;0.001</w:t>
            </w:r>
          </w:p>
        </w:tc>
      </w:tr>
      <w:tr>
        <w:tc>
          <w:tcPr>
            <w:tcW w:type="dxa" w:w="14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CRP complete cases</w:t>
            </w:r>
          </w:p>
        </w:tc>
        <w:tc>
          <w:tcPr>
            <w:tcW w:type="dxa" w:w="26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+ Metabolic indicators and CRP</w:t>
            </w:r>
          </w:p>
        </w:tc>
        <w:tc>
          <w:tcPr>
            <w:tcW w:type="dxa" w:w="8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37071</w:t>
            </w:r>
          </w:p>
        </w:tc>
        <w:tc>
          <w:tcPr>
            <w:tcW w:type="dxa" w:w="9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1040</w:t>
            </w:r>
          </w:p>
        </w:tc>
        <w:tc>
          <w:tcPr>
            <w:tcW w:type="dxa" w:w="14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1.39 (1.18-1.64)</w:t>
            </w:r>
          </w:p>
        </w:tc>
        <w:tc>
          <w:tcPr>
            <w:tcW w:type="dxa" w:w="7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&lt;0.001</w:t>
            </w:r>
          </w:p>
        </w:tc>
      </w:tr>
    </w:tbl>
    <w:p>
      <w:pPr>
        <w:keepNext w:val="0"/>
        <w:pageBreakBefore w:val="0"/>
        <w:spacing w:line="240" w:lineRule="auto"/>
      </w:pPr>
    </w:p>
    <w:p>
      <w:pPr>
        <w:pStyle w:val="14"/>
        <w:keepNext w:val="0"/>
        <w:pageBreakBefore w:val="0"/>
        <w:spacing w:after="160" w:line="240" w:lineRule="auto"/>
      </w:pPr>
      <w:r>
        <w:rPr>
          <w:rFonts w:ascii="Times New Roman" w:hAnsi="Times New Roman" w:eastAsia="Times New Roman"/>
          <w:color w:val="000000"/>
          <w:sz w:val="17"/>
        </w:rPr>
        <w:t>Metabolic indicators were systolic and diastolic blood pressure, HbA1c, log triglycerides, HDL-C, and uric acid. CRP entered as log(CRP+0.1). Comparisons between the primary-cohort estimate and these selected complete-case estimates should not be interpreted as mediation or attenuation. Nested rows within each named complete-case sample use identical observations; the metabolic and CRP complete-case samples nevertheless differ from the primary cohort and from one another. CI, confidence interval; CRP, C-reactive protein; PR, prevalence ratio.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Table S6. Normal-weight sensitivity analyses</w:t>
      </w:r>
    </w:p>
    <w:tbl>
      <w:tblPr>
        <w:tblW w:type="dxa" w:w="8100"/>
        <w:jc w:val="center"/>
        <w:tblLayout w:type="fixed"/>
        <w:tblLook w:firstColumn="1" w:firstRow="1" w:lastColumn="0" w:lastRow="0" w:noHBand="0" w:noVBand="1" w:val="04A0"/>
      </w:tblPr>
      <w:tblGrid>
        <w:gridCol w:w="3000"/>
        <w:gridCol w:w="850"/>
        <w:gridCol w:w="1050"/>
        <w:gridCol w:w="1050"/>
        <w:gridCol w:w="1450"/>
        <w:gridCol w:w="700"/>
      </w:tblGrid>
      <w:tr>
        <w:trPr>
          <w:cantSplit/>
          <w:tblHeader w:val="true"/>
        </w:trPr>
        <w:tc>
          <w:tcPr>
            <w:tcW w:type="dxa" w:w="30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Analysis</w:t>
            </w:r>
          </w:p>
        </w:tc>
        <w:tc>
          <w:tcPr>
            <w:tcW w:type="dxa" w:w="8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N</w:t>
            </w:r>
          </w:p>
        </w:tc>
        <w:tc>
          <w:tcPr>
            <w:tcW w:type="dxa" w:w="10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Gallstones, n</w:t>
            </w:r>
          </w:p>
        </w:tc>
        <w:tc>
          <w:tcPr>
            <w:tcW w:type="dxa" w:w="10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Fatty liver, n</w:t>
            </w:r>
          </w:p>
        </w:tc>
        <w:tc>
          <w:tcPr>
            <w:tcW w:type="dxa" w:w="14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Adjusted PR (95% CI)</w:t>
            </w:r>
          </w:p>
        </w:tc>
        <w:tc>
          <w:tcPr>
            <w:tcW w:type="dxa" w:w="7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P value</w:t>
            </w:r>
          </w:p>
        </w:tc>
      </w:tr>
      <w:tr>
        <w:tc>
          <w:tcPr>
            <w:tcW w:type="dxa" w:w="3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Primary strict-label deterministic pseudo-random index</w:t>
            </w:r>
          </w:p>
        </w:tc>
        <w:tc>
          <w:tcPr>
            <w:tcW w:type="dxa" w:w="8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162312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6702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30458</w:t>
            </w:r>
          </w:p>
        </w:tc>
        <w:tc>
          <w:tcPr>
            <w:tcW w:type="dxa" w:w="14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1.20 (1.13-1.26)</w:t>
            </w:r>
          </w:p>
        </w:tc>
        <w:tc>
          <w:tcPr>
            <w:tcW w:type="dxa" w:w="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&lt;0.001</w:t>
            </w:r>
          </w:p>
        </w:tc>
      </w:tr>
      <w:tr>
        <w:tc>
          <w:tcPr>
            <w:tcW w:type="dxa" w:w="3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Most-complete examination index</w:t>
            </w:r>
          </w:p>
        </w:tc>
        <w:tc>
          <w:tcPr>
            <w:tcW w:type="dxa" w:w="8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167576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7105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31746</w:t>
            </w:r>
          </w:p>
        </w:tc>
        <w:tc>
          <w:tcPr>
            <w:tcW w:type="dxa" w:w="14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1.19 (1.13-1.25)</w:t>
            </w:r>
          </w:p>
        </w:tc>
        <w:tc>
          <w:tcPr>
            <w:tcW w:type="dxa" w:w="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&lt;0.001</w:t>
            </w:r>
          </w:p>
        </w:tc>
      </w:tr>
      <w:tr>
        <w:tc>
          <w:tcPr>
            <w:tcW w:type="dxa" w:w="3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Participants with one eligible examination</w:t>
            </w:r>
          </w:p>
        </w:tc>
        <w:tc>
          <w:tcPr>
            <w:tcW w:type="dxa" w:w="8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91747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3421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14908</w:t>
            </w:r>
          </w:p>
        </w:tc>
        <w:tc>
          <w:tcPr>
            <w:tcW w:type="dxa" w:w="14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1.15 (1.06-1.24)</w:t>
            </w:r>
          </w:p>
        </w:tc>
        <w:tc>
          <w:tcPr>
            <w:tcW w:type="dxa" w:w="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&lt;0.001</w:t>
            </w:r>
          </w:p>
        </w:tc>
      </w:tr>
      <w:tr>
        <w:tc>
          <w:tcPr>
            <w:tcW w:type="dxa" w:w="3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One extracted ultrasound report</w:t>
            </w:r>
          </w:p>
        </w:tc>
        <w:tc>
          <w:tcPr>
            <w:tcW w:type="dxa" w:w="8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107913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3988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23102</w:t>
            </w:r>
          </w:p>
        </w:tc>
        <w:tc>
          <w:tcPr>
            <w:tcW w:type="dxa" w:w="14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1.24 (1.16-1.33)</w:t>
            </w:r>
          </w:p>
        </w:tc>
        <w:tc>
          <w:tcPr>
            <w:tcW w:type="dxa" w:w="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&lt;0.001</w:t>
            </w:r>
          </w:p>
        </w:tc>
      </w:tr>
      <w:tr>
        <w:tc>
          <w:tcPr>
            <w:tcW w:type="dxa" w:w="3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Excluding reports flagged as globally poor quality</w:t>
            </w:r>
          </w:p>
        </w:tc>
        <w:tc>
          <w:tcPr>
            <w:tcW w:type="dxa" w:w="8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162111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6679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30403</w:t>
            </w:r>
          </w:p>
        </w:tc>
        <w:tc>
          <w:tcPr>
            <w:tcW w:type="dxa" w:w="14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1.20 (1.14-1.26)</w:t>
            </w:r>
          </w:p>
        </w:tc>
        <w:tc>
          <w:tcPr>
            <w:tcW w:type="dxa" w:w="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&lt;0.001</w:t>
            </w:r>
          </w:p>
        </w:tc>
      </w:tr>
      <w:tr>
        <w:tc>
          <w:tcPr>
            <w:tcW w:type="dxa" w:w="3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Relaxed liver-assessability labels with current gallbladder rules</w:t>
            </w:r>
          </w:p>
        </w:tc>
        <w:tc>
          <w:tcPr>
            <w:tcW w:type="dxa" w:w="8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162800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6740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30459</w:t>
            </w:r>
          </w:p>
        </w:tc>
        <w:tc>
          <w:tcPr>
            <w:tcW w:type="dxa" w:w="14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1.20 (1.14-1.26)</w:t>
            </w:r>
          </w:p>
        </w:tc>
        <w:tc>
          <w:tcPr>
            <w:tcW w:type="dxa" w:w="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&lt;0.001</w:t>
            </w:r>
          </w:p>
        </w:tc>
      </w:tr>
      <w:tr>
        <w:tc>
          <w:tcPr>
            <w:tcW w:type="dxa" w:w="3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Reported BMI only</w:t>
            </w:r>
          </w:p>
        </w:tc>
        <w:tc>
          <w:tcPr>
            <w:tcW w:type="dxa" w:w="8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63200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2555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15164</w:t>
            </w:r>
          </w:p>
        </w:tc>
        <w:tc>
          <w:tcPr>
            <w:tcW w:type="dxa" w:w="14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1.20 (1.10-1.30)</w:t>
            </w:r>
          </w:p>
        </w:tc>
        <w:tc>
          <w:tcPr>
            <w:tcW w:type="dxa" w:w="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&lt;0.001</w:t>
            </w:r>
          </w:p>
        </w:tc>
      </w:tr>
      <w:tr>
        <w:tc>
          <w:tcPr>
            <w:tcW w:type="dxa" w:w="3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BMI recalculated from measured height and weight</w:t>
            </w:r>
          </w:p>
        </w:tc>
        <w:tc>
          <w:tcPr>
            <w:tcW w:type="dxa" w:w="8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162765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6729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30800</w:t>
            </w:r>
          </w:p>
        </w:tc>
        <w:tc>
          <w:tcPr>
            <w:tcW w:type="dxa" w:w="14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1.20 (1.14-1.26)</w:t>
            </w:r>
          </w:p>
        </w:tc>
        <w:tc>
          <w:tcPr>
            <w:tcW w:type="dxa" w:w="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&lt;0.001</w:t>
            </w:r>
          </w:p>
        </w:tc>
      </w:tr>
      <w:tr>
        <w:tc>
          <w:tcPr>
            <w:tcW w:type="dxa" w:w="3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Asian lean definition (BMI 18.5 to &lt;23.0 kg/m²)</w:t>
            </w:r>
          </w:p>
        </w:tc>
        <w:tc>
          <w:tcPr>
            <w:tcW w:type="dxa" w:w="8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126747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4745</w:t>
            </w:r>
          </w:p>
        </w:tc>
        <w:tc>
          <w:tcPr>
            <w:tcW w:type="dxa" w:w="10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17951</w:t>
            </w:r>
          </w:p>
        </w:tc>
        <w:tc>
          <w:tcPr>
            <w:tcW w:type="dxa" w:w="14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1.23 (1.15-1.31)</w:t>
            </w:r>
          </w:p>
        </w:tc>
        <w:tc>
          <w:tcPr>
            <w:tcW w:type="dxa" w:w="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&lt;0.001</w:t>
            </w:r>
          </w:p>
        </w:tc>
      </w:tr>
      <w:tr>
        <w:tc>
          <w:tcPr>
            <w:tcW w:type="dxa" w:w="30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WHO normal-weight definition (BMI 18.5 to &lt;25.0 kg/m²)</w:t>
            </w:r>
          </w:p>
        </w:tc>
        <w:tc>
          <w:tcPr>
            <w:tcW w:type="dxa" w:w="8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194475</w:t>
            </w:r>
          </w:p>
        </w:tc>
        <w:tc>
          <w:tcPr>
            <w:tcW w:type="dxa" w:w="10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8510</w:t>
            </w:r>
          </w:p>
        </w:tc>
        <w:tc>
          <w:tcPr>
            <w:tcW w:type="dxa" w:w="10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44965</w:t>
            </w:r>
          </w:p>
        </w:tc>
        <w:tc>
          <w:tcPr>
            <w:tcW w:type="dxa" w:w="14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1.20 (1.14-1.25)</w:t>
            </w:r>
          </w:p>
        </w:tc>
        <w:tc>
          <w:tcPr>
            <w:tcW w:type="dxa" w:w="7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&lt;0.001</w:t>
            </w:r>
          </w:p>
        </w:tc>
      </w:tr>
    </w:tbl>
    <w:p>
      <w:pPr>
        <w:keepNext w:val="0"/>
        <w:pageBreakBefore w:val="0"/>
        <w:spacing w:line="240" w:lineRule="auto"/>
      </w:pPr>
    </w:p>
    <w:p>
      <w:pPr>
        <w:pStyle w:val="14"/>
        <w:keepNext w:val="0"/>
        <w:pageBreakBefore w:val="0"/>
        <w:spacing w:after="160" w:line="240" w:lineRule="auto"/>
      </w:pPr>
      <w:r>
        <w:rPr>
          <w:rFonts w:ascii="Times New Roman" w:hAnsi="Times New Roman" w:eastAsia="Times New Roman"/>
          <w:color w:val="000000"/>
          <w:sz w:val="17"/>
        </w:rPr>
        <w:t>All models adjusted for nonlinear age, sex, and continuous BMI within the analysis-specific normal-weight range. CI, confidence interval; PR, prevalence ratio.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Table S7. Alternative pseudo-random index-examination selections</w:t>
      </w:r>
    </w:p>
    <w:tbl>
      <w:tblPr>
        <w:tblW w:type="dxa" w:w="7700"/>
        <w:jc w:val="center"/>
        <w:tblLayout w:type="fixed"/>
        <w:tblLook w:firstColumn="1" w:firstRow="1" w:lastColumn="0" w:lastRow="0" w:noHBand="0" w:noVBand="1" w:val="04A0"/>
      </w:tblPr>
      <w:tblGrid>
        <w:gridCol w:w="1100"/>
        <w:gridCol w:w="1100"/>
        <w:gridCol w:w="1200"/>
        <w:gridCol w:w="1200"/>
        <w:gridCol w:w="2100"/>
        <w:gridCol w:w="1000"/>
      </w:tblGrid>
      <w:tr>
        <w:trPr>
          <w:cantSplit/>
          <w:tblHeader w:val="true"/>
        </w:trPr>
        <w:tc>
          <w:tcPr>
            <w:tcW w:type="dxa" w:w="11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Replicate</w:t>
            </w:r>
          </w:p>
        </w:tc>
        <w:tc>
          <w:tcPr>
            <w:tcW w:type="dxa" w:w="11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N</w:t>
            </w:r>
          </w:p>
        </w:tc>
        <w:tc>
          <w:tcPr>
            <w:tcW w:type="dxa" w:w="12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Gallstones, n</w:t>
            </w:r>
          </w:p>
        </w:tc>
        <w:tc>
          <w:tcPr>
            <w:tcW w:type="dxa" w:w="12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Fatty liver, n</w:t>
            </w:r>
          </w:p>
        </w:tc>
        <w:tc>
          <w:tcPr>
            <w:tcW w:type="dxa" w:w="21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Adjusted PR (95% CI)</w:t>
            </w:r>
          </w:p>
        </w:tc>
        <w:tc>
          <w:tcPr>
            <w:tcW w:type="dxa" w:w="10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P value</w:t>
            </w:r>
          </w:p>
        </w:tc>
      </w:tr>
      <w:tr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</w:t>
            </w:r>
          </w:p>
        </w:tc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162330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6714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30388</w:t>
            </w:r>
          </w:p>
        </w:tc>
        <w:tc>
          <w:tcPr>
            <w:tcW w:type="dxa" w:w="2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1.179 (1.118-1.244)</w:t>
            </w:r>
          </w:p>
        </w:tc>
        <w:tc>
          <w:tcPr>
            <w:tcW w:type="dxa" w:w="1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&lt;0.001</w:t>
            </w:r>
          </w:p>
        </w:tc>
      </w:tr>
      <w:tr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2</w:t>
            </w:r>
          </w:p>
        </w:tc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162206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6662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30394</w:t>
            </w:r>
          </w:p>
        </w:tc>
        <w:tc>
          <w:tcPr>
            <w:tcW w:type="dxa" w:w="2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1.172 (1.111-1.237)</w:t>
            </w:r>
          </w:p>
        </w:tc>
        <w:tc>
          <w:tcPr>
            <w:tcW w:type="dxa" w:w="1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&lt;0.001</w:t>
            </w:r>
          </w:p>
        </w:tc>
      </w:tr>
      <w:tr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</w:t>
            </w:r>
          </w:p>
        </w:tc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162215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6595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30358</w:t>
            </w:r>
          </w:p>
        </w:tc>
        <w:tc>
          <w:tcPr>
            <w:tcW w:type="dxa" w:w="2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1.189 (1.126-1.255)</w:t>
            </w:r>
          </w:p>
        </w:tc>
        <w:tc>
          <w:tcPr>
            <w:tcW w:type="dxa" w:w="1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&lt;0.001</w:t>
            </w:r>
          </w:p>
        </w:tc>
      </w:tr>
      <w:tr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</w:t>
            </w:r>
          </w:p>
        </w:tc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162107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6673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30300</w:t>
            </w:r>
          </w:p>
        </w:tc>
        <w:tc>
          <w:tcPr>
            <w:tcW w:type="dxa" w:w="2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1.192 (1.130-1.258)</w:t>
            </w:r>
          </w:p>
        </w:tc>
        <w:tc>
          <w:tcPr>
            <w:tcW w:type="dxa" w:w="1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&lt;0.001</w:t>
            </w:r>
          </w:p>
        </w:tc>
      </w:tr>
      <w:tr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5</w:t>
            </w:r>
          </w:p>
        </w:tc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162075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6662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30197</w:t>
            </w:r>
          </w:p>
        </w:tc>
        <w:tc>
          <w:tcPr>
            <w:tcW w:type="dxa" w:w="2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1.158 (1.097-1.222)</w:t>
            </w:r>
          </w:p>
        </w:tc>
        <w:tc>
          <w:tcPr>
            <w:tcW w:type="dxa" w:w="1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&lt;0.001</w:t>
            </w:r>
          </w:p>
        </w:tc>
      </w:tr>
      <w:tr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</w:t>
            </w:r>
          </w:p>
        </w:tc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162318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6667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30394</w:t>
            </w:r>
          </w:p>
        </w:tc>
        <w:tc>
          <w:tcPr>
            <w:tcW w:type="dxa" w:w="2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1.183 (1.121-1.248)</w:t>
            </w:r>
          </w:p>
        </w:tc>
        <w:tc>
          <w:tcPr>
            <w:tcW w:type="dxa" w:w="1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&lt;0.001</w:t>
            </w:r>
          </w:p>
        </w:tc>
      </w:tr>
      <w:tr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7</w:t>
            </w:r>
          </w:p>
        </w:tc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162191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6625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30227</w:t>
            </w:r>
          </w:p>
        </w:tc>
        <w:tc>
          <w:tcPr>
            <w:tcW w:type="dxa" w:w="2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1.148 (1.087-1.212)</w:t>
            </w:r>
          </w:p>
        </w:tc>
        <w:tc>
          <w:tcPr>
            <w:tcW w:type="dxa" w:w="1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&lt;0.001</w:t>
            </w:r>
          </w:p>
        </w:tc>
      </w:tr>
      <w:tr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8</w:t>
            </w:r>
          </w:p>
        </w:tc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162268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6652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30406</w:t>
            </w:r>
          </w:p>
        </w:tc>
        <w:tc>
          <w:tcPr>
            <w:tcW w:type="dxa" w:w="2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1.197 (1.135-1.263)</w:t>
            </w:r>
          </w:p>
        </w:tc>
        <w:tc>
          <w:tcPr>
            <w:tcW w:type="dxa" w:w="1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&lt;0.001</w:t>
            </w:r>
          </w:p>
        </w:tc>
      </w:tr>
      <w:tr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9</w:t>
            </w:r>
          </w:p>
        </w:tc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162208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6670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30460</w:t>
            </w:r>
          </w:p>
        </w:tc>
        <w:tc>
          <w:tcPr>
            <w:tcW w:type="dxa" w:w="2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1.182 (1.120-1.246)</w:t>
            </w:r>
          </w:p>
        </w:tc>
        <w:tc>
          <w:tcPr>
            <w:tcW w:type="dxa" w:w="1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&lt;0.001</w:t>
            </w:r>
          </w:p>
        </w:tc>
      </w:tr>
      <w:tr>
        <w:tc>
          <w:tcPr>
            <w:tcW w:type="dxa" w:w="11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10</w:t>
            </w:r>
          </w:p>
        </w:tc>
        <w:tc>
          <w:tcPr>
            <w:tcW w:type="dxa" w:w="11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162215</w:t>
            </w:r>
          </w:p>
        </w:tc>
        <w:tc>
          <w:tcPr>
            <w:tcW w:type="dxa" w:w="12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6657</w:t>
            </w:r>
          </w:p>
        </w:tc>
        <w:tc>
          <w:tcPr>
            <w:tcW w:type="dxa" w:w="12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30413</w:t>
            </w:r>
          </w:p>
        </w:tc>
        <w:tc>
          <w:tcPr>
            <w:tcW w:type="dxa" w:w="21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1.161 (1.101-1.226)</w:t>
            </w:r>
          </w:p>
        </w:tc>
        <w:tc>
          <w:tcPr>
            <w:tcW w:type="dxa" w:w="10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&lt;0.001</w:t>
            </w:r>
          </w:p>
        </w:tc>
      </w:tr>
    </w:tbl>
    <w:p>
      <w:pPr>
        <w:keepNext w:val="0"/>
        <w:pageBreakBefore w:val="0"/>
        <w:spacing w:line="240" w:lineRule="auto"/>
      </w:pPr>
    </w:p>
    <w:p>
      <w:pPr>
        <w:pStyle w:val="14"/>
        <w:keepNext w:val="0"/>
        <w:pageBreakBefore w:val="0"/>
        <w:spacing w:after="160" w:line="240" w:lineRule="auto"/>
      </w:pPr>
      <w:r>
        <w:rPr>
          <w:rFonts w:ascii="Times New Roman" w:hAnsi="Times New Roman" w:eastAsia="Times New Roman"/>
          <w:color w:val="000000"/>
          <w:sz w:val="17"/>
        </w:rPr>
        <w:t>Across ten alternative rankings, the mean PR was 1.176 and the range was 1.148-1.197. Models adjusted for nonlinear age, sex, and continuous within-range BMI. CI, confidence interval; PR, prevalence ratio.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Table S8. Full-BMI contextual association models</w:t>
      </w:r>
    </w:p>
    <w:tbl>
      <w:tblPr>
        <w:tblW w:type="dxa" w:w="8300"/>
        <w:jc w:val="center"/>
        <w:tblLayout w:type="fixed"/>
        <w:tblLook w:firstColumn="1" w:firstRow="1" w:lastColumn="0" w:lastRow="0" w:noHBand="0" w:noVBand="1" w:val="04A0"/>
      </w:tblPr>
      <w:tblGrid>
        <w:gridCol w:w="900"/>
        <w:gridCol w:w="3000"/>
        <w:gridCol w:w="1000"/>
        <w:gridCol w:w="1100"/>
        <w:gridCol w:w="1500"/>
        <w:gridCol w:w="800"/>
      </w:tblGrid>
      <w:tr>
        <w:trPr>
          <w:cantSplit/>
          <w:tblHeader w:val="true"/>
        </w:trPr>
        <w:tc>
          <w:tcPr>
            <w:tcW w:type="dxa" w:w="9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Model</w:t>
            </w:r>
          </w:p>
        </w:tc>
        <w:tc>
          <w:tcPr>
            <w:tcW w:type="dxa" w:w="30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Adjustment</w:t>
            </w:r>
          </w:p>
        </w:tc>
        <w:tc>
          <w:tcPr>
            <w:tcW w:type="dxa" w:w="10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N</w:t>
            </w:r>
          </w:p>
        </w:tc>
        <w:tc>
          <w:tcPr>
            <w:tcW w:type="dxa" w:w="11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Gallstones, n</w:t>
            </w:r>
          </w:p>
        </w:tc>
        <w:tc>
          <w:tcPr>
            <w:tcW w:type="dxa" w:w="15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PR (95% CI)</w:t>
            </w:r>
          </w:p>
        </w:tc>
        <w:tc>
          <w:tcPr>
            <w:tcW w:type="dxa" w:w="8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P value</w:t>
            </w:r>
          </w:p>
        </w:tc>
      </w:tr>
      <w:tr>
        <w:tc>
          <w:tcPr>
            <w:tcW w:type="dxa" w:w="9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Model 0</w:t>
            </w:r>
          </w:p>
        </w:tc>
        <w:tc>
          <w:tcPr>
            <w:tcW w:type="dxa" w:w="3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Crude</w:t>
            </w:r>
          </w:p>
        </w:tc>
        <w:tc>
          <w:tcPr>
            <w:tcW w:type="dxa" w:w="1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363160</w:t>
            </w:r>
          </w:p>
        </w:tc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17735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1.70 (1.65-1.75)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&lt;0.001</w:t>
            </w:r>
          </w:p>
        </w:tc>
      </w:tr>
      <w:tr>
        <w:tc>
          <w:tcPr>
            <w:tcW w:type="dxa" w:w="9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Model 1</w:t>
            </w:r>
          </w:p>
        </w:tc>
        <w:tc>
          <w:tcPr>
            <w:tcW w:type="dxa" w:w="3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Age and sex adjusted</w:t>
            </w:r>
          </w:p>
        </w:tc>
        <w:tc>
          <w:tcPr>
            <w:tcW w:type="dxa" w:w="10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363160</w:t>
            </w:r>
          </w:p>
        </w:tc>
        <w:tc>
          <w:tcPr>
            <w:tcW w:type="dxa" w:w="11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17735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1.38 (1.34-1.42)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&lt;0.001</w:t>
            </w:r>
          </w:p>
        </w:tc>
      </w:tr>
      <w:tr>
        <w:tc>
          <w:tcPr>
            <w:tcW w:type="dxa" w:w="9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Model 2</w:t>
            </w:r>
          </w:p>
        </w:tc>
        <w:tc>
          <w:tcPr>
            <w:tcW w:type="dxa" w:w="30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Age, sex, and nonlinear BMI adjusted</w:t>
            </w:r>
          </w:p>
        </w:tc>
        <w:tc>
          <w:tcPr>
            <w:tcW w:type="dxa" w:w="10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300017</w:t>
            </w:r>
          </w:p>
        </w:tc>
        <w:tc>
          <w:tcPr>
            <w:tcW w:type="dxa" w:w="11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14638</w:t>
            </w:r>
          </w:p>
        </w:tc>
        <w:tc>
          <w:tcPr>
            <w:tcW w:type="dxa" w:w="15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1.14 (1.10-1.18)</w:t>
            </w:r>
          </w:p>
        </w:tc>
        <w:tc>
          <w:tcPr>
            <w:tcW w:type="dxa" w:w="8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&lt;0.001</w:t>
            </w:r>
          </w:p>
        </w:tc>
      </w:tr>
    </w:tbl>
    <w:p>
      <w:pPr>
        <w:keepNext w:val="0"/>
        <w:pageBreakBefore w:val="0"/>
        <w:spacing w:line="240" w:lineRule="auto"/>
      </w:pPr>
    </w:p>
    <w:p>
      <w:pPr>
        <w:pStyle w:val="14"/>
        <w:keepNext w:val="0"/>
        <w:pageBreakBefore w:val="0"/>
        <w:spacing w:after="160" w:line="240" w:lineRule="auto"/>
      </w:pPr>
      <w:r>
        <w:rPr>
          <w:rFonts w:ascii="Times New Roman" w:hAnsi="Times New Roman" w:eastAsia="Times New Roman"/>
          <w:color w:val="000000"/>
          <w:sz w:val="17"/>
        </w:rPr>
        <w:t>The full-BMI context population included all assessable adults with BMI. BMI was modeled with a four-degree-of-freedom B-spline in Model 2. BMI, body mass index; CI, confidence interval; PR, prevalence ratio.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Table S9. Full-BMI standardization and interaction context</w:t>
      </w:r>
    </w:p>
    <w:tbl>
      <w:tblPr>
        <w:tblW w:type="dxa" w:w="7900"/>
        <w:jc w:val="center"/>
        <w:tblLayout w:type="fixed"/>
        <w:tblLook w:firstColumn="1" w:firstRow="1" w:lastColumn="0" w:lastRow="0" w:noHBand="0" w:noVBand="1" w:val="04A0"/>
      </w:tblPr>
      <w:tblGrid>
        <w:gridCol w:w="3700"/>
        <w:gridCol w:w="2300"/>
        <w:gridCol w:w="1900"/>
      </w:tblGrid>
      <w:tr>
        <w:trPr>
          <w:cantSplit/>
          <w:tblHeader w:val="true"/>
        </w:trPr>
        <w:tc>
          <w:tcPr>
            <w:tcW w:type="dxa" w:w="37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Analysis</w:t>
            </w:r>
          </w:p>
        </w:tc>
        <w:tc>
          <w:tcPr>
            <w:tcW w:type="dxa" w:w="23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Estimate</w:t>
            </w:r>
          </w:p>
        </w:tc>
        <w:tc>
          <w:tcPr>
            <w:tcW w:type="dxa" w:w="19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5"/>
              </w:rPr>
              <w:t>95% CI or P value</w:t>
            </w:r>
          </w:p>
        </w:tc>
      </w:tr>
      <w:tr>
        <w:tc>
          <w:tcPr>
            <w:tcW w:type="dxa" w:w="3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Standardized prevalence, no fatty liver</w:t>
            </w:r>
          </w:p>
        </w:tc>
        <w:tc>
          <w:tcPr>
            <w:tcW w:type="dxa" w:w="2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4.60%</w:t>
            </w:r>
          </w:p>
        </w:tc>
        <w:tc>
          <w:tcPr>
            <w:tcW w:type="dxa" w:w="19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4.50%-4.70%</w:t>
            </w:r>
          </w:p>
        </w:tc>
      </w:tr>
      <w:tr>
        <w:tc>
          <w:tcPr>
            <w:tcW w:type="dxa" w:w="3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Standardized prevalence, fatty liver</w:t>
            </w:r>
          </w:p>
        </w:tc>
        <w:tc>
          <w:tcPr>
            <w:tcW w:type="dxa" w:w="2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5.24%</w:t>
            </w:r>
          </w:p>
        </w:tc>
        <w:tc>
          <w:tcPr>
            <w:tcW w:type="dxa" w:w="19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5.11%-5.37%</w:t>
            </w:r>
          </w:p>
        </w:tc>
      </w:tr>
      <w:tr>
        <w:tc>
          <w:tcPr>
            <w:tcW w:type="dxa" w:w="3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Standardized absolute difference</w:t>
            </w:r>
          </w:p>
        </w:tc>
        <w:tc>
          <w:tcPr>
            <w:tcW w:type="dxa" w:w="2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0.64 percentage points</w:t>
            </w:r>
          </w:p>
        </w:tc>
        <w:tc>
          <w:tcPr>
            <w:tcW w:type="dxa" w:w="19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0.47-0.82</w:t>
            </w:r>
          </w:p>
        </w:tc>
      </w:tr>
      <w:tr>
        <w:tc>
          <w:tcPr>
            <w:tcW w:type="dxa" w:w="3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Full-distribution BMI interaction</w:t>
            </w:r>
          </w:p>
        </w:tc>
        <w:tc>
          <w:tcPr>
            <w:tcW w:type="dxa" w:w="23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Chi-square 28.39, df=4</w:t>
            </w:r>
          </w:p>
        </w:tc>
        <w:tc>
          <w:tcPr>
            <w:tcW w:type="dxa" w:w="19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&lt;0.001</w:t>
            </w:r>
          </w:p>
        </w:tc>
      </w:tr>
      <w:tr>
        <w:tc>
          <w:tcPr>
            <w:tcW w:type="dxa" w:w="37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BMI 18.5 to &lt;28 interaction</w:t>
            </w:r>
          </w:p>
        </w:tc>
        <w:tc>
          <w:tcPr>
            <w:tcW w:type="dxa" w:w="23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Chi-square 7.60, df=4</w:t>
            </w:r>
          </w:p>
        </w:tc>
        <w:tc>
          <w:tcPr>
            <w:tcW w:type="dxa" w:w="19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5"/>
              </w:rPr>
              <w:t>0.108</w:t>
            </w:r>
          </w:p>
        </w:tc>
      </w:tr>
    </w:tbl>
    <w:p>
      <w:pPr>
        <w:keepNext w:val="0"/>
        <w:pageBreakBefore w:val="0"/>
        <w:spacing w:line="240" w:lineRule="auto"/>
      </w:pPr>
    </w:p>
    <w:p>
      <w:pPr>
        <w:pStyle w:val="14"/>
        <w:keepNext w:val="0"/>
        <w:pageBreakBefore w:val="0"/>
        <w:spacing w:after="160" w:line="240" w:lineRule="auto"/>
      </w:pPr>
      <w:r>
        <w:rPr>
          <w:rFonts w:ascii="Times New Roman" w:hAnsi="Times New Roman" w:eastAsia="Times New Roman"/>
          <w:color w:val="000000"/>
          <w:sz w:val="17"/>
        </w:rPr>
        <w:t>Standardized prevalence used the full-BMI Model 2. Interaction tests were joint Wald tests for fatty-liver-by-BMI spline terms. BMI, body mass index; CI, confidence interval.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Table S10. Selection and missingness weighting analyses</w:t>
      </w:r>
    </w:p>
    <w:tbl>
      <w:tblPr>
        <w:tblW w:type="dxa" w:w="8500"/>
        <w:jc w:val="center"/>
        <w:tblLayout w:type="fixed"/>
        <w:tblLook w:firstColumn="1" w:firstRow="1" w:lastColumn="0" w:lastRow="0" w:noHBand="0" w:noVBand="1" w:val="04A0"/>
      </w:tblPr>
      <w:tblGrid>
        <w:gridCol w:w="1250"/>
        <w:gridCol w:w="1700"/>
        <w:gridCol w:w="2200"/>
        <w:gridCol w:w="800"/>
        <w:gridCol w:w="900"/>
        <w:gridCol w:w="1650"/>
      </w:tblGrid>
      <w:tr>
        <w:trPr>
          <w:cantSplit/>
          <w:tblHeader w:val="true"/>
        </w:trPr>
        <w:tc>
          <w:tcPr>
            <w:tcW w:type="dxa" w:w="12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Domain</w:t>
            </w:r>
          </w:p>
        </w:tc>
        <w:tc>
          <w:tcPr>
            <w:tcW w:type="dxa" w:w="17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Analysis</w:t>
            </w:r>
          </w:p>
        </w:tc>
        <w:tc>
          <w:tcPr>
            <w:tcW w:type="dxa" w:w="22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Weighting</w:t>
            </w:r>
          </w:p>
        </w:tc>
        <w:tc>
          <w:tcPr>
            <w:tcW w:type="dxa" w:w="8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N</w:t>
            </w:r>
          </w:p>
        </w:tc>
        <w:tc>
          <w:tcPr>
            <w:tcW w:type="dxa" w:w="9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Gallstones, n</w:t>
            </w:r>
          </w:p>
        </w:tc>
        <w:tc>
          <w:tcPr>
            <w:tcW w:type="dxa" w:w="16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Adjusted PR (95% CI)</w:t>
            </w:r>
          </w:p>
        </w:tc>
      </w:tr>
      <w:tr>
        <w:tc>
          <w:tcPr>
            <w:tcW w:type="dxa" w:w="12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BMI availability</w:t>
            </w:r>
          </w:p>
        </w:tc>
        <w:tc>
          <w:tcPr>
            <w:tcW w:type="dxa" w:w="1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Primary full-BMI model</w:t>
            </w:r>
          </w:p>
        </w:tc>
        <w:tc>
          <w:tcPr>
            <w:tcW w:type="dxa" w:w="2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Unweighted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300017</w:t>
            </w:r>
          </w:p>
        </w:tc>
        <w:tc>
          <w:tcPr>
            <w:tcW w:type="dxa" w:w="9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14638</w:t>
            </w:r>
          </w:p>
        </w:tc>
        <w:tc>
          <w:tcPr>
            <w:tcW w:type="dxa" w:w="16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1.14 (1.10-1.18)</w:t>
            </w:r>
          </w:p>
        </w:tc>
      </w:tr>
      <w:tr>
        <w:tc>
          <w:tcPr>
            <w:tcW w:type="dxa" w:w="12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BMI availability</w:t>
            </w:r>
          </w:p>
        </w:tc>
        <w:tc>
          <w:tcPr>
            <w:tcW w:type="dxa" w:w="1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BMI-observation IPW</w:t>
            </w:r>
          </w:p>
        </w:tc>
        <w:tc>
          <w:tcPr>
            <w:tcW w:type="dxa" w:w="2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Trimmed at 1st/99th percentiles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300017</w:t>
            </w:r>
          </w:p>
        </w:tc>
        <w:tc>
          <w:tcPr>
            <w:tcW w:type="dxa" w:w="9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14638</w:t>
            </w:r>
          </w:p>
        </w:tc>
        <w:tc>
          <w:tcPr>
            <w:tcW w:type="dxa" w:w="16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1.14 (1.10-1.18)</w:t>
            </w:r>
          </w:p>
        </w:tc>
      </w:tr>
      <w:tr>
        <w:tc>
          <w:tcPr>
            <w:tcW w:type="dxa" w:w="12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Ultrasound assessability</w:t>
            </w:r>
          </w:p>
        </w:tc>
        <w:tc>
          <w:tcPr>
            <w:tcW w:type="dxa" w:w="1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Primary normal-weight model</w:t>
            </w:r>
          </w:p>
        </w:tc>
        <w:tc>
          <w:tcPr>
            <w:tcW w:type="dxa" w:w="2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Unweighted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162312</w:t>
            </w:r>
          </w:p>
        </w:tc>
        <w:tc>
          <w:tcPr>
            <w:tcW w:type="dxa" w:w="9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6702</w:t>
            </w:r>
          </w:p>
        </w:tc>
        <w:tc>
          <w:tcPr>
            <w:tcW w:type="dxa" w:w="16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1.197 (1.135-1.262)</w:t>
            </w:r>
          </w:p>
        </w:tc>
      </w:tr>
      <w:tr>
        <w:tc>
          <w:tcPr>
            <w:tcW w:type="dxa" w:w="12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Ultrasound assessability</w:t>
            </w:r>
          </w:p>
        </w:tc>
        <w:tc>
          <w:tcPr>
            <w:tcW w:type="dxa" w:w="17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Assessability IPW</w:t>
            </w:r>
          </w:p>
        </w:tc>
        <w:tc>
          <w:tcPr>
            <w:tcW w:type="dxa" w:w="22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Stabilized, untruncated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162312</w:t>
            </w:r>
          </w:p>
        </w:tc>
        <w:tc>
          <w:tcPr>
            <w:tcW w:type="dxa" w:w="9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6702</w:t>
            </w:r>
          </w:p>
        </w:tc>
        <w:tc>
          <w:tcPr>
            <w:tcW w:type="dxa" w:w="165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1.196 (1.134-1.261)</w:t>
            </w:r>
          </w:p>
        </w:tc>
      </w:tr>
      <w:tr>
        <w:tc>
          <w:tcPr>
            <w:tcW w:type="dxa" w:w="12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Ultrasound assessability</w:t>
            </w:r>
          </w:p>
        </w:tc>
        <w:tc>
          <w:tcPr>
            <w:tcW w:type="dxa" w:w="17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Assessability IPW</w:t>
            </w:r>
          </w:p>
        </w:tc>
        <w:tc>
          <w:tcPr>
            <w:tcW w:type="dxa" w:w="22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Stabilized, trimmed at 1st/99th percentiles</w:t>
            </w:r>
          </w:p>
        </w:tc>
        <w:tc>
          <w:tcPr>
            <w:tcW w:type="dxa" w:w="8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162312</w:t>
            </w:r>
          </w:p>
        </w:tc>
        <w:tc>
          <w:tcPr>
            <w:tcW w:type="dxa" w:w="9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6702</w:t>
            </w:r>
          </w:p>
        </w:tc>
        <w:tc>
          <w:tcPr>
            <w:tcW w:type="dxa" w:w="16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1.196 (1.134-1.261)</w:t>
            </w:r>
          </w:p>
        </w:tc>
      </w:tr>
    </w:tbl>
    <w:p>
      <w:pPr>
        <w:keepNext w:val="0"/>
        <w:pageBreakBefore w:val="0"/>
        <w:spacing w:line="240" w:lineRule="auto"/>
      </w:pPr>
    </w:p>
    <w:p>
      <w:pPr>
        <w:pStyle w:val="14"/>
        <w:keepNext w:val="0"/>
        <w:pageBreakBefore w:val="0"/>
        <w:spacing w:after="160" w:line="240" w:lineRule="auto"/>
      </w:pPr>
      <w:r>
        <w:rPr>
          <w:rFonts w:ascii="Times New Roman" w:hAnsi="Times New Roman" w:eastAsia="Times New Roman"/>
          <w:color w:val="000000"/>
          <w:sz w:val="17"/>
        </w:rPr>
        <w:t>The BMI-observation model included fatty liver, gallstones, nonlinear age, and sex; mean modeled observation probability was 0.828. For ultrasound assessability, 162312 of 164579 normal-weight non-post-cholecystectomy adults were selected, leaving 2267 unselected. Selected versus unselected adults had mean age 43.51 versus 58.45 years, mean BMI 21.56 versus 21.78 kg/m², and 44.81% versus 41.95% male sex. The assessability model included nonlinear age, sex, and BMI; stabilized weights ranged from 0.989 to 1.157, and the effective sample size was 162279. Weighting assumes observation conditional on modeled covariates and cannot remove selection through unmeasured health-check-package factors. BMI, body mass index; CI, confidence interval; IPW, inverse-probability weighting; PR, prevalence ratio.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Table S11. Evidence basis and examination-level aggregation audit for final ultrasound labels</w:t>
      </w:r>
    </w:p>
    <w:tbl>
      <w:tblPr>
        <w:tblW w:type="dxa" w:w="8000"/>
        <w:jc w:val="center"/>
        <w:tblLayout w:type="fixed"/>
        <w:tblLook w:firstColumn="1" w:firstRow="1" w:lastColumn="0" w:lastRow="0" w:noHBand="0" w:noVBand="1" w:val="04A0"/>
      </w:tblPr>
      <w:tblGrid>
        <w:gridCol w:w="2050"/>
        <w:gridCol w:w="3050"/>
        <w:gridCol w:w="950"/>
        <w:gridCol w:w="1150"/>
        <w:gridCol w:w="800"/>
      </w:tblGrid>
      <w:tr>
        <w:trPr>
          <w:cantSplit/>
          <w:tblHeader w:val="true"/>
        </w:trPr>
        <w:tc>
          <w:tcPr>
            <w:tcW w:type="dxa" w:w="20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Panel / population</w:t>
            </w:r>
          </w:p>
        </w:tc>
        <w:tc>
          <w:tcPr>
            <w:tcW w:type="dxa" w:w="30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Evidence basis or audit item</w:t>
            </w:r>
          </w:p>
        </w:tc>
        <w:tc>
          <w:tcPr>
            <w:tcW w:type="dxa" w:w="9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n</w:t>
            </w:r>
          </w:p>
        </w:tc>
        <w:tc>
          <w:tcPr>
            <w:tcW w:type="dxa" w:w="11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Denominator, n</w:t>
            </w:r>
          </w:p>
        </w:tc>
        <w:tc>
          <w:tcPr>
            <w:tcW w:type="dxa" w:w="8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%</w:t>
            </w:r>
          </w:p>
        </w:tc>
      </w:tr>
      <w:tr>
        <w:tc>
          <w:tcPr>
            <w:tcW w:type="dxa" w:w="2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A. Sonographic fatty liver</w:t>
            </w:r>
          </w:p>
        </w:tc>
        <w:tc>
          <w:tcPr>
            <w:tcW w:type="dxa" w:w="3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Explicit diagnostic wording</w:t>
            </w:r>
          </w:p>
        </w:tc>
        <w:tc>
          <w:tcPr>
            <w:tcW w:type="dxa" w:w="9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11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363160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0.001%</w:t>
            </w:r>
          </w:p>
        </w:tc>
      </w:tr>
      <w:tr>
        <w:tc>
          <w:tcPr>
            <w:tcW w:type="dxa" w:w="2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A. Sonographic fatty liver</w:t>
            </w:r>
          </w:p>
        </w:tc>
        <w:tc>
          <w:tcPr>
            <w:tcW w:type="dxa" w:w="3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Characteristic parenchymal echo pattern</w:t>
            </w:r>
          </w:p>
        </w:tc>
        <w:tc>
          <w:tcPr>
            <w:tcW w:type="dxa" w:w="9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124641</w:t>
            </w:r>
          </w:p>
        </w:tc>
        <w:tc>
          <w:tcPr>
            <w:tcW w:type="dxa" w:w="11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363160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34.321%</w:t>
            </w:r>
          </w:p>
        </w:tc>
      </w:tr>
      <w:tr>
        <w:tc>
          <w:tcPr>
            <w:tcW w:type="dxa" w:w="2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A. Current gallstones</w:t>
            </w:r>
          </w:p>
        </w:tc>
        <w:tc>
          <w:tcPr>
            <w:tcW w:type="dxa" w:w="3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Explicit non-negated stone term</w:t>
            </w:r>
          </w:p>
        </w:tc>
        <w:tc>
          <w:tcPr>
            <w:tcW w:type="dxa" w:w="9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11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363160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0.001%</w:t>
            </w:r>
          </w:p>
        </w:tc>
      </w:tr>
      <w:tr>
        <w:tc>
          <w:tcPr>
            <w:tcW w:type="dxa" w:w="2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A. Current gallstones</w:t>
            </w:r>
          </w:p>
        </w:tc>
        <w:tc>
          <w:tcPr>
            <w:tcW w:type="dxa" w:w="3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Shadowing or mobile echogenic focus</w:t>
            </w:r>
          </w:p>
        </w:tc>
        <w:tc>
          <w:tcPr>
            <w:tcW w:type="dxa" w:w="9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16936</w:t>
            </w:r>
          </w:p>
        </w:tc>
        <w:tc>
          <w:tcPr>
            <w:tcW w:type="dxa" w:w="11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363160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4.664%</w:t>
            </w:r>
          </w:p>
        </w:tc>
      </w:tr>
      <w:tr>
        <w:tc>
          <w:tcPr>
            <w:tcW w:type="dxa" w:w="2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A. Current gallstones</w:t>
            </w:r>
          </w:p>
        </w:tc>
        <w:tc>
          <w:tcPr>
            <w:tcW w:type="dxa" w:w="3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WES sign or packed-stone pattern</w:t>
            </w:r>
          </w:p>
        </w:tc>
        <w:tc>
          <w:tcPr>
            <w:tcW w:type="dxa" w:w="9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797</w:t>
            </w:r>
          </w:p>
        </w:tc>
        <w:tc>
          <w:tcPr>
            <w:tcW w:type="dxa" w:w="11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363160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0.219%</w:t>
            </w:r>
          </w:p>
        </w:tc>
      </w:tr>
      <w:tr>
        <w:tc>
          <w:tcPr>
            <w:tcW w:type="dxa" w:w="2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A. Ultrasound quality</w:t>
            </w:r>
          </w:p>
        </w:tc>
        <w:tc>
          <w:tcPr>
            <w:tcW w:type="dxa" w:w="3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At least one report flagged as globally poor quality</w:t>
            </w:r>
          </w:p>
        </w:tc>
        <w:tc>
          <w:tcPr>
            <w:tcW w:type="dxa" w:w="9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880</w:t>
            </w:r>
          </w:p>
        </w:tc>
        <w:tc>
          <w:tcPr>
            <w:tcW w:type="dxa" w:w="11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374443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0.235%</w:t>
            </w:r>
          </w:p>
        </w:tc>
      </w:tr>
      <w:tr>
        <w:tc>
          <w:tcPr>
            <w:tcW w:type="dxa" w:w="2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B. Source examinations</w:t>
            </w:r>
          </w:p>
        </w:tc>
        <w:tc>
          <w:tcPr>
            <w:tcW w:type="dxa" w:w="3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One eligible report</w:t>
            </w:r>
          </w:p>
        </w:tc>
        <w:tc>
          <w:tcPr>
            <w:tcW w:type="dxa" w:w="9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567603</w:t>
            </w:r>
          </w:p>
        </w:tc>
        <w:tc>
          <w:tcPr>
            <w:tcW w:type="dxa" w:w="11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780622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72.712%</w:t>
            </w:r>
          </w:p>
        </w:tc>
      </w:tr>
      <w:tr>
        <w:tc>
          <w:tcPr>
            <w:tcW w:type="dxa" w:w="2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B. Source examinations</w:t>
            </w:r>
          </w:p>
        </w:tc>
        <w:tc>
          <w:tcPr>
            <w:tcW w:type="dxa" w:w="3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At least two eligible reports</w:t>
            </w:r>
          </w:p>
        </w:tc>
        <w:tc>
          <w:tcPr>
            <w:tcW w:type="dxa" w:w="9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213019</w:t>
            </w:r>
          </w:p>
        </w:tc>
        <w:tc>
          <w:tcPr>
            <w:tcW w:type="dxa" w:w="11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780622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27.288%</w:t>
            </w:r>
          </w:p>
        </w:tc>
      </w:tr>
      <w:tr>
        <w:tc>
          <w:tcPr>
            <w:tcW w:type="dxa" w:w="2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B. Source multi-report examinations</w:t>
            </w:r>
          </w:p>
        </w:tc>
        <w:tc>
          <w:tcPr>
            <w:tcW w:type="dxa" w:w="3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Conflicting fatty-liver evidence</w:t>
            </w:r>
          </w:p>
        </w:tc>
        <w:tc>
          <w:tcPr>
            <w:tcW w:type="dxa" w:w="9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807</w:t>
            </w:r>
          </w:p>
        </w:tc>
        <w:tc>
          <w:tcPr>
            <w:tcW w:type="dxa" w:w="11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213019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0.379%</w:t>
            </w:r>
          </w:p>
        </w:tc>
      </w:tr>
      <w:tr>
        <w:tc>
          <w:tcPr>
            <w:tcW w:type="dxa" w:w="2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B. Source multi-report examinations</w:t>
            </w:r>
          </w:p>
        </w:tc>
        <w:tc>
          <w:tcPr>
            <w:tcW w:type="dxa" w:w="3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Conflicting gallstone evidence</w:t>
            </w:r>
          </w:p>
        </w:tc>
        <w:tc>
          <w:tcPr>
            <w:tcW w:type="dxa" w:w="9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148</w:t>
            </w:r>
          </w:p>
        </w:tc>
        <w:tc>
          <w:tcPr>
            <w:tcW w:type="dxa" w:w="11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213019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0.069%</w:t>
            </w:r>
          </w:p>
        </w:tc>
      </w:tr>
      <w:tr>
        <w:tc>
          <w:tcPr>
            <w:tcW w:type="dxa" w:w="2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B. Primary normal-weight cohort</w:t>
            </w:r>
          </w:p>
        </w:tc>
        <w:tc>
          <w:tcPr>
            <w:tcW w:type="dxa" w:w="30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One eligible report</w:t>
            </w:r>
          </w:p>
        </w:tc>
        <w:tc>
          <w:tcPr>
            <w:tcW w:type="dxa" w:w="9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107913</w:t>
            </w:r>
          </w:p>
        </w:tc>
        <w:tc>
          <w:tcPr>
            <w:tcW w:type="dxa" w:w="11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162312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66.485%</w:t>
            </w:r>
          </w:p>
        </w:tc>
      </w:tr>
      <w:tr>
        <w:tc>
          <w:tcPr>
            <w:tcW w:type="dxa" w:w="20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B. Primary normal-weight cohort</w:t>
            </w:r>
          </w:p>
        </w:tc>
        <w:tc>
          <w:tcPr>
            <w:tcW w:type="dxa" w:w="30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Two or three eligible reports</w:t>
            </w:r>
          </w:p>
        </w:tc>
        <w:tc>
          <w:tcPr>
            <w:tcW w:type="dxa" w:w="9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54399</w:t>
            </w:r>
          </w:p>
        </w:tc>
        <w:tc>
          <w:tcPr>
            <w:tcW w:type="dxa" w:w="11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162312</w:t>
            </w:r>
          </w:p>
        </w:tc>
        <w:tc>
          <w:tcPr>
            <w:tcW w:type="dxa" w:w="8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33.515%</w:t>
            </w:r>
          </w:p>
        </w:tc>
      </w:tr>
    </w:tbl>
    <w:p>
      <w:pPr>
        <w:pStyle w:val="14"/>
        <w:keepNext w:val="0"/>
        <w:keepLines/>
        <w:pageBreakBefore w:val="0"/>
        <w:spacing w:after="0" w:line="240" w:lineRule="auto"/>
      </w:pPr>
      <w:r>
        <w:rPr>
          <w:rFonts w:ascii="Times New Roman" w:hAnsi="Times New Roman" w:eastAsia="Times New Roman"/>
          <w:color w:val="000000"/>
          <w:sz w:val="17"/>
        </w:rPr>
        <w:t>Panel A counts participants with at least one retained report supporting each evidence basis in the selected index examination. Fatty-liver evidence categories accounted for all 124643 positive labels and gallstone evidence categories accounted for all 17735 positive labels. Denominators are active-gallbladder adults (n=363160), except ultrasound quality, which uses all index-selected adults (n=374443). Panel B audits report multiplicity and conflicts. The 780622 source examinations represented 997996 eligible report instances; conflict percentages use the 213019 multi-report examinations as denominator. Conflicts were set to unclassifiable before the active cohort was formed. The primary normal-weight report-count rows use n=162312. WES, wall-echo-shadow.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Table S12. CRP source-quality audit</w:t>
      </w:r>
    </w:p>
    <w:tbl>
      <w:tblPr>
        <w:tblW w:type="dxa" w:w="7600"/>
        <w:jc w:val="center"/>
        <w:tblLayout w:type="fixed"/>
        <w:tblLook w:firstColumn="1" w:firstRow="1" w:lastColumn="0" w:lastRow="0" w:noHBand="0" w:noVBand="1" w:val="04A0"/>
      </w:tblPr>
      <w:tblGrid>
        <w:gridCol w:w="5800"/>
        <w:gridCol w:w="1800"/>
      </w:tblGrid>
      <w:tr>
        <w:trPr>
          <w:cantSplit/>
          <w:tblHeader w:val="true"/>
        </w:trPr>
        <w:tc>
          <w:tcPr>
            <w:tcW w:type="dxa" w:w="58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Quality-control item</w:t>
            </w:r>
          </w:p>
        </w:tc>
        <w:tc>
          <w:tcPr>
            <w:tcW w:type="dxa" w:w="18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Count</w:t>
            </w:r>
          </w:p>
        </w:tc>
      </w:tr>
      <w:tr>
        <w:tc>
          <w:tcPr>
            <w:tcW w:type="dxa" w:w="5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Selected examinations with numeric CRP source</w:t>
            </w:r>
          </w:p>
        </w:tc>
        <w:tc>
          <w:tcPr>
            <w:tcW w:type="dxa" w:w="1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159752</w:t>
            </w:r>
          </w:p>
        </w:tc>
      </w:tr>
      <w:tr>
        <w:tc>
          <w:tcPr>
            <w:tcW w:type="dxa" w:w="5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Source unit mg/L</w:t>
            </w:r>
          </w:p>
        </w:tc>
        <w:tc>
          <w:tcPr>
            <w:tcW w:type="dxa" w:w="1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159752</w:t>
            </w:r>
          </w:p>
        </w:tc>
      </w:tr>
      <w:tr>
        <w:tc>
          <w:tcPr>
            <w:tcW w:type="dxa" w:w="5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High-sensitivity CRP assay</w:t>
            </w:r>
          </w:p>
        </w:tc>
        <w:tc>
          <w:tcPr>
            <w:tcW w:type="dxa" w:w="1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157571</w:t>
            </w:r>
          </w:p>
        </w:tc>
      </w:tr>
      <w:tr>
        <w:tc>
          <w:tcPr>
            <w:tcW w:type="dxa" w:w="5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Conventional CRP assay</w:t>
            </w:r>
          </w:p>
        </w:tc>
        <w:tc>
          <w:tcPr>
            <w:tcW w:type="dxa" w:w="1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2181</w:t>
            </w:r>
          </w:p>
        </w:tc>
      </w:tr>
      <w:tr>
        <w:tc>
          <w:tcPr>
            <w:tcW w:type="dxa" w:w="5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Invalid analyte name</w:t>
            </w:r>
          </w:p>
        </w:tc>
        <w:tc>
          <w:tcPr>
            <w:tcW w:type="dxa" w:w="1800"/>
            <w:tcBorders>
              <w:top w:val="nil"/>
              <w:bottom w:val="nil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</w:t>
            </w:r>
          </w:p>
        </w:tc>
      </w:tr>
      <w:tr>
        <w:tc>
          <w:tcPr>
            <w:tcW w:type="dxa" w:w="58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Incompatible source unit</w:t>
            </w:r>
          </w:p>
        </w:tc>
        <w:tc>
          <w:tcPr>
            <w:tcW w:type="dxa" w:w="18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0</w:t>
            </w:r>
          </w:p>
        </w:tc>
      </w:tr>
    </w:tbl>
    <w:p>
      <w:pPr>
        <w:keepNext w:val="0"/>
        <w:pageBreakBefore w:val="0"/>
        <w:spacing w:line="240" w:lineRule="auto"/>
      </w:pPr>
    </w:p>
    <w:p>
      <w:pPr>
        <w:pStyle w:val="14"/>
        <w:keepNext w:val="0"/>
        <w:pageBreakBefore w:val="0"/>
        <w:spacing w:after="160" w:line="240" w:lineRule="auto"/>
      </w:pPr>
      <w:r>
        <w:rPr>
          <w:rFonts w:ascii="Times New Roman" w:hAnsi="Times New Roman" w:eastAsia="Times New Roman"/>
          <w:color w:val="000000"/>
          <w:sz w:val="17"/>
        </w:rPr>
        <w:t>The union of primary and most-complete selected examinations was audited. No selected index examination used the historical false-positive panel row identified during source review. CRP, C-reactive protein.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Table S13. Model-form robustness among normal-weight adults</w:t>
      </w:r>
    </w:p>
    <w:tbl>
      <w:tblPr>
        <w:tblW w:type="dxa" w:w="8300"/>
        <w:jc w:val="center"/>
        <w:tblLayout w:type="fixed"/>
        <w:tblLook w:firstColumn="1" w:firstRow="1" w:lastColumn="0" w:lastRow="0" w:noHBand="0" w:noVBand="1" w:val="04A0"/>
      </w:tblPr>
      <w:tblGrid>
        <w:gridCol w:w="3300"/>
        <w:gridCol w:w="1200"/>
        <w:gridCol w:w="1550"/>
        <w:gridCol w:w="2250"/>
      </w:tblGrid>
      <w:tr>
        <w:trPr>
          <w:cantSplit/>
          <w:tblHeader w:val="true"/>
        </w:trPr>
        <w:tc>
          <w:tcPr>
            <w:tcW w:type="dxa" w:w="33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Specification</w:t>
            </w:r>
          </w:p>
        </w:tc>
        <w:tc>
          <w:tcPr>
            <w:tcW w:type="dxa" w:w="12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Effect</w:t>
            </w:r>
          </w:p>
        </w:tc>
        <w:tc>
          <w:tcPr>
            <w:tcW w:type="dxa" w:w="15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PR (95% CI)</w:t>
            </w:r>
          </w:p>
        </w:tc>
        <w:tc>
          <w:tcPr>
            <w:tcW w:type="dxa" w:w="22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Difference, percentage points (95% CI)</w:t>
            </w:r>
          </w:p>
        </w:tc>
      </w:tr>
      <w:tr>
        <w:tc>
          <w:tcPr>
            <w:tcW w:type="dxa" w:w="33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Primary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Adjusted PR</w:t>
            </w:r>
          </w:p>
        </w:tc>
        <w:tc>
          <w:tcPr>
            <w:tcW w:type="dxa" w:w="15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1.197 (1.135-1.262)</w:t>
            </w:r>
          </w:p>
        </w:tc>
        <w:tc>
          <w:tcPr>
            <w:tcW w:type="dxa" w:w="22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0.77 (0.54-1.01)</w:t>
            </w:r>
          </w:p>
        </w:tc>
      </w:tr>
      <w:tr>
        <w:tc>
          <w:tcPr>
            <w:tcW w:type="dxa" w:w="33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Linear age and linear BMI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Adjusted PR</w:t>
            </w:r>
          </w:p>
        </w:tc>
        <w:tc>
          <w:tcPr>
            <w:tcW w:type="dxa" w:w="15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1.216 (1.154-1.282)</w:t>
            </w:r>
          </w:p>
        </w:tc>
        <w:tc>
          <w:tcPr>
            <w:tcW w:type="dxa" w:w="22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0.85 (0.61-1.09)</w:t>
            </w:r>
          </w:p>
        </w:tc>
      </w:tr>
      <w:tr>
        <w:tc>
          <w:tcPr>
            <w:tcW w:type="dxa" w:w="33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Age spline df=3 and linear BMI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Adjusted PR</w:t>
            </w:r>
          </w:p>
        </w:tc>
        <w:tc>
          <w:tcPr>
            <w:tcW w:type="dxa" w:w="15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1.197 (1.135-1.262)</w:t>
            </w:r>
          </w:p>
        </w:tc>
        <w:tc>
          <w:tcPr>
            <w:tcW w:type="dxa" w:w="22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0.77 (0.53-1.01)</w:t>
            </w:r>
          </w:p>
        </w:tc>
      </w:tr>
      <w:tr>
        <w:tc>
          <w:tcPr>
            <w:tcW w:type="dxa" w:w="33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Age spline df=4 and linear BMI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Adjusted PR</w:t>
            </w:r>
          </w:p>
        </w:tc>
        <w:tc>
          <w:tcPr>
            <w:tcW w:type="dxa" w:w="15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1.195 (1.134-1.261)</w:t>
            </w:r>
          </w:p>
        </w:tc>
        <w:tc>
          <w:tcPr>
            <w:tcW w:type="dxa" w:w="22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0.77 (0.53-1.01)</w:t>
            </w:r>
          </w:p>
        </w:tc>
      </w:tr>
      <w:tr>
        <w:tc>
          <w:tcPr>
            <w:tcW w:type="dxa" w:w="33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Age spline df=6 and linear BMI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Adjusted PR</w:t>
            </w:r>
          </w:p>
        </w:tc>
        <w:tc>
          <w:tcPr>
            <w:tcW w:type="dxa" w:w="15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1.196 (1.135-1.261)</w:t>
            </w:r>
          </w:p>
        </w:tc>
        <w:tc>
          <w:tcPr>
            <w:tcW w:type="dxa" w:w="22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0.77 (0.53-1.01)</w:t>
            </w:r>
          </w:p>
        </w:tc>
      </w:tr>
      <w:tr>
        <w:tc>
          <w:tcPr>
            <w:tcW w:type="dxa" w:w="33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Age spline df=5 and quadratic BMI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Adjusted PR</w:t>
            </w:r>
          </w:p>
        </w:tc>
        <w:tc>
          <w:tcPr>
            <w:tcW w:type="dxa" w:w="15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1.196 (1.134-1.261)</w:t>
            </w:r>
          </w:p>
        </w:tc>
        <w:tc>
          <w:tcPr>
            <w:tcW w:type="dxa" w:w="22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0.77 (0.53-1.01)</w:t>
            </w:r>
          </w:p>
        </w:tc>
      </w:tr>
      <w:tr>
        <w:tc>
          <w:tcPr>
            <w:tcW w:type="dxa" w:w="33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Age spline df=5 and BMI spline df=3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Adjusted PR</w:t>
            </w:r>
          </w:p>
        </w:tc>
        <w:tc>
          <w:tcPr>
            <w:tcW w:type="dxa" w:w="15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1.197 (1.135-1.262)</w:t>
            </w:r>
          </w:p>
        </w:tc>
        <w:tc>
          <w:tcPr>
            <w:tcW w:type="dxa" w:w="22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0.77 (0.54-1.01)</w:t>
            </w:r>
          </w:p>
        </w:tc>
      </w:tr>
      <w:tr>
        <w:tc>
          <w:tcPr>
            <w:tcW w:type="dxa" w:w="33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Age spline df=5 and BMI spline df=4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Adjusted PR</w:t>
            </w:r>
          </w:p>
        </w:tc>
        <w:tc>
          <w:tcPr>
            <w:tcW w:type="dxa" w:w="15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1.197 (1.135-1.262)</w:t>
            </w:r>
          </w:p>
        </w:tc>
        <w:tc>
          <w:tcPr>
            <w:tcW w:type="dxa" w:w="22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0.77 (0.53-1.01)</w:t>
            </w:r>
          </w:p>
        </w:tc>
      </w:tr>
      <w:tr>
        <w:tc>
          <w:tcPr>
            <w:tcW w:type="dxa" w:w="33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Two-year age and 0.5-BMI categories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Adjusted PR</w:t>
            </w:r>
          </w:p>
        </w:tc>
        <w:tc>
          <w:tcPr>
            <w:tcW w:type="dxa" w:w="15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1.196 (1.134-1.261)</w:t>
            </w:r>
          </w:p>
        </w:tc>
        <w:tc>
          <w:tcPr>
            <w:tcW w:type="dxa" w:w="22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0.77 (0.53-1.01)</w:t>
            </w:r>
          </w:p>
        </w:tc>
      </w:tr>
      <w:tr>
        <w:tc>
          <w:tcPr>
            <w:tcW w:type="dxa" w:w="33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Log-binomial</w:t>
            </w:r>
          </w:p>
        </w:tc>
        <w:tc>
          <w:tcPr>
            <w:tcW w:type="dxa" w:w="12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Adjusted PR</w:t>
            </w:r>
          </w:p>
        </w:tc>
        <w:tc>
          <w:tcPr>
            <w:tcW w:type="dxa" w:w="15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1.194 (1.133-1.259)</w:t>
            </w:r>
          </w:p>
        </w:tc>
        <w:tc>
          <w:tcPr>
            <w:tcW w:type="dxa" w:w="22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0.76 (0.53-1.00)</w:t>
            </w:r>
          </w:p>
        </w:tc>
      </w:tr>
      <w:tr>
        <w:tc>
          <w:tcPr>
            <w:tcW w:type="dxa" w:w="33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Logistic standardization</w:t>
            </w:r>
          </w:p>
        </w:tc>
        <w:tc>
          <w:tcPr>
            <w:tcW w:type="dxa" w:w="12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Standardized PR</w:t>
            </w:r>
          </w:p>
        </w:tc>
        <w:tc>
          <w:tcPr>
            <w:tcW w:type="dxa" w:w="15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1.200 (1.137-1.266)</w:t>
            </w:r>
          </w:p>
        </w:tc>
        <w:tc>
          <w:tcPr>
            <w:tcW w:type="dxa" w:w="22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0.78 (0.54-1.03)</w:t>
            </w:r>
          </w:p>
        </w:tc>
      </w:tr>
    </w:tbl>
    <w:p>
      <w:pPr>
        <w:pStyle w:val="14"/>
        <w:keepNext w:val="0"/>
        <w:keepLines/>
        <w:pageBreakBefore w:val="0"/>
        <w:spacing w:after="0" w:line="240" w:lineRule="auto"/>
      </w:pPr>
      <w:r>
        <w:rPr>
          <w:rFonts w:ascii="Times New Roman" w:hAnsi="Times New Roman" w:eastAsia="Times New Roman"/>
          <w:color w:val="000000"/>
          <w:sz w:val="14"/>
        </w:rPr>
        <w:t>Post hoc checks: rows 1-9 are sex-adjusted modified Poisson models with the heteroskedasticity-consistent HC0 sandwich variance estimator, varying age and BMI functions; log-binomial used the primary functions, and logistic standardization reports a marginal PR. The primary design matrix was full rank with condition number 7.43, no predicted probability exceeded 1, and the within-normal-BMI interaction was P=0.422. BMI, body mass index; CI, confidence interval; PR, prevalence ratio.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Table S14. Sensitivity analysis including post-cholecystectomy status</w:t>
      </w:r>
    </w:p>
    <w:tbl>
      <w:tblPr>
        <w:tblW w:type="dxa" w:w="8350"/>
        <w:jc w:val="center"/>
        <w:tblLayout w:type="fixed"/>
        <w:tblLook w:firstColumn="1" w:firstRow="1" w:lastColumn="0" w:lastRow="0" w:noHBand="0" w:noVBand="1" w:val="04A0"/>
      </w:tblPr>
      <w:tblGrid>
        <w:gridCol w:w="2300"/>
        <w:gridCol w:w="700"/>
        <w:gridCol w:w="800"/>
        <w:gridCol w:w="1150"/>
        <w:gridCol w:w="1900"/>
        <w:gridCol w:w="1500"/>
      </w:tblGrid>
      <w:tr>
        <w:trPr>
          <w:cantSplit/>
          <w:tblHeader w:val="true"/>
        </w:trPr>
        <w:tc>
          <w:tcPr>
            <w:tcW w:type="dxa" w:w="23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Outcome definition</w:t>
            </w:r>
          </w:p>
        </w:tc>
        <w:tc>
          <w:tcPr>
            <w:tcW w:type="dxa" w:w="7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N</w:t>
            </w:r>
          </w:p>
        </w:tc>
        <w:tc>
          <w:tcPr>
            <w:tcW w:type="dxa" w:w="8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Events, n</w:t>
            </w:r>
          </w:p>
        </w:tc>
        <w:tc>
          <w:tcPr>
            <w:tcW w:type="dxa" w:w="115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Post-cholecystectomy, n</w:t>
            </w:r>
          </w:p>
        </w:tc>
        <w:tc>
          <w:tcPr>
            <w:tcW w:type="dxa" w:w="19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Observed prevalence, no fatty liver / fatty liver</w:t>
            </w:r>
          </w:p>
        </w:tc>
        <w:tc>
          <w:tcPr>
            <w:tcW w:type="dxa" w:w="150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tcBorders>
              <w:top w:val="single" w:sz="12" w:space="0" w:color="000000"/>
              <w:bottom w:val="single" w:sz="5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3"/>
              </w:rPr>
              <w:t>Adjusted PR (95% CI)</w:t>
            </w:r>
          </w:p>
        </w:tc>
      </w:tr>
      <w:tr>
        <w:tc>
          <w:tcPr>
            <w:tcW w:type="dxa" w:w="23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Current gallstones</w:t>
            </w:r>
          </w:p>
        </w:tc>
        <w:tc>
          <w:tcPr>
            <w:tcW w:type="dxa" w:w="7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162312</w:t>
            </w:r>
          </w:p>
        </w:tc>
        <w:tc>
          <w:tcPr>
            <w:tcW w:type="dxa" w:w="8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6702</w:t>
            </w:r>
          </w:p>
        </w:tc>
        <w:tc>
          <w:tcPr>
            <w:tcW w:type="dxa" w:w="115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0</w:t>
            </w:r>
          </w:p>
        </w:tc>
        <w:tc>
          <w:tcPr>
            <w:tcW w:type="dxa" w:w="19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3.58% / 6.49%</w:t>
            </w:r>
          </w:p>
        </w:tc>
        <w:tc>
          <w:tcPr>
            <w:tcW w:type="dxa" w:w="1500"/>
            <w:tcBorders>
              <w:top w:val="nil"/>
              <w:bottom w:val="nil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1.20 (1.13-1.26)</w:t>
            </w:r>
          </w:p>
        </w:tc>
      </w:tr>
      <w:tr>
        <w:tc>
          <w:tcPr>
            <w:tcW w:type="dxa" w:w="23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Current gallstones or unconflicted explicit post-cholecystectomy status</w:t>
            </w:r>
          </w:p>
        </w:tc>
        <w:tc>
          <w:tcPr>
            <w:tcW w:type="dxa" w:w="7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164229</w:t>
            </w:r>
          </w:p>
        </w:tc>
        <w:tc>
          <w:tcPr>
            <w:tcW w:type="dxa" w:w="8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8619</w:t>
            </w:r>
          </w:p>
        </w:tc>
        <w:tc>
          <w:tcPr>
            <w:tcW w:type="dxa" w:w="115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1917</w:t>
            </w:r>
          </w:p>
        </w:tc>
        <w:tc>
          <w:tcPr>
            <w:tcW w:type="dxa" w:w="19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4.43% / 8.72%</w:t>
            </w:r>
          </w:p>
        </w:tc>
        <w:tc>
          <w:tcPr>
            <w:tcW w:type="dxa" w:w="1500"/>
            <w:tcBorders>
              <w:top w:val="nil"/>
              <w:bottom w:val="single" w:sz="12" w:space="0" w:color="000000"/>
              <w:start w:val="nil"/>
              <w:end w:val="nil"/>
            </w:tcBorders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1.30 (1.24-1.36)</w:t>
            </w:r>
          </w:p>
        </w:tc>
      </w:tr>
    </w:tbl>
    <w:p>
      <w:pPr>
        <w:pStyle w:val="14"/>
        <w:keepNext w:val="0"/>
        <w:keepLines/>
        <w:pageBreakBefore w:val="0"/>
        <w:spacing w:after="0" w:line="240" w:lineRule="auto"/>
      </w:pPr>
      <w:r>
        <w:rPr>
          <w:rFonts w:ascii="Times New Roman" w:hAnsi="Times New Roman" w:eastAsia="Times New Roman"/>
          <w:color w:val="000000"/>
          <w:sz w:val="14"/>
        </w:rPr>
        <w:t>The expanded analysis added only records whose final exclusion state was an explicit, unconflicted post-cholecystectomy statement. Two records with conflicting postoperative and current-gallbladder evidence remained excluded. Models adjusted for nonlinear age, sex, and continuous BMI within 18.5 to &lt;24.0 kg/m². Post-cholecystectomy status was not interpreted as prior gallstone surgery because surgical indication was unavailable. BMI, body mass index; CI, confidence interval; PR, prevalence ratio.</w:t>
      </w:r>
    </w:p>
    <w:p>
      <w:pPr>
        <w:pStyle w:val="2"/>
        <w:keepNext/>
        <w:pageBreakBefore w:val="0"/>
        <w:spacing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Supplementary figures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Figure S1. Fatty liver and gallstones across body mass index.</w:t>
      </w:r>
    </w:p>
    <w:p>
      <w:pPr>
        <w:keepNext/>
        <w:keepLines/>
        <w:pageBreakBefore w:val="0"/>
        <w:spacing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394960" cy="3483412"/>
            <wp:docPr id="1" name="Picture 1" title="Supplementary Figure S1. Fatty liver and gallstones across body mass index" descr="Panel A shows observed gallstone prevalence with Wilson 95% confidence intervals across BMI bands. Panel B shows the age- and sex-adjusted prevalence ratio comparing fatty liver with no fatty liver from a fatty-liver-by-BMI spline model, displayed only over the overlapping central BMI support of both exposure groups. The vertical line marks BMI 24.0 kg/m². The overall interaction used the full BMI-complete sample; the BMI 18.5 to &lt;28.0 test restricted the sample to Chinese nonobese adults. Tail patterns are descriptive and should not be interpreted as a protective effect of obesity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1_bmi_contex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4834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14"/>
        <w:keepNext w:val="0"/>
        <w:keepLines/>
        <w:pageBreakBefore w:val="0"/>
        <w:spacing w:after="160" w:line="240" w:lineRule="auto"/>
      </w:pPr>
      <w:r>
        <w:rPr>
          <w:rFonts w:ascii="Times New Roman" w:hAnsi="Times New Roman" w:eastAsia="Times New Roman"/>
          <w:color w:val="000000"/>
          <w:sz w:val="17"/>
        </w:rPr>
        <w:t>Panel A shows observed gallstone prevalence with Wilson 95% confidence intervals across BMI bands. Panel B shows the age- and sex-adjusted prevalence ratio comparing fatty liver with no fatty liver from a fatty-liver-by-BMI spline model, displayed only over the overlapping central BMI support of both exposure groups. The vertical line marks BMI 24.0 kg/m². The overall interaction used the full BMI-complete sample; the BMI 18.5 to &lt;28.0 test restricted the sample to Chinese nonobese adults. Tail patterns are descriptive and should not be interpreted as a protective effect of obesity.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Figure S2. Alternative pseudo-random index selections.</w:t>
      </w:r>
    </w:p>
    <w:p>
      <w:pPr>
        <w:keepNext/>
        <w:keepLines/>
        <w:pageBreakBefore w:val="0"/>
        <w:spacing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394960" cy="3596640"/>
            <wp:docPr id="2" name="Picture 2" title="Supplementary Figure S2. Alternative pseudo-random index selections" descr="Adjusted prevalence ratios from ten deterministic pseudo-random index-examination rankings. Every analysis retained one examination per linked adult and adjusted for nonlinear age, sex, and continuous within-range BMI. The dashed line marks the null value of 1.0; the dotted orange line marks the primary index estimat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2_repeated_random_index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596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14"/>
        <w:keepNext w:val="0"/>
        <w:keepLines/>
        <w:pageBreakBefore w:val="0"/>
        <w:spacing w:after="160" w:line="240" w:lineRule="auto"/>
      </w:pPr>
      <w:r>
        <w:rPr>
          <w:rFonts w:ascii="Times New Roman" w:hAnsi="Times New Roman" w:eastAsia="Times New Roman"/>
          <w:color w:val="000000"/>
          <w:sz w:val="17"/>
        </w:rPr>
        <w:t>Adjusted prevalence ratios from ten deterministic pseudo-random index-examination rankings. Every analysis retained one examination per linked adult and adjusted for nonlinear age, sex, and continuous within-range BMI. The dashed line marks the null value of 1.0; the dotted orange line marks the primary index estimate.</w:t>
      </w:r>
    </w:p>
    <w:p>
      <w:pPr>
        <w:pStyle w:val="13"/>
        <w:keepNext/>
        <w:pageBreakBefore w:val="0"/>
        <w:spacing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1"/>
        </w:rPr>
        <w:t>Supplementary Figure S3. Normal-weight sensitivity analyses.</w:t>
      </w:r>
    </w:p>
    <w:p>
      <w:pPr>
        <w:keepNext/>
        <w:keepLines/>
        <w:pageBreakBefore w:val="0"/>
        <w:spacing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394960" cy="4645660"/>
            <wp:docPr id="3" name="Picture 3" title="Supplementary Figure S3. Normal-weight sensitivity analyses" descr="Adjusted prevalence ratios for fatty liver versus no fatty liver across alternative examination selections, ultrasound restrictions, BMI sources, and normal-weight definitions. Models adjusted for nonlinear age, sex, and continuous BMI. The vertical line marks the null value of 1.0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3_sensitivity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4645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14"/>
        <w:keepNext w:val="0"/>
        <w:keepLines/>
        <w:pageBreakBefore w:val="0"/>
        <w:spacing w:after="160" w:line="240" w:lineRule="auto"/>
      </w:pPr>
      <w:r>
        <w:rPr>
          <w:rFonts w:ascii="Times New Roman" w:hAnsi="Times New Roman" w:eastAsia="Times New Roman"/>
          <w:color w:val="000000"/>
          <w:sz w:val="17"/>
        </w:rPr>
        <w:t>Adjusted prevalence ratios for fatty liver versus no fatty liver across alternative examination selections, ultrasound restrictions, BMI sources, and normal-weight definitions. Models adjusted for nonlinear age, sex, and continuous BMI. The vertical line marks the null value of 1.0.</w:t>
      </w:r>
    </w:p>
    <w:sectPr>
      <w:pgSz w:w="11905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F7E4BA"/>
    <w:multiLevelType w:val="multilevel"/>
    <w:tmpl w:val="D1F7E4BA"/>
    <w:lvl w:ilvl="0" w:tentative="0">
      <w:start w:val="1"/>
      <w:numFmt w:val="decimal"/>
      <w:pStyle w:val="2"/>
      <w:lvlText w:val="%1"/>
      <w:lvlJc w:val="left"/>
      <w:pPr>
        <w:ind w:left="0" w:firstLine="0"/>
      </w:pPr>
      <w:rPr>
        <w:rFonts w:hint="default"/>
        <w:b/>
        <w:sz w:val="24"/>
      </w:rPr>
    </w:lvl>
    <w:lvl w:ilvl="1" w:tentative="0">
      <w:start w:val="1"/>
      <w:numFmt w:val="decimal"/>
      <w:pStyle w:val="4"/>
      <w:lvlText w:val="%1.%2"/>
      <w:lvlJc w:val="left"/>
      <w:pPr>
        <w:ind w:left="0" w:firstLine="0"/>
      </w:pPr>
      <w:rPr>
        <w:rFonts w:hint="default"/>
        <w:b/>
        <w:sz w:val="24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embedSystemFonts/>
  <w:bordersDoNotSurroundHeader w:val="0"/>
  <w:bordersDoNotSurroundFooter w:val="0"/>
  <w:documentProtection w:enforcement="0"/>
  <w:defaultTabStop w:val="378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fp9apstwf5f08etav45wfaza2rveseevffv&quot;&gt;My EndNote Library&lt;record-ids&gt;&lt;item&gt;205&lt;/item&gt;&lt;item&gt;206&lt;/item&gt;&lt;item&gt;207&lt;/item&gt;&lt;item&gt;208&lt;/item&gt;&lt;item&gt;209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3&lt;/item&gt;&lt;item&gt;224&lt;/item&gt;&lt;item&gt;225&lt;/item&gt;&lt;item&gt;226&lt;/item&gt;&lt;item&gt;227&lt;/item&gt;&lt;item&gt;228&lt;/item&gt;&lt;item&gt;230&lt;/item&gt;&lt;item&gt;232&lt;/item&gt;&lt;item&gt;233&lt;/item&gt;&lt;item&gt;234&lt;/item&gt;&lt;item&gt;236&lt;/item&gt;&lt;item&gt;237&lt;/item&gt;&lt;/record-ids&gt;&lt;/item&gt;&lt;/Libraries&gt;"/>
  </w:docVars>
  <w:rsids>
    <w:rsidRoot w:val="7EF667F2"/>
    <w:rsid w:val="002332EC"/>
    <w:rsid w:val="0025783D"/>
    <w:rsid w:val="003A3D92"/>
    <w:rsid w:val="00434A54"/>
    <w:rsid w:val="004464B6"/>
    <w:rsid w:val="0053716B"/>
    <w:rsid w:val="006311DC"/>
    <w:rsid w:val="006933BE"/>
    <w:rsid w:val="006F7E99"/>
    <w:rsid w:val="007E0136"/>
    <w:rsid w:val="00B21C7A"/>
    <w:rsid w:val="00B76C18"/>
    <w:rsid w:val="00E179CB"/>
    <w:rsid w:val="00EF7F5C"/>
    <w:rsid w:val="00F37CD9"/>
    <w:rsid w:val="00F839E0"/>
    <w:rsid w:val="00F95763"/>
    <w:rsid w:val="00FC0650"/>
    <w:rsid w:val="0B3A67D2"/>
    <w:rsid w:val="15FF7E3A"/>
    <w:rsid w:val="177C55A8"/>
    <w:rsid w:val="181C65E0"/>
    <w:rsid w:val="280E4F6F"/>
    <w:rsid w:val="3E5FF974"/>
    <w:rsid w:val="3FFEA410"/>
    <w:rsid w:val="450D6136"/>
    <w:rsid w:val="46804174"/>
    <w:rsid w:val="47560AF3"/>
    <w:rsid w:val="4FFC10F5"/>
    <w:rsid w:val="5F510564"/>
    <w:rsid w:val="601C74E2"/>
    <w:rsid w:val="60FF82CD"/>
    <w:rsid w:val="615B0AC0"/>
    <w:rsid w:val="665A078F"/>
    <w:rsid w:val="73EE5E96"/>
    <w:rsid w:val="74862DDB"/>
    <w:rsid w:val="77F79967"/>
    <w:rsid w:val="7D6F0243"/>
    <w:rsid w:val="7EF5539A"/>
    <w:rsid w:val="7EF667F2"/>
    <w:rsid w:val="7FF7F7E5"/>
    <w:rsid w:val="97BCBC84"/>
    <w:rsid w:val="97EF3353"/>
    <w:rsid w:val="BCFB726E"/>
    <w:rsid w:val="CBAF070F"/>
    <w:rsid w:val="EE7F3537"/>
    <w:rsid w:val="FB971783"/>
    <w:rsid w:val="FEDFE171"/>
    <w:rsid w:val="FFFB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numPr>
        <w:ilvl w:val="0"/>
        <w:numId w:val="1"/>
      </w:numPr>
      <w:spacing w:before="240" w:after="240"/>
      <w:ind w:left="142"/>
      <w:jc w:val="left"/>
      <w:outlineLvl w:val="0"/>
    </w:pPr>
    <w:rPr>
      <w:rFonts w:hint="eastAsia" w:ascii="Times New Roman" w:hAnsi="Times New Roman" w:eastAsia="宋体" w:cs="Times New Roman"/>
      <w:b/>
      <w:bCs/>
      <w:kern w:val="44"/>
      <w:sz w:val="24"/>
      <w:szCs w:val="48"/>
    </w:rPr>
  </w:style>
  <w:style w:type="paragraph" w:styleId="4">
    <w:name w:val="heading 2"/>
    <w:next w:val="1"/>
    <w:unhideWhenUsed/>
    <w:qFormat/>
    <w:uiPriority w:val="0"/>
    <w:pPr>
      <w:numPr>
        <w:ilvl w:val="1"/>
        <w:numId w:val="1"/>
      </w:numPr>
      <w:spacing w:before="240" w:after="200"/>
      <w:ind w:left="567" w:hanging="567"/>
      <w:outlineLvl w:val="1"/>
    </w:pPr>
    <w:rPr>
      <w:rFonts w:hint="eastAsia" w:ascii="Times New Roman" w:hAnsi="Times New Roman" w:eastAsia="宋体" w:cs="Times New Roman"/>
      <w:b/>
      <w:bCs/>
      <w:sz w:val="24"/>
      <w:szCs w:val="36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4"/>
    <w:pPr>
      <w:ind w:firstLine="420" w:firstLineChars="200"/>
    </w:pPr>
  </w:style>
  <w:style w:type="paragraph" w:styleId="5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6">
    <w:name w:val="Normal (Web)"/>
    <w:basedOn w:val="1"/>
    <w:link w:val="18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Title"/>
    <w:basedOn w:val="1"/>
    <w:next w:val="1"/>
    <w:qFormat/>
    <w:uiPriority w:val="0"/>
    <w:pPr>
      <w:widowControl/>
      <w:suppressLineNumbers/>
      <w:spacing w:before="240" w:after="360"/>
      <w:jc w:val="center"/>
    </w:pPr>
    <w:rPr>
      <w:rFonts w:ascii="Times New Roman" w:hAnsi="Times New Roman" w:cs="Times New Roman"/>
      <w:b/>
      <w:kern w:val="0"/>
      <w:sz w:val="32"/>
      <w:szCs w:val="32"/>
      <w:lang w:eastAsia="en-US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line number"/>
    <w:basedOn w:val="9"/>
    <w:uiPriority w:val="0"/>
  </w:style>
  <w:style w:type="character" w:styleId="12">
    <w:name w:val="Hyperlink"/>
    <w:basedOn w:val="9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表标题"/>
    <w:qFormat/>
    <w:uiPriority w:val="0"/>
    <w:pPr>
      <w:spacing w:before="120"/>
      <w:jc w:val="center"/>
    </w:pPr>
    <w:rPr>
      <w:rFonts w:ascii="Times New Roman" w:hAnsi="Times New Roman" w:eastAsia="黑体" w:cstheme="minorBidi"/>
      <w:b/>
      <w:kern w:val="2"/>
      <w:sz w:val="21"/>
      <w:szCs w:val="21"/>
      <w:lang w:val="en-US" w:eastAsia="zh-CN" w:bidi="ar-SA"/>
    </w:rPr>
  </w:style>
  <w:style w:type="paragraph" w:customStyle="1" w:styleId="14">
    <w:name w:val="表注"/>
    <w:qFormat/>
    <w:uiPriority w:val="0"/>
    <w:pPr>
      <w:spacing w:line="240" w:lineRule="exact"/>
      <w:jc w:val="both"/>
    </w:pPr>
    <w:rPr>
      <w:rFonts w:ascii="Times New Roman" w:hAnsi="Times New Roman" w:eastAsia="宋体" w:cstheme="minorBidi"/>
      <w:sz w:val="18"/>
      <w:szCs w:val="24"/>
      <w:lang w:val="en-US" w:eastAsia="en-US" w:bidi="ar-SA"/>
    </w:rPr>
  </w:style>
  <w:style w:type="paragraph" w:customStyle="1" w:styleId="15">
    <w:name w:val="1正文"/>
    <w:basedOn w:val="16"/>
    <w:qFormat/>
    <w:uiPriority w:val="0"/>
  </w:style>
  <w:style w:type="paragraph" w:customStyle="1" w:styleId="16">
    <w:name w:val="期刊正文"/>
    <w:qFormat/>
    <w:uiPriority w:val="0"/>
    <w:pPr>
      <w:spacing w:before="120" w:after="240"/>
      <w:jc w:val="both"/>
    </w:pPr>
    <w:rPr>
      <w:rFonts w:ascii="Times New Roman" w:hAnsi="Times New Roman" w:eastAsiaTheme="minorEastAsia" w:cstheme="minorBidi"/>
      <w:sz w:val="24"/>
      <w:szCs w:val="24"/>
      <w:lang w:val="en-US" w:eastAsia="en-US" w:bidi="ar-SA"/>
    </w:rPr>
  </w:style>
  <w:style w:type="paragraph" w:customStyle="1" w:styleId="17">
    <w:name w:val="EndNote Bibliography Title"/>
    <w:basedOn w:val="1"/>
    <w:link w:val="19"/>
    <w:qFormat/>
    <w:uiPriority w:val="0"/>
    <w:pPr>
      <w:jc w:val="center"/>
    </w:pPr>
    <w:rPr>
      <w:rFonts w:ascii="Calibri" w:hAnsi="Calibri" w:cs="Calibri"/>
      <w:sz w:val="20"/>
    </w:rPr>
  </w:style>
  <w:style w:type="character" w:customStyle="1" w:styleId="18">
    <w:name w:val="普通(网站) 字符"/>
    <w:basedOn w:val="9"/>
    <w:link w:val="6"/>
    <w:qFormat/>
    <w:uiPriority w:val="0"/>
    <w:rPr>
      <w:rFonts w:asciiTheme="minorHAnsi" w:hAnsiTheme="minorHAnsi" w:eastAsiaTheme="minorEastAsia"/>
      <w:sz w:val="24"/>
      <w:szCs w:val="24"/>
    </w:rPr>
  </w:style>
  <w:style w:type="character" w:customStyle="1" w:styleId="19">
    <w:name w:val="EndNote Bibliography Title 字符"/>
    <w:basedOn w:val="18"/>
    <w:link w:val="17"/>
    <w:qFormat/>
    <w:uiPriority w:val="0"/>
    <w:rPr>
      <w:rFonts w:ascii="Calibri" w:hAnsi="Calibri" w:cs="Calibri" w:eastAsiaTheme="minorEastAsia"/>
      <w:kern w:val="2"/>
      <w:sz w:val="24"/>
      <w:szCs w:val="24"/>
    </w:rPr>
  </w:style>
  <w:style w:type="paragraph" w:customStyle="1" w:styleId="20">
    <w:name w:val="EndNote Bibliography"/>
    <w:basedOn w:val="1"/>
    <w:link w:val="21"/>
    <w:qFormat/>
    <w:uiPriority w:val="0"/>
    <w:rPr>
      <w:rFonts w:ascii="Calibri" w:hAnsi="Calibri" w:cs="Calibri"/>
      <w:sz w:val="20"/>
    </w:rPr>
  </w:style>
  <w:style w:type="character" w:customStyle="1" w:styleId="21">
    <w:name w:val="EndNote Bibliography 字符"/>
    <w:basedOn w:val="18"/>
    <w:link w:val="20"/>
    <w:qFormat/>
    <w:uiPriority w:val="0"/>
    <w:rPr>
      <w:rFonts w:ascii="Calibri" w:hAnsi="Calibri" w:cs="Calibri" w:eastAsiaTheme="minorEastAsia"/>
      <w:kern w:val="2"/>
      <w:sz w:val="24"/>
      <w:szCs w:val="24"/>
    </w:rPr>
  </w:style>
  <w:style w:type="character" w:customStyle="1" w:styleId="22">
    <w:name w:val="未处理的提及1"/>
    <w:basedOn w:val="9"/>
    <w:semiHidden/>
    <w:unhideWhenUsed/>
    <w:uiPriority w:val="99"/>
    <w:rPr>
      <w:color w:val="605E5C"/>
      <w:shd w:val="clear" w:color="auto" w:fill="E1DFDD"/>
    </w:rPr>
  </w:style>
  <w:style w:type="paragraph" w:customStyle="1" w:styleId="23">
    <w:name w:val="Author List"/>
    <w:basedOn w:val="5"/>
    <w:next w:val="1"/>
    <w:qFormat/>
    <w:uiPriority w:val="1"/>
    <w:pPr>
      <w:widowControl/>
      <w:spacing w:after="240" w:line="240" w:lineRule="auto"/>
      <w:jc w:val="left"/>
      <w:outlineLvl w:val="9"/>
    </w:pPr>
    <w:rPr>
      <w:rFonts w:ascii="Times New Roman" w:hAnsi="Times New Roman" w:cs="Times New Roman"/>
      <w:bCs w:val="0"/>
      <w:kern w:val="0"/>
      <w:sz w:val="24"/>
      <w:szCs w:val="24"/>
      <w:lang w:eastAsia="en-US"/>
    </w:rPr>
  </w:style>
  <w:style w:type="paragraph" w:customStyle="1" w:styleId="24">
    <w:name w:val="1论文正文"/>
    <w:basedOn w:val="1"/>
    <w:uiPriority w:val="0"/>
    <w:pPr>
      <w:widowControl/>
      <w:spacing w:before="100" w:beforeAutospacing="1" w:after="240"/>
    </w:pPr>
    <w:rPr>
      <w:rFonts w:ascii="Times New Roman" w:hAnsi="Times New Roman" w:cs="Times New Roman"/>
      <w:kern w:val="0"/>
      <w:sz w:val="24"/>
    </w:rPr>
  </w:style>
  <w:style w:type="paragraph" w:customStyle="1" w:styleId="25">
    <w:name w:val="1级"/>
    <w:basedOn w:val="15"/>
    <w:qFormat/>
    <w:uiPriority w:val="0"/>
    <w:pPr>
      <w:spacing w:before="240"/>
      <w:outlineLvl w:val="0"/>
    </w:pPr>
    <w:rPr>
      <w:b/>
      <w:bCs/>
    </w:rPr>
  </w:style>
</w:styles>
</file>

<file path=word/_rels/document.xml.rels><?xml version='1.0' encoding='utf-8'?>
<Relationships xmlns="http://schemas.openxmlformats.org/package/2006/relationships"><Relationship Id="rId5" Type="http://schemas.openxmlformats.org/officeDocument/2006/relationships/fontTable" Target="fontTable.xml" /><Relationship Id="rId4" Type="http://schemas.openxmlformats.org/officeDocument/2006/relationships/numbering" Target="numbering.xml" /><Relationship Id="rId3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>
  <Template>Normal.dotm</Template>
  <ScaleCrop>false</ScaleCrop>
  <LinksUpToDate>false</LinksUpToDate>
  <Application>Microsoft Office Word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2026-08-15T00:00:00Z</dcterms:created>
  <dc:creator>Jiahao Xu; Sisi Lin; Min Li; Yiren Hu</dc:creator>
  <cp:lastModifiedBy>Research team</cp:lastModifiedBy>
  <dcterms:modified xsi:type="dcterms:W3CDTF">2026-08-15T00:00:00Z</dcterms:modified>
  <cp:revision>1</cp:revision>
  <dc:title>Sonographic fatty liver and current gallstones among normal-weight adults at a Chinese health-check center: a cross-sectional study of 162,312 participants - Supplementary material</dc:title>
  <dc:subject>Additional file 1</dc:subject>
  <cp:keywords>gallstones; fatty liver; normal weight; ultrasonography; prevalence ratio; China</cp:keywords>
  <dc:descript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47B42FDD66ADBEFD8754046A3825EE6D_41</vt:lpwstr>
  </property>
  <property fmtid="{D5CDD505-2E9C-101B-9397-08002B2CF9AE}" pid="4" name="KSOTemplateDocerSaveRecord">
    <vt:lpwstr>eyJoZGlkIjoiZTJjODRlYTJmYzUxMDFmN2E2MDZjNzU2ZWFjNTIwODIiLCJ1c2VySWQiOiIyNjMxMzQ5MDAifQ==</vt:lpwstr>
  </property>
</Properties>
</file>