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A8" w:rsidRDefault="000956B2">
      <w:pPr>
        <w:pStyle w:val="Naslov"/>
      </w:pPr>
      <w:r>
        <w:rPr>
          <w:rFonts w:ascii="Arial" w:hAnsi="Arial"/>
          <w:sz w:val="19"/>
        </w:rPr>
        <w:t>Additional file 1</w:t>
      </w:r>
    </w:p>
    <w:p w:rsidR="00D574A8" w:rsidRDefault="000956B2">
      <w:pPr>
        <w:pStyle w:val="Naslov1"/>
      </w:pPr>
      <w:r>
        <w:rPr>
          <w:rFonts w:ascii="Arial" w:hAnsi="Arial"/>
          <w:sz w:val="19"/>
        </w:rPr>
        <w:t>Detailed comparison of key IPCAF findings in the two Slovenian tertiary care hospitals</w:t>
      </w:r>
    </w:p>
    <w:p w:rsidR="00D574A8" w:rsidRDefault="000956B2">
      <w:r>
        <w:t xml:space="preserve">This supplementary table provides the detailed institutional comparison summarised in the main manuscript. Hospitals are anonymised as Hospital 1 and </w:t>
      </w:r>
      <w:r>
        <w:t>Hospital 2.</w:t>
      </w:r>
    </w:p>
    <w:tbl>
      <w:tblPr>
        <w:tblStyle w:val="Tabela-mrea"/>
        <w:tblW w:w="0" w:type="auto"/>
        <w:tblLook w:val="04A0"/>
      </w:tblPr>
      <w:tblGrid>
        <w:gridCol w:w="1773"/>
        <w:gridCol w:w="2525"/>
        <w:gridCol w:w="2520"/>
        <w:gridCol w:w="3190"/>
      </w:tblGrid>
      <w:tr w:rsidR="00D574A8">
        <w:trPr>
          <w:tblHeader/>
        </w:trPr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Domain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Hospital 1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Hospital 2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Interpretation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IPC programme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More favourable staffing; protected time for IPC; no dedicated budget reported.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Lower staffing; protected time and dedicated funding reported.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Staffing standards and funding should be p</w:t>
            </w:r>
            <w:r>
              <w:t>lanned together.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IPC guidelines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Main gaps concerned ventilator-associated and other healthcare-associated pneumonias.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Gaps across several guideline areas; antimicrobial stewardship guidance available.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 xml:space="preserve">Harmonised national guidelines and implementation </w:t>
            </w:r>
            <w:r>
              <w:t>tools are needed.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Education and training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Training in some specialties and for patients/families; gaps for management and administrative staff.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Training for management and administrative staff; gaps in specialty training and patient/family education.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Educa</w:t>
            </w:r>
            <w:r>
              <w:t>tion should cover all relevant professional and non-professional groups.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HAI surveillance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No adequate IT support; data validation in place; feedback only partially implemented.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No adequate IT support; gaps in data validation and feedback.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Priorities are d</w:t>
            </w:r>
            <w:r>
              <w:t>igital surveillance, data validation and regular feedback.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Multimodal strategies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Multidisciplinary implementation, links with quality programmes and care bundles in place.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Gaps in multidisciplinary work, integration with quality programmes and care bundle</w:t>
            </w:r>
            <w:r>
              <w:t>s.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Hospital 1 can share good practice; Hospital 2 needs a structured implementation plan.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Monitoring, audit and feedback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Trained auditors and a structured programme; HHSAF not used routinely.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 xml:space="preserve">Gaps in trained auditors, audit planning, safety-culture </w:t>
            </w:r>
            <w:r>
              <w:t>assessment and HHSAF use.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Standardised audit programmes and regular safety-culture assessment are needed.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Workload, staffing and bed occupancy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 xml:space="preserve">Gaps in workload assessment, staffing ratios and shortage-response mechanisms; departmental capacity monitoring </w:t>
            </w:r>
            <w:r>
              <w:t>in place.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Similar staffing gaps; no documented system for monitoring excess bed occupancy.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Safe staffing and effective capacity management should be national priorities.</w:t>
            </w:r>
          </w:p>
        </w:tc>
      </w:tr>
      <w:tr w:rsidR="00D574A8">
        <w:tc>
          <w:tcPr>
            <w:tcW w:w="1800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rPr>
                <w:b/>
              </w:rPr>
              <w:t>Built environment, materials and equipment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Reliable wastewater treatment reported.</w:t>
            </w:r>
          </w:p>
        </w:tc>
        <w:tc>
          <w:tcPr>
            <w:tcW w:w="259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Re</w:t>
            </w:r>
            <w:r>
              <w:t>liable wastewater treatment reported.</w:t>
            </w:r>
          </w:p>
        </w:tc>
        <w:tc>
          <w:tcPr>
            <w:tcW w:w="3312" w:type="dxa"/>
            <w:vAlign w:val="center"/>
          </w:tcPr>
          <w:p w:rsidR="00D574A8" w:rsidRDefault="000956B2">
            <w:pPr>
              <w:spacing w:after="40" w:line="276" w:lineRule="auto"/>
            </w:pPr>
            <w:r>
              <w:t>The main challenges are organisational and implementation-related rather than infrastructural.</w:t>
            </w:r>
          </w:p>
        </w:tc>
      </w:tr>
    </w:tbl>
    <w:p w:rsidR="000956B2" w:rsidRDefault="000956B2"/>
    <w:sectPr w:rsidR="000956B2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956B2"/>
    <w:rsid w:val="0015074B"/>
    <w:rsid w:val="0029639D"/>
    <w:rsid w:val="00326F90"/>
    <w:rsid w:val="003E3750"/>
    <w:rsid w:val="00AA1D8D"/>
    <w:rsid w:val="00B47730"/>
    <w:rsid w:val="00CB0664"/>
    <w:rsid w:val="00D574A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693F"/>
    <w:pPr>
      <w:spacing w:after="100" w:line="259" w:lineRule="auto"/>
    </w:pPr>
    <w:rPr>
      <w:rFonts w:ascii="Arial" w:hAnsi="Arial"/>
      <w:sz w:val="19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spacing w:before="2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-mrea">
    <w:name w:val="Table Grid"/>
    <w:basedOn w:val="Navadnatabel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51C3DA-3E50-4857-8BFD-9D196664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iregrm1</cp:lastModifiedBy>
  <cp:revision>2</cp:revision>
  <dcterms:created xsi:type="dcterms:W3CDTF">2026-08-26T17:59:00Z</dcterms:created>
  <dcterms:modified xsi:type="dcterms:W3CDTF">2026-08-26T17:59:00Z</dcterms:modified>
</cp:coreProperties>
</file>