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8E" w:rsidRPr="000D10F8" w:rsidRDefault="00470D8E" w:rsidP="00470D8E">
      <w:pPr>
        <w:rPr>
          <w:rFonts w:ascii="Times New Roman" w:hAnsi="Times New Roman" w:cs="Times New Roman"/>
          <w:b/>
          <w:sz w:val="24"/>
          <w:szCs w:val="24"/>
        </w:rPr>
      </w:pPr>
      <w:r w:rsidRPr="000D10F8"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470D8E" w:rsidRPr="000D10F8" w:rsidRDefault="00470D8E" w:rsidP="00470D8E">
      <w:pPr>
        <w:rPr>
          <w:rFonts w:ascii="Times New Roman" w:hAnsi="Times New Roman" w:cs="Times New Roman"/>
          <w:sz w:val="24"/>
          <w:szCs w:val="24"/>
        </w:rPr>
      </w:pPr>
      <w:r w:rsidRPr="000D10F8">
        <w:rPr>
          <w:rFonts w:ascii="Times New Roman" w:hAnsi="Times New Roman" w:cs="Times New Roman"/>
          <w:b/>
          <w:sz w:val="24"/>
          <w:szCs w:val="24"/>
        </w:rPr>
        <w:t xml:space="preserve">Table A1. </w:t>
      </w:r>
      <w:r w:rsidRPr="000D10F8">
        <w:rPr>
          <w:rFonts w:ascii="Times New Roman" w:hAnsi="Times New Roman" w:cs="Times New Roman"/>
          <w:sz w:val="24"/>
          <w:szCs w:val="24"/>
        </w:rPr>
        <w:t>Community composition of different stages of succession investigated in the present study</w:t>
      </w:r>
    </w:p>
    <w:tbl>
      <w:tblPr>
        <w:tblW w:w="15247" w:type="dxa"/>
        <w:jc w:val="center"/>
        <w:tblLook w:val="04A0" w:firstRow="1" w:lastRow="0" w:firstColumn="1" w:lastColumn="0" w:noHBand="0" w:noVBand="1"/>
      </w:tblPr>
      <w:tblGrid>
        <w:gridCol w:w="2161"/>
        <w:gridCol w:w="476"/>
        <w:gridCol w:w="476"/>
        <w:gridCol w:w="476"/>
        <w:gridCol w:w="476"/>
        <w:gridCol w:w="476"/>
        <w:gridCol w:w="476"/>
        <w:gridCol w:w="511"/>
        <w:gridCol w:w="511"/>
        <w:gridCol w:w="511"/>
        <w:gridCol w:w="552"/>
        <w:gridCol w:w="476"/>
        <w:gridCol w:w="566"/>
        <w:gridCol w:w="565"/>
        <w:gridCol w:w="565"/>
        <w:gridCol w:w="572"/>
        <w:gridCol w:w="476"/>
        <w:gridCol w:w="566"/>
        <w:gridCol w:w="565"/>
        <w:gridCol w:w="565"/>
        <w:gridCol w:w="515"/>
        <w:gridCol w:w="503"/>
        <w:gridCol w:w="586"/>
        <w:gridCol w:w="555"/>
        <w:gridCol w:w="555"/>
        <w:gridCol w:w="515"/>
      </w:tblGrid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D1A6D" wp14:editId="56ABA2DC">
                      <wp:simplePos x="0" y="0"/>
                      <wp:positionH relativeFrom="column">
                        <wp:posOffset>4739005</wp:posOffset>
                      </wp:positionH>
                      <wp:positionV relativeFrom="paragraph">
                        <wp:posOffset>55563</wp:posOffset>
                      </wp:positionV>
                      <wp:extent cx="1359694" cy="4762"/>
                      <wp:effectExtent l="0" t="76200" r="12065" b="9080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9694" cy="476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AC6A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73.15pt;margin-top:4.4pt;width:107.05pt;height: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no8gEAAMUDAAAOAAAAZHJzL2Uyb0RvYy54bWysU8tu2zAQvBfoPxC8N7KdxE0Ey0FhN70U&#10;rYGkvW8oSiLAF3ZZy/77LinVSNtbUR0IkqsZzeyONg8nZ8VRI5ngG7m8WkihvQqt8X0jvz0/vruT&#10;ghL4FmzwupFnTfJh+/bNZoy1XoUh2FajYBJP9RgbOaQU66oiNWgHdBWi9lzsAjpIfMS+ahFGZne2&#10;Wi0W62oM2EYMShPx7X4qym3h7zqt0teuI52EbSRrS2XFsr7ktdpuoO4R4mDULAP+QYUD4/mjF6o9&#10;JBA/0PxF5YzCQKFLVyq4KnSdUbp4YDfLxR9ungaIunjh5lC8tIn+H636cjygMC3PTgoPjkf0lBBM&#10;PyTxATGMYhe85zYGFMvcrTFSzaCdP+B8onjAbP3UoROdNfF7Jss3bE+cSq/Pl17rUxKKL5fXt/fr&#10;+xspFNdu3q9XmbyaWDI2IqVPOjiRN42kWdRFzfQFOH6mNAF/ATLYh0djLd9Dbb0YG7m+vuXpK+CE&#10;dRYSb11kz+R7KcD2HF2VsGimYE2b0RlMZ9pZFEfg9HDo2jA+s34pLFDiApsqzyz9N2iWswcaJnAp&#10;5degdiZx4q1xjby7oKFOYOxH34p0jjyDhAZ8b/XMbH1G6pLn2XCew9T5vHsJ7bkMpMonzkrp5Zzr&#10;HMbXZ96//vu2PwEAAP//AwBQSwMEFAAGAAgAAAAhAOQCYGPbAAAABwEAAA8AAABkcnMvZG93bnJl&#10;di54bWxMj8FOwzAQRO9I/IO1SNyoXWiSNsSpEKgfQIuAoxsvSZR4HdluG/6e5QS3Wc1o5m21nd0o&#10;zhhi70nDcqFAIDXe9tRqeDvs7tYgYjJkzegJNXxjhG19fVWZ0voLveJ5n1rBJRRLo6FLaSqljE2H&#10;zsSFn5DY+/LBmcRnaKUN5sLlbpT3SuXSmZ54oTMTPnfYDPuT07Brh2LZZ83mJaghvn98ZsWAk9a3&#10;N/PTI4iEc/oLwy8+o0PNTEd/IhvFqKFY5Q8c1bDmD9jf5GoF4sgiA1lX8j9//QMAAP//AwBQSwEC&#10;LQAUAAYACAAAACEAtoM4kv4AAADhAQAAEwAAAAAAAAAAAAAAAAAAAAAAW0NvbnRlbnRfVHlwZXNd&#10;LnhtbFBLAQItABQABgAIAAAAIQA4/SH/1gAAAJQBAAALAAAAAAAAAAAAAAAAAC8BAABfcmVscy8u&#10;cmVsc1BLAQItABQABgAIAAAAIQD1LJno8gEAAMUDAAAOAAAAAAAAAAAAAAAAAC4CAABkcnMvZTJv&#10;RG9jLnhtbFBLAQItABQABgAIAAAAIQDkAmBj2wAAAAcBAAAPAAAAAAAAAAAAAAAAAEwEAABkcnMv&#10;ZG93bnJldi54bWxQSwUGAAAAAAQABADzAAAAV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D10F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93B4E8" wp14:editId="6A8FD9BB">
                      <wp:simplePos x="0" y="0"/>
                      <wp:positionH relativeFrom="column">
                        <wp:posOffset>2279174</wp:posOffset>
                      </wp:positionH>
                      <wp:positionV relativeFrom="paragraph">
                        <wp:posOffset>62706</wp:posOffset>
                      </wp:positionV>
                      <wp:extent cx="1157287" cy="0"/>
                      <wp:effectExtent l="0" t="0" r="2413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57287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C76272" id="Straight Connector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5pt,4.95pt" to="270.5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K42AEAAJIDAAAOAAAAZHJzL2Uyb0RvYy54bWysU8uO2zAMvBfoPwi6N84D+4ARZw8Jtj0U&#10;bYDdfgBXlmwBeoFU4+TvSynZIG1vRX0QRFEcckbj9dPRO3HQSDaGTi5mcyl0ULG3Yejkj9fnT49S&#10;UIbQg4tBd/KkST5tPn5YT6nVyzhG12sUDBKonVInx5xT2zSkRu2BZjHpwEkT0UPmEIemR5gY3btm&#10;OZ/fN1PEPmFUmohPd+ek3FR8Y7TK340hnYXrJM+W64p1fStrs1lDOyCk0arLGPAPU3iwgZteoXaQ&#10;QfxE+xeUtwojRZNnKvomGmOVrhyYzWL+B5uXEZKuXFgcSleZ6P/Bqm+HPQrbd3IlRQDPT/SSEeww&#10;ZrGNIbCAEcWq6DQlavn6NuzxElHaYyF9NOiFcTZ9YQtUGZiYOFaVT1eV9TELxYeLxd3D8vFBCvWe&#10;a84QBSoh5c86elE2nXQ2FAGghcNXytyWr75fKcchPlvn6iO6IKZO3q/u+JkVsJWMg8xbn5gchUEK&#10;cAN7VGWsiBSd7Ut1waETbR2KA7BN2F19nF55XCkcUOYEc6hfkYEn+K20jLMDGs/FNXV2lbeZre2s&#10;7+TjbbULpaOu5ryQKtKexSy7t9ifqsZNifjha9OLSYuzbmPe3/5Km18AAAD//wMAUEsDBBQABgAI&#10;AAAAIQAfBqEd3QAAAAcBAAAPAAAAZHJzL2Rvd25yZXYueG1sTI7BTsMwEETvSPyDtUjcqBOgqA1x&#10;KgRCvYEa2ore3HhJIux1FDttytezcIHTaDSjmZcvRmfFAfvQelKQThIQSJU3LdUK1m/PVzMQIWoy&#10;2npCBScMsCjOz3KdGX+kFR7KWAseoZBpBU2MXSZlqBp0Okx8h8TZh++djmz7WppeH3ncWXmdJHfS&#10;6Zb4odEdPjZYfZaDU7B7aZZLvRs24+v2lH69S1u2TxulLi/Gh3sQEcf4V4YffEaHgpn2fiAThFVw&#10;M53NuapgzsL59DZNQex/vSxy+Z+/+AYAAP//AwBQSwECLQAUAAYACAAAACEAtoM4kv4AAADhAQAA&#10;EwAAAAAAAAAAAAAAAAAAAAAAW0NvbnRlbnRfVHlwZXNdLnhtbFBLAQItABQABgAIAAAAIQA4/SH/&#10;1gAAAJQBAAALAAAAAAAAAAAAAAAAAC8BAABfcmVscy8ucmVsc1BLAQItABQABgAIAAAAIQARHCK4&#10;2AEAAJIDAAAOAAAAAAAAAAAAAAAAAC4CAABkcnMvZTJvRG9jLnhtbFBLAQItABQABgAIAAAAIQAf&#10;BqEd3QAAAAcBAAAPAAAAAAAAAAAAAAAAADIEAABkcnMvZG93bnJldi54bWxQSwUGAAAAAAQABADz&#10;AAAAP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0D10F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A0D6A4" wp14:editId="54572725">
                      <wp:simplePos x="0" y="0"/>
                      <wp:positionH relativeFrom="column">
                        <wp:posOffset>3479800</wp:posOffset>
                      </wp:positionH>
                      <wp:positionV relativeFrom="paragraph">
                        <wp:posOffset>66040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3EE78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pt,5.2pt" to="27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HrwwEAAG4DAAAOAAAAZHJzL2Uyb0RvYy54bWysU01v2zAMvQ/YfxB0b5ymSNEZcQo0QXcZ&#10;tgBdfwAjy7YAfYHU4uTfj5LdrNtuw3JQSIp61Ht63jyenRUnjWSCb+TtYimF9iq0xveNfP3+fPMg&#10;BSXwLdjgdSMvmuTj9uOHzRhrvQpDsK1GwSCe6jE2ckgp1lVFatAOaBGi9rzZBXSQOMW+ahFGRne2&#10;Wi2X99UYsI0YlCbi6n7alNuC33VapW9dRzoJ20i+WyorlvWY12q7gbpHiINR8zXgH27hwHgeeoXa&#10;QwLxA81fUM4oDBS6tFDBVaHrjNKFA7O5Xf7B5mWAqAsXFofiVSb6f7Dq6+mAwrSNXEnhwfETvSQE&#10;0w9J7IL3LGBAsco6jZFqbt/5A84ZxQNm0ucOXf5nOuJctL1ctdXnJNRUVG/V6teRiJQ+6+BEDhpp&#10;jc+EoYbTF0o8hlvfWnLZh2djbXk068XYyPu7NT+rArZOZyFx6CKTId9LAbZnT6qEBZGCNW0+nXEI&#10;++POojgB+2L99Olpv84UedpvbXn0HmiY+srW5BhnEtvWGtfIh2X+zaetz+i6GG8mkGWbhMrRMbSX&#10;ol+VM37UMnQ2YHbN+5zj95/J9icAAAD//wMAUEsDBBQABgAIAAAAIQBLTwkK2wAAAAkBAAAPAAAA&#10;ZHJzL2Rvd25yZXYueG1sTI9BSwMxEIXvgv8hjODNJkorZbvZUgShghTaCuotu5nuLiaTJUnb9d87&#10;0oMe573Hm++Vy9E7ccKY+kAa7icKBFITbE+thrf9890cRMqGrHGBUMM3JlhW11elKWw40xZPu9wK&#10;LqFUGA1dzkMhZWo69CZNwoDE3iFEbzKfsZU2mjOXeycflHqU3vTEHzoz4FOHzdfu6DXUmxg/Zp/v&#10;g1u9btVmTOsQX9Za396MqwWIjGP+C8MvPqNDxUx1OJJNwmmYTee8JbOhpiA4cBHqiyCrUv5fUP0A&#10;AAD//wMAUEsBAi0AFAAGAAgAAAAhALaDOJL+AAAA4QEAABMAAAAAAAAAAAAAAAAAAAAAAFtDb250&#10;ZW50X1R5cGVzXS54bWxQSwECLQAUAAYACAAAACEAOP0h/9YAAACUAQAACwAAAAAAAAAAAAAAAAAv&#10;AQAAX3JlbHMvLnJlbHNQSwECLQAUAAYACAAAACEAoVjx68MBAABuAwAADgAAAAAAAAAAAAAAAAAu&#10;AgAAZHJzL2Uyb0RvYy54bWxQSwECLQAUAAYACAAAACEAS08JCtsAAAAJAQAADwAAAAAAAAAAAAAA&#10;AAAdBAAAZHJzL2Rvd25yZXYueG1sUEsFBgAAAAAEAAQA8wAAACU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D10F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SECONDARY SUCCESSION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Haypastures (HP)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Successional grasslands (SG)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Cornus sanguinea </w:t>
            </w: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scrubs (CS)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Populus tremula </w:t>
            </w: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forest (PT)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Oak-hornbeam forest (OH)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Phytosociological scale*: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Barkman (1964)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Barkman (1964)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Braun-Blanquet (1964)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Braun-Blanquet (1964)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Braun-Blanquet (1964)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Relevé number: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Relevé surface (m</w:t>
            </w: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2</w:t>
            </w: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Height above sea level (m):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246 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197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Exposition: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NW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NW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Inclination (°):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Species number: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2843E0"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</w:t>
            </w:r>
            <w:r w:rsidR="00470D8E"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2843E0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2843E0"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Tree layer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Carpinus betulus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Quercus robur</w:t>
            </w:r>
            <w:r w:rsidR="003F37C4"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Quercus petraea</w:t>
            </w:r>
            <w:r w:rsidR="003F37C4"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Populus tremula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Betula pendula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Prunus avium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Acer campestre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Fagus sylvatica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Salix caprea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Ulmus glabra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Castanea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Shrub layer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Cornus sanguinea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Prunus spinosa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Frangula alnus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Ligustrum vulgare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Euonymus europaeus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Crataegus monogyna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Castanea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Carpinus betulus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Prunus avium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Quercus robur</w:t>
            </w:r>
            <w:r w:rsidR="003F37C4"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Pyrus communis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Acer campestre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Acer pseudoplatanus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Corylus avellana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Betula pendula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Populus tremula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Ulmus glabra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Fagus sylvatica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Viburnum lantana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Rosa canina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Herb layer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Calamagrostis epigejos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Brachypodium pinnatum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Helictotrichon pubescens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Dactylis glomerata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Poa pratensis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Holcus lanatus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Luzula campestris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Anthoxanthum odoratum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Trisetum flavescens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lastRenderedPageBreak/>
              <w:t>Arrhenatherum elatius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Lolium perenne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Festuca 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Festuca cf. rupicola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Festuca pratensis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Festuca cf. heterophylla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Bromus hordaceus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Bromus ramosus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Briza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Cynosurus cristatus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Danthonia decumbens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Trifolium pratense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Trifolium dubium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Trifolium repens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Lotus corniculatus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Medicago lupulina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Medicago falcata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Vicia hirsuta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Vicia angustifolia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Leucanthemum vulgare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Centaurea jacea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Knautia arvensis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Achillea millefolium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Leontodon hispidus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Tragopogon pratensis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Taraxacum officinale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Erigeron annuus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Salvia pratensis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Ajuga reptans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Clinopodium vulgare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Stachys officinalis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Glechoma hederacea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Plantago lanceolata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Plantago 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Pimpinella saxifraga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Pimpinela major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Fragaria vesca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Sanguisorba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Filipendula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Cruciata glabra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Polygala comosa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Rhinanthus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Daucus carota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Pastinaca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Agrimonia eupatoria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Galium mollugo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Galium aparine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Galium verum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Euphorbia cyparissias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Euphorbia verrucosa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Thymus serpyllum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Carex pallescens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Carex hirta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Ranunculus acris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Ranunculus bulbosus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Convulvus arvensis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Calystegia sepium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Rumex acetosa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lastRenderedPageBreak/>
              <w:t>Rumex acetosella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Rumex obtusifolius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Rumex crispus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Potentilla erecta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Potentilla reptans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Thesium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Cruciata glabra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Sanguisorba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Anacamptis morio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Veronica chamaedrys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Veronica officinalis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Pillosela officinarum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Silene flos-cuculi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Silene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Cerastium glomeratum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Rosa canina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Rubus hirtus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Quercus robur</w:t>
            </w:r>
            <w:r w:rsidR="003F37C4"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Betula pendula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Carpinus betulus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Corylus avellana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Euonymus europaeus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Prunus spinosa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Cornus sanguinea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Crataegus monogyna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Ligustrum vulgare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Frangula alnus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Salix caprea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Vincetoxicum hirundinaria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Teucrium chamaedrys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Hypericum perforatum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Viola hirta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Campanula patula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Vitis vinifera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Laserpitium siler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Lysimachia vulgaris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Rubus plicatus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Solidago canadensis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Potentilla micrantha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Clematis vitalba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Urtica dioica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Brachypodium sylvaticum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Hedera helix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Carduus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Viola odorata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Acer campestre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Geum urbanum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Sambucus ebulus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Thymus pulegioides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Geranium robertianum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Oxalis corniculata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Prunella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Prunus avium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Ophioglossum vulgatum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Cornus 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Pteridium aquilinum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Populus tremula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Salvia glutinosa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lastRenderedPageBreak/>
              <w:t>Primula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Epimedium alpinum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Anemone hepatica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Asarum europaeum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Castanea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Sambucus nigra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Acer pseudoplatanus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Lamium orvala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Lamium purpurea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Lamium galeobdolon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Ulmus glabra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Fagus sylvatica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Viburnum opulus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Cysopteris fragilis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Crocus vernus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Aposeris foetida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Acer platanoides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Pulmonaria officinalis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Aegopodium podagraria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Sanicula europaea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Hieracium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Stellaria holostea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Luzula pilosa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Galeopsis laudanum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Cephalanthera rubra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Heracleum sphondylium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Berberis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Tamus communis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Colchicum autumnale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Carex sylvatica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Quercus petraea</w:t>
            </w:r>
            <w:r w:rsidR="003F37C4"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Crataegus laevigata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Juglans regia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Ornithogalum sphaerocarpum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  <w:tr w:rsidR="00470D8E" w:rsidRPr="000D10F8" w:rsidTr="009A37F2">
        <w:trPr>
          <w:trHeight w:val="20"/>
          <w:jc w:val="center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Melampyrum nemorosum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D8E" w:rsidRPr="000D10F8" w:rsidRDefault="00470D8E" w:rsidP="009A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</w:tr>
    </w:tbl>
    <w:p w:rsidR="009D1ED1" w:rsidRPr="000D10F8" w:rsidRDefault="00470D8E">
      <w:pPr>
        <w:rPr>
          <w:rFonts w:ascii="Times New Roman" w:hAnsi="Times New Roman" w:cs="Times New Roman"/>
          <w:sz w:val="20"/>
          <w:szCs w:val="20"/>
        </w:rPr>
      </w:pPr>
      <w:r w:rsidRPr="000D10F8">
        <w:rPr>
          <w:rFonts w:ascii="Times New Roman" w:hAnsi="Times New Roman" w:cs="Times New Roman"/>
          <w:sz w:val="20"/>
          <w:szCs w:val="20"/>
        </w:rPr>
        <w:t>* Phytosociological scale of Barkman (1964) (also known as extended Braun-Blanquet scale) records species cover in the following way: r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1–2 individuals cover</w:t>
      </w:r>
      <w:r w:rsidR="009131D5" w:rsidRPr="000D10F8">
        <w:rPr>
          <w:rFonts w:ascii="Times New Roman" w:hAnsi="Times New Roman" w:cs="Times New Roman"/>
          <w:sz w:val="20"/>
          <w:szCs w:val="20"/>
        </w:rPr>
        <w:t>ing</w:t>
      </w:r>
      <w:r w:rsidRPr="000D10F8">
        <w:rPr>
          <w:rFonts w:ascii="Times New Roman" w:hAnsi="Times New Roman" w:cs="Times New Roman"/>
          <w:sz w:val="20"/>
          <w:szCs w:val="20"/>
        </w:rPr>
        <w:t xml:space="preserve"> &lt;1%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soil </w:t>
      </w:r>
      <w:r w:rsidRPr="000D10F8">
        <w:rPr>
          <w:rFonts w:ascii="Times New Roman" w:hAnsi="Times New Roman" w:cs="Times New Roman"/>
          <w:sz w:val="20"/>
          <w:szCs w:val="20"/>
        </w:rPr>
        <w:t>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 +,</w:t>
      </w:r>
      <w:r w:rsidRPr="000D10F8">
        <w:rPr>
          <w:rFonts w:ascii="Times New Roman" w:hAnsi="Times New Roman" w:cs="Times New Roman"/>
          <w:sz w:val="20"/>
          <w:szCs w:val="20"/>
        </w:rPr>
        <w:t xml:space="preserve"> 2–5 individuals </w:t>
      </w:r>
      <w:r w:rsidR="009131D5" w:rsidRPr="000D10F8">
        <w:rPr>
          <w:rFonts w:ascii="Times New Roman" w:hAnsi="Times New Roman" w:cs="Times New Roman"/>
          <w:sz w:val="20"/>
          <w:szCs w:val="20"/>
        </w:rPr>
        <w:t>covering &lt;1% surface;</w:t>
      </w:r>
      <w:r w:rsidRPr="000D10F8">
        <w:rPr>
          <w:rFonts w:ascii="Times New Roman" w:hAnsi="Times New Roman" w:cs="Times New Roman"/>
          <w:sz w:val="20"/>
          <w:szCs w:val="20"/>
        </w:rPr>
        <w:t xml:space="preserve"> 1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6–50 individuals </w:t>
      </w:r>
      <w:r w:rsidR="009131D5" w:rsidRPr="000D10F8">
        <w:rPr>
          <w:rFonts w:ascii="Times New Roman" w:hAnsi="Times New Roman" w:cs="Times New Roman"/>
          <w:sz w:val="20"/>
          <w:szCs w:val="20"/>
        </w:rPr>
        <w:t>covering</w:t>
      </w:r>
      <w:r w:rsidRPr="000D10F8">
        <w:rPr>
          <w:rFonts w:ascii="Times New Roman" w:hAnsi="Times New Roman" w:cs="Times New Roman"/>
          <w:sz w:val="20"/>
          <w:szCs w:val="20"/>
        </w:rPr>
        <w:t xml:space="preserve"> &lt;5%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2m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&gt;50 individuals </w:t>
      </w:r>
      <w:r w:rsidR="009131D5" w:rsidRPr="000D10F8">
        <w:rPr>
          <w:rFonts w:ascii="Times New Roman" w:hAnsi="Times New Roman" w:cs="Times New Roman"/>
          <w:sz w:val="20"/>
          <w:szCs w:val="20"/>
        </w:rPr>
        <w:t>covering</w:t>
      </w:r>
      <w:r w:rsidRPr="000D10F8">
        <w:rPr>
          <w:rFonts w:ascii="Times New Roman" w:hAnsi="Times New Roman" w:cs="Times New Roman"/>
          <w:sz w:val="20"/>
          <w:szCs w:val="20"/>
        </w:rPr>
        <w:t xml:space="preserve"> &lt;5%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2a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covers </w:t>
      </w:r>
      <w:r w:rsidRPr="000D10F8">
        <w:rPr>
          <w:rFonts w:ascii="Times New Roman" w:hAnsi="Times New Roman" w:cs="Times New Roman"/>
          <w:sz w:val="20"/>
          <w:szCs w:val="20"/>
        </w:rPr>
        <w:t xml:space="preserve">5–15% surface, regardless of </w:t>
      </w:r>
      <w:r w:rsidR="009131D5" w:rsidRPr="000D10F8">
        <w:rPr>
          <w:rFonts w:ascii="Times New Roman" w:hAnsi="Times New Roman" w:cs="Times New Roman"/>
          <w:sz w:val="20"/>
          <w:szCs w:val="20"/>
        </w:rPr>
        <w:t>the</w:t>
      </w:r>
      <w:r w:rsidRPr="000D10F8">
        <w:rPr>
          <w:rFonts w:ascii="Times New Roman" w:hAnsi="Times New Roman" w:cs="Times New Roman"/>
          <w:sz w:val="20"/>
          <w:szCs w:val="20"/>
        </w:rPr>
        <w:t xml:space="preserve"> number of individuals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2b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covers </w:t>
      </w:r>
      <w:r w:rsidRPr="000D10F8">
        <w:rPr>
          <w:rFonts w:ascii="Times New Roman" w:hAnsi="Times New Roman" w:cs="Times New Roman"/>
          <w:sz w:val="20"/>
          <w:szCs w:val="20"/>
        </w:rPr>
        <w:t xml:space="preserve">15–25% surface, regardless of </w:t>
      </w:r>
      <w:r w:rsidR="009131D5" w:rsidRPr="000D10F8">
        <w:rPr>
          <w:rFonts w:ascii="Times New Roman" w:hAnsi="Times New Roman" w:cs="Times New Roman"/>
          <w:sz w:val="20"/>
          <w:szCs w:val="20"/>
        </w:rPr>
        <w:t>the</w:t>
      </w:r>
      <w:r w:rsidRPr="000D10F8">
        <w:rPr>
          <w:rFonts w:ascii="Times New Roman" w:hAnsi="Times New Roman" w:cs="Times New Roman"/>
          <w:sz w:val="20"/>
          <w:szCs w:val="20"/>
        </w:rPr>
        <w:t xml:space="preserve"> number of individuals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3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covers </w:t>
      </w:r>
      <w:r w:rsidRPr="000D10F8">
        <w:rPr>
          <w:rFonts w:ascii="Times New Roman" w:hAnsi="Times New Roman" w:cs="Times New Roman"/>
          <w:sz w:val="20"/>
          <w:szCs w:val="20"/>
        </w:rPr>
        <w:t xml:space="preserve">25–50% surface, regardless of </w:t>
      </w:r>
      <w:r w:rsidR="009131D5" w:rsidRPr="000D10F8">
        <w:rPr>
          <w:rFonts w:ascii="Times New Roman" w:hAnsi="Times New Roman" w:cs="Times New Roman"/>
          <w:sz w:val="20"/>
          <w:szCs w:val="20"/>
        </w:rPr>
        <w:t>the</w:t>
      </w:r>
      <w:r w:rsidRPr="000D10F8">
        <w:rPr>
          <w:rFonts w:ascii="Times New Roman" w:hAnsi="Times New Roman" w:cs="Times New Roman"/>
          <w:sz w:val="20"/>
          <w:szCs w:val="20"/>
        </w:rPr>
        <w:t xml:space="preserve"> number of individuals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4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covers </w:t>
      </w:r>
      <w:r w:rsidRPr="000D10F8">
        <w:rPr>
          <w:rFonts w:ascii="Times New Roman" w:hAnsi="Times New Roman" w:cs="Times New Roman"/>
          <w:sz w:val="20"/>
          <w:szCs w:val="20"/>
        </w:rPr>
        <w:t xml:space="preserve">50–75% surface, regardless of </w:t>
      </w:r>
      <w:r w:rsidR="009131D5" w:rsidRPr="000D10F8">
        <w:rPr>
          <w:rFonts w:ascii="Times New Roman" w:hAnsi="Times New Roman" w:cs="Times New Roman"/>
          <w:sz w:val="20"/>
          <w:szCs w:val="20"/>
        </w:rPr>
        <w:t>the</w:t>
      </w:r>
      <w:r w:rsidRPr="000D10F8">
        <w:rPr>
          <w:rFonts w:ascii="Times New Roman" w:hAnsi="Times New Roman" w:cs="Times New Roman"/>
          <w:sz w:val="20"/>
          <w:szCs w:val="20"/>
        </w:rPr>
        <w:t xml:space="preserve"> number of individuals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5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covers </w:t>
      </w:r>
      <w:r w:rsidRPr="000D10F8">
        <w:rPr>
          <w:rFonts w:ascii="Times New Roman" w:hAnsi="Times New Roman" w:cs="Times New Roman"/>
          <w:sz w:val="20"/>
          <w:szCs w:val="20"/>
        </w:rPr>
        <w:t xml:space="preserve">75–100% surface, regardless of </w:t>
      </w:r>
      <w:r w:rsidR="009131D5" w:rsidRPr="000D10F8">
        <w:rPr>
          <w:rFonts w:ascii="Times New Roman" w:hAnsi="Times New Roman" w:cs="Times New Roman"/>
          <w:sz w:val="20"/>
          <w:szCs w:val="20"/>
        </w:rPr>
        <w:t>the</w:t>
      </w:r>
      <w:r w:rsidRPr="000D10F8">
        <w:rPr>
          <w:rFonts w:ascii="Times New Roman" w:hAnsi="Times New Roman" w:cs="Times New Roman"/>
          <w:sz w:val="20"/>
          <w:szCs w:val="20"/>
        </w:rPr>
        <w:t xml:space="preserve"> number of individuals. Phytosociological scale of Braun-Blanquet (1964) records species cover in the following way:</w:t>
      </w:r>
      <w:r w:rsidR="00723A36" w:rsidRPr="000D10F8">
        <w:rPr>
          <w:rFonts w:ascii="Times New Roman" w:hAnsi="Times New Roman" w:cs="Times New Roman"/>
          <w:sz w:val="20"/>
          <w:szCs w:val="20"/>
        </w:rPr>
        <w:t xml:space="preserve"> r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="00723A36" w:rsidRPr="000D10F8">
        <w:rPr>
          <w:rFonts w:ascii="Times New Roman" w:hAnsi="Times New Roman" w:cs="Times New Roman"/>
          <w:sz w:val="20"/>
          <w:szCs w:val="20"/>
        </w:rPr>
        <w:t xml:space="preserve"> just one individual of the species is present,</w:t>
      </w:r>
      <w:r w:rsidRPr="000D10F8">
        <w:rPr>
          <w:rFonts w:ascii="Times New Roman" w:hAnsi="Times New Roman" w:cs="Times New Roman"/>
          <w:sz w:val="20"/>
          <w:szCs w:val="20"/>
        </w:rPr>
        <w:t xml:space="preserve"> +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</w:t>
      </w:r>
      <w:r w:rsidR="009131D5" w:rsidRPr="000D10F8">
        <w:rPr>
          <w:rFonts w:ascii="Times New Roman" w:hAnsi="Times New Roman" w:cs="Times New Roman"/>
          <w:sz w:val="20"/>
          <w:szCs w:val="20"/>
        </w:rPr>
        <w:t xml:space="preserve">covers </w:t>
      </w:r>
      <w:r w:rsidRPr="000D10F8">
        <w:rPr>
          <w:rFonts w:ascii="Times New Roman" w:hAnsi="Times New Roman" w:cs="Times New Roman"/>
          <w:sz w:val="20"/>
          <w:szCs w:val="20"/>
        </w:rPr>
        <w:t>&lt;1% surface, 1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covers 1–5%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2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covers 5–25%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3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covers 25–50%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4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covers 50–75%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;</w:t>
      </w:r>
      <w:r w:rsidRPr="000D10F8">
        <w:rPr>
          <w:rFonts w:ascii="Times New Roman" w:hAnsi="Times New Roman" w:cs="Times New Roman"/>
          <w:sz w:val="20"/>
          <w:szCs w:val="20"/>
        </w:rPr>
        <w:t xml:space="preserve"> 5</w:t>
      </w:r>
      <w:r w:rsidR="009131D5" w:rsidRPr="000D10F8">
        <w:rPr>
          <w:rFonts w:ascii="Times New Roman" w:hAnsi="Times New Roman" w:cs="Times New Roman"/>
          <w:sz w:val="20"/>
          <w:szCs w:val="20"/>
        </w:rPr>
        <w:t>,</w:t>
      </w:r>
      <w:r w:rsidRPr="000D10F8">
        <w:rPr>
          <w:rFonts w:ascii="Times New Roman" w:hAnsi="Times New Roman" w:cs="Times New Roman"/>
          <w:sz w:val="20"/>
          <w:szCs w:val="20"/>
        </w:rPr>
        <w:t xml:space="preserve"> species covers 75–100% surface</w:t>
      </w:r>
      <w:r w:rsidR="009131D5" w:rsidRPr="000D10F8">
        <w:rPr>
          <w:rFonts w:ascii="Times New Roman" w:hAnsi="Times New Roman" w:cs="Times New Roman"/>
          <w:sz w:val="20"/>
          <w:szCs w:val="20"/>
        </w:rPr>
        <w:t>.</w:t>
      </w:r>
    </w:p>
    <w:p w:rsidR="003F37C4" w:rsidRPr="000D10F8" w:rsidRDefault="003F37C4">
      <w:pPr>
        <w:rPr>
          <w:rFonts w:ascii="Times New Roman" w:hAnsi="Times New Roman" w:cs="Times New Roman"/>
          <w:i/>
          <w:sz w:val="20"/>
          <w:szCs w:val="20"/>
        </w:rPr>
      </w:pPr>
      <w:r w:rsidRPr="000D10F8">
        <w:rPr>
          <w:rFonts w:ascii="Times New Roman" w:hAnsi="Times New Roman" w:cs="Times New Roman"/>
          <w:sz w:val="20"/>
          <w:szCs w:val="20"/>
        </w:rPr>
        <w:t>** Fo</w:t>
      </w:r>
      <w:r w:rsidR="009131D5" w:rsidRPr="000D10F8">
        <w:rPr>
          <w:rFonts w:ascii="Times New Roman" w:hAnsi="Times New Roman" w:cs="Times New Roman"/>
          <w:sz w:val="20"/>
          <w:szCs w:val="20"/>
        </w:rPr>
        <w:t>r the purposes of this</w:t>
      </w:r>
      <w:r w:rsidRPr="000D10F8">
        <w:rPr>
          <w:rFonts w:ascii="Times New Roman" w:hAnsi="Times New Roman" w:cs="Times New Roman"/>
          <w:sz w:val="20"/>
          <w:szCs w:val="20"/>
        </w:rPr>
        <w:t xml:space="preserve"> phytosociological survey, we </w:t>
      </w:r>
      <w:r w:rsidR="009131D5" w:rsidRPr="000D10F8">
        <w:rPr>
          <w:rFonts w:ascii="Times New Roman" w:hAnsi="Times New Roman" w:cs="Times New Roman"/>
          <w:sz w:val="20"/>
          <w:szCs w:val="20"/>
        </w:rPr>
        <w:t>determined</w:t>
      </w:r>
      <w:r w:rsidRPr="000D10F8">
        <w:rPr>
          <w:rFonts w:ascii="Times New Roman" w:hAnsi="Times New Roman" w:cs="Times New Roman"/>
          <w:sz w:val="20"/>
          <w:szCs w:val="20"/>
        </w:rPr>
        <w:t xml:space="preserve"> the two oak species as </w:t>
      </w:r>
      <w:r w:rsidRPr="000D10F8">
        <w:rPr>
          <w:rFonts w:ascii="Times New Roman" w:hAnsi="Times New Roman" w:cs="Times New Roman"/>
          <w:i/>
          <w:sz w:val="20"/>
          <w:szCs w:val="20"/>
        </w:rPr>
        <w:t xml:space="preserve">Q. robur </w:t>
      </w:r>
      <w:r w:rsidRPr="000D10F8">
        <w:rPr>
          <w:rFonts w:ascii="Times New Roman" w:hAnsi="Times New Roman" w:cs="Times New Roman"/>
          <w:sz w:val="20"/>
          <w:szCs w:val="20"/>
        </w:rPr>
        <w:t xml:space="preserve">and </w:t>
      </w:r>
      <w:r w:rsidRPr="000D10F8">
        <w:rPr>
          <w:rFonts w:ascii="Times New Roman" w:hAnsi="Times New Roman" w:cs="Times New Roman"/>
          <w:i/>
          <w:sz w:val="20"/>
          <w:szCs w:val="20"/>
        </w:rPr>
        <w:t>Q. petraea</w:t>
      </w:r>
      <w:r w:rsidRPr="000D10F8">
        <w:rPr>
          <w:rFonts w:ascii="Times New Roman" w:hAnsi="Times New Roman" w:cs="Times New Roman"/>
          <w:sz w:val="20"/>
          <w:szCs w:val="20"/>
        </w:rPr>
        <w:t xml:space="preserve"> based on their </w:t>
      </w:r>
      <w:r w:rsidR="008D58F0" w:rsidRPr="000D10F8">
        <w:rPr>
          <w:rFonts w:ascii="Times New Roman" w:hAnsi="Times New Roman" w:cs="Times New Roman"/>
          <w:sz w:val="20"/>
          <w:szCs w:val="20"/>
        </w:rPr>
        <w:t xml:space="preserve">distinct </w:t>
      </w:r>
      <w:r w:rsidRPr="000D10F8">
        <w:rPr>
          <w:rFonts w:ascii="Times New Roman" w:hAnsi="Times New Roman" w:cs="Times New Roman"/>
          <w:sz w:val="20"/>
          <w:szCs w:val="20"/>
        </w:rPr>
        <w:t xml:space="preserve">morphological traits. However, as the study site is located in the zone where </w:t>
      </w:r>
      <w:r w:rsidR="009131D5" w:rsidRPr="000D10F8">
        <w:rPr>
          <w:rFonts w:ascii="Times New Roman" w:hAnsi="Times New Roman" w:cs="Times New Roman"/>
          <w:sz w:val="20"/>
          <w:szCs w:val="20"/>
        </w:rPr>
        <w:t>the ranges of these two species</w:t>
      </w:r>
      <w:r w:rsidR="00A339DD" w:rsidRPr="000D10F8">
        <w:rPr>
          <w:rFonts w:ascii="Times New Roman" w:hAnsi="Times New Roman" w:cs="Times New Roman"/>
          <w:sz w:val="20"/>
          <w:szCs w:val="20"/>
        </w:rPr>
        <w:t xml:space="preserve"> seem to</w:t>
      </w:r>
      <w:r w:rsidRPr="000D10F8">
        <w:rPr>
          <w:rFonts w:ascii="Times New Roman" w:hAnsi="Times New Roman" w:cs="Times New Roman"/>
          <w:sz w:val="20"/>
          <w:szCs w:val="20"/>
        </w:rPr>
        <w:t xml:space="preserve"> overlap</w:t>
      </w:r>
      <w:r w:rsidR="00F24F21" w:rsidRPr="000D10F8">
        <w:rPr>
          <w:rFonts w:ascii="Times New Roman" w:hAnsi="Times New Roman" w:cs="Times New Roman"/>
          <w:sz w:val="20"/>
          <w:szCs w:val="20"/>
        </w:rPr>
        <w:t xml:space="preserve"> (A.J.’s personal observation)</w:t>
      </w:r>
      <w:r w:rsidRPr="000D10F8">
        <w:rPr>
          <w:rFonts w:ascii="Times New Roman" w:hAnsi="Times New Roman" w:cs="Times New Roman"/>
          <w:sz w:val="20"/>
          <w:szCs w:val="20"/>
        </w:rPr>
        <w:t>, the</w:t>
      </w:r>
      <w:r w:rsidR="009131D5" w:rsidRPr="000D10F8">
        <w:rPr>
          <w:rFonts w:ascii="Times New Roman" w:hAnsi="Times New Roman" w:cs="Times New Roman"/>
          <w:sz w:val="20"/>
          <w:szCs w:val="20"/>
        </w:rPr>
        <w:t>y</w:t>
      </w:r>
      <w:r w:rsidRPr="000D10F8">
        <w:rPr>
          <w:rFonts w:ascii="Times New Roman" w:hAnsi="Times New Roman" w:cs="Times New Roman"/>
          <w:sz w:val="20"/>
          <w:szCs w:val="20"/>
        </w:rPr>
        <w:t xml:space="preserve"> actually quite resemble the</w:t>
      </w:r>
      <w:r w:rsidR="00A01C17" w:rsidRPr="000D10F8">
        <w:rPr>
          <w:rFonts w:ascii="Times New Roman" w:hAnsi="Times New Roman" w:cs="Times New Roman"/>
          <w:sz w:val="20"/>
          <w:szCs w:val="20"/>
        </w:rPr>
        <w:t xml:space="preserve"> F1</w:t>
      </w:r>
      <w:r w:rsidRPr="000D10F8">
        <w:rPr>
          <w:rFonts w:ascii="Times New Roman" w:hAnsi="Times New Roman" w:cs="Times New Roman"/>
          <w:sz w:val="20"/>
          <w:szCs w:val="20"/>
        </w:rPr>
        <w:t xml:space="preserve"> hybrids </w:t>
      </w:r>
      <w:r w:rsidRPr="000D10F8">
        <w:rPr>
          <w:rFonts w:ascii="Times New Roman" w:hAnsi="Times New Roman" w:cs="Times New Roman"/>
          <w:i/>
          <w:sz w:val="20"/>
          <w:szCs w:val="20"/>
        </w:rPr>
        <w:t xml:space="preserve">Q. petraea </w:t>
      </w:r>
      <w:r w:rsidRPr="000D10F8">
        <w:rPr>
          <w:rFonts w:ascii="Times New Roman" w:hAnsi="Times New Roman" w:cs="Times New Roman"/>
          <w:sz w:val="20"/>
          <w:szCs w:val="20"/>
        </w:rPr>
        <w:t xml:space="preserve">× </w:t>
      </w:r>
      <w:r w:rsidRPr="000D10F8">
        <w:rPr>
          <w:rFonts w:ascii="Times New Roman" w:hAnsi="Times New Roman" w:cs="Times New Roman"/>
          <w:i/>
          <w:sz w:val="20"/>
          <w:szCs w:val="20"/>
        </w:rPr>
        <w:t>robur</w:t>
      </w:r>
      <w:r w:rsidRPr="000D10F8">
        <w:rPr>
          <w:rFonts w:ascii="Times New Roman" w:hAnsi="Times New Roman" w:cs="Times New Roman"/>
          <w:sz w:val="20"/>
          <w:szCs w:val="20"/>
        </w:rPr>
        <w:t xml:space="preserve"> and their backcrosses towards </w:t>
      </w:r>
      <w:r w:rsidRPr="000D10F8">
        <w:rPr>
          <w:rFonts w:ascii="Times New Roman" w:hAnsi="Times New Roman" w:cs="Times New Roman"/>
          <w:i/>
          <w:sz w:val="20"/>
          <w:szCs w:val="20"/>
        </w:rPr>
        <w:t xml:space="preserve">Q. robur </w:t>
      </w:r>
      <w:r w:rsidRPr="000D10F8">
        <w:rPr>
          <w:rFonts w:ascii="Times New Roman" w:hAnsi="Times New Roman" w:cs="Times New Roman"/>
          <w:sz w:val="20"/>
          <w:szCs w:val="20"/>
        </w:rPr>
        <w:t xml:space="preserve">or </w:t>
      </w:r>
      <w:r w:rsidRPr="000D10F8">
        <w:rPr>
          <w:rFonts w:ascii="Times New Roman" w:hAnsi="Times New Roman" w:cs="Times New Roman"/>
          <w:i/>
          <w:sz w:val="20"/>
          <w:szCs w:val="20"/>
        </w:rPr>
        <w:t>Q. petraea</w:t>
      </w:r>
      <w:r w:rsidR="00F24F21" w:rsidRPr="000D10F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24F21" w:rsidRPr="000D10F8">
        <w:rPr>
          <w:rFonts w:ascii="Times New Roman" w:hAnsi="Times New Roman" w:cs="Times New Roman"/>
          <w:sz w:val="20"/>
          <w:szCs w:val="20"/>
        </w:rPr>
        <w:t>(see Olrik and Kjaer 2011)</w:t>
      </w:r>
      <w:r w:rsidRPr="000D10F8">
        <w:rPr>
          <w:rFonts w:ascii="Times New Roman" w:hAnsi="Times New Roman" w:cs="Times New Roman"/>
          <w:sz w:val="20"/>
          <w:szCs w:val="20"/>
        </w:rPr>
        <w:t xml:space="preserve">. </w:t>
      </w:r>
      <w:r w:rsidR="00945078" w:rsidRPr="000D10F8">
        <w:rPr>
          <w:rFonts w:ascii="Times New Roman" w:hAnsi="Times New Roman" w:cs="Times New Roman"/>
          <w:sz w:val="20"/>
          <w:szCs w:val="20"/>
        </w:rPr>
        <w:t xml:space="preserve">Therefore, for any phytosociological conclusions, it should be </w:t>
      </w:r>
      <w:r w:rsidR="009131D5" w:rsidRPr="000D10F8">
        <w:rPr>
          <w:rFonts w:ascii="Times New Roman" w:hAnsi="Times New Roman" w:cs="Times New Roman"/>
          <w:sz w:val="20"/>
          <w:szCs w:val="20"/>
        </w:rPr>
        <w:t>taken into account</w:t>
      </w:r>
      <w:r w:rsidR="00D521FB" w:rsidRPr="000D10F8">
        <w:rPr>
          <w:rFonts w:ascii="Times New Roman" w:hAnsi="Times New Roman" w:cs="Times New Roman"/>
          <w:sz w:val="20"/>
          <w:szCs w:val="20"/>
        </w:rPr>
        <w:t xml:space="preserve"> </w:t>
      </w:r>
      <w:r w:rsidR="008924EF" w:rsidRPr="000D10F8">
        <w:rPr>
          <w:rFonts w:ascii="Times New Roman" w:hAnsi="Times New Roman" w:cs="Times New Roman"/>
          <w:sz w:val="20"/>
          <w:szCs w:val="20"/>
        </w:rPr>
        <w:t>that large part</w:t>
      </w:r>
      <w:r w:rsidR="009131D5" w:rsidRPr="000D10F8">
        <w:rPr>
          <w:rFonts w:ascii="Times New Roman" w:hAnsi="Times New Roman" w:cs="Times New Roman"/>
          <w:sz w:val="20"/>
          <w:szCs w:val="20"/>
        </w:rPr>
        <w:t>s</w:t>
      </w:r>
      <w:r w:rsidR="00945078" w:rsidRPr="000D10F8">
        <w:rPr>
          <w:rFonts w:ascii="Times New Roman" w:hAnsi="Times New Roman" w:cs="Times New Roman"/>
          <w:sz w:val="20"/>
          <w:szCs w:val="20"/>
        </w:rPr>
        <w:t xml:space="preserve"> of the study </w:t>
      </w:r>
      <w:r w:rsidR="00EB4425" w:rsidRPr="000D10F8">
        <w:rPr>
          <w:rFonts w:ascii="Times New Roman" w:hAnsi="Times New Roman" w:cs="Times New Roman"/>
          <w:sz w:val="20"/>
          <w:szCs w:val="20"/>
        </w:rPr>
        <w:t>area</w:t>
      </w:r>
      <w:r w:rsidR="00945078" w:rsidRPr="000D10F8">
        <w:rPr>
          <w:rFonts w:ascii="Times New Roman" w:hAnsi="Times New Roman" w:cs="Times New Roman"/>
          <w:sz w:val="20"/>
          <w:szCs w:val="20"/>
        </w:rPr>
        <w:t xml:space="preserve"> might be hybridizing </w:t>
      </w:r>
      <w:r w:rsidR="009131D5" w:rsidRPr="000D10F8">
        <w:rPr>
          <w:rFonts w:ascii="Times New Roman" w:hAnsi="Times New Roman" w:cs="Times New Roman"/>
          <w:sz w:val="20"/>
          <w:szCs w:val="20"/>
        </w:rPr>
        <w:t>zones</w:t>
      </w:r>
      <w:r w:rsidR="00945078" w:rsidRPr="000D10F8">
        <w:rPr>
          <w:rFonts w:ascii="Times New Roman" w:hAnsi="Times New Roman" w:cs="Times New Roman"/>
          <w:sz w:val="20"/>
          <w:szCs w:val="20"/>
        </w:rPr>
        <w:t xml:space="preserve"> between the</w:t>
      </w:r>
      <w:r w:rsidR="009131D5" w:rsidRPr="000D10F8">
        <w:rPr>
          <w:rFonts w:ascii="Times New Roman" w:hAnsi="Times New Roman" w:cs="Times New Roman"/>
          <w:sz w:val="20"/>
          <w:szCs w:val="20"/>
        </w:rPr>
        <w:t>se</w:t>
      </w:r>
      <w:r w:rsidR="00945078" w:rsidRPr="000D10F8">
        <w:rPr>
          <w:rFonts w:ascii="Times New Roman" w:hAnsi="Times New Roman" w:cs="Times New Roman"/>
          <w:sz w:val="20"/>
          <w:szCs w:val="20"/>
        </w:rPr>
        <w:t xml:space="preserve"> two oak species. </w:t>
      </w:r>
    </w:p>
    <w:p w:rsidR="00A653AC" w:rsidRDefault="00A653AC">
      <w:pPr>
        <w:rPr>
          <w:rFonts w:ascii="Palatino Linotype" w:hAnsi="Palatino Linotype"/>
          <w:b/>
          <w:sz w:val="20"/>
          <w:szCs w:val="20"/>
        </w:rPr>
      </w:pPr>
    </w:p>
    <w:p w:rsidR="00A653AC" w:rsidRDefault="00A653AC">
      <w:pPr>
        <w:rPr>
          <w:rFonts w:ascii="Palatino Linotype" w:hAnsi="Palatino Linotype"/>
          <w:b/>
          <w:sz w:val="20"/>
          <w:szCs w:val="20"/>
        </w:rPr>
      </w:pPr>
    </w:p>
    <w:p w:rsidR="00A653AC" w:rsidRPr="000D10F8" w:rsidRDefault="0085577A">
      <w:pPr>
        <w:rPr>
          <w:rFonts w:ascii="Times New Roman" w:hAnsi="Times New Roman" w:cs="Times New Roman"/>
          <w:sz w:val="20"/>
          <w:szCs w:val="20"/>
        </w:rPr>
      </w:pPr>
      <w:r w:rsidRPr="000D10F8">
        <w:rPr>
          <w:rFonts w:ascii="Times New Roman" w:hAnsi="Times New Roman" w:cs="Times New Roman"/>
          <w:b/>
          <w:sz w:val="20"/>
          <w:szCs w:val="20"/>
        </w:rPr>
        <w:t xml:space="preserve">Table A2. </w:t>
      </w:r>
      <w:r w:rsidR="00A653AC" w:rsidRPr="000D10F8">
        <w:rPr>
          <w:rFonts w:ascii="Times New Roman" w:hAnsi="Times New Roman" w:cs="Times New Roman"/>
          <w:sz w:val="20"/>
          <w:szCs w:val="20"/>
        </w:rPr>
        <w:t>Results of soil chemical analyses</w:t>
      </w:r>
    </w:p>
    <w:tbl>
      <w:tblPr>
        <w:tblStyle w:val="TableGrid"/>
        <w:tblpPr w:leftFromText="180" w:rightFromText="180" w:vertAnchor="text" w:horzAnchor="margin" w:tblpXSpec="center" w:tblpY="47"/>
        <w:tblW w:w="14434" w:type="dxa"/>
        <w:tblLook w:val="04A0" w:firstRow="1" w:lastRow="0" w:firstColumn="1" w:lastColumn="0" w:noHBand="0" w:noVBand="1"/>
      </w:tblPr>
      <w:tblGrid>
        <w:gridCol w:w="1025"/>
        <w:gridCol w:w="1031"/>
        <w:gridCol w:w="1173"/>
        <w:gridCol w:w="1161"/>
        <w:gridCol w:w="875"/>
        <w:gridCol w:w="848"/>
        <w:gridCol w:w="1016"/>
        <w:gridCol w:w="950"/>
        <w:gridCol w:w="978"/>
        <w:gridCol w:w="969"/>
        <w:gridCol w:w="819"/>
        <w:gridCol w:w="978"/>
        <w:gridCol w:w="521"/>
        <w:gridCol w:w="521"/>
        <w:gridCol w:w="553"/>
        <w:gridCol w:w="1016"/>
      </w:tblGrid>
      <w:tr w:rsidR="00957D0E" w:rsidRPr="000D10F8" w:rsidTr="00957D0E">
        <w:trPr>
          <w:trHeight w:val="37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pH 1M KCl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A </w:t>
            </w: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mg 100 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A</w:t>
            </w: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 xml:space="preserve"> mg 100 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TN 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TS 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Mn mg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Ni mg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Cu mg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Zn mg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Fe 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SOC 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C:N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C:S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N:S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SOM g kg</w:t>
            </w:r>
            <w:r w:rsidRPr="000D10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</w:tr>
      <w:tr w:rsidR="00957D0E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Grassland 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1496.0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78.5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131.0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39.9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39.1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52.8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67.4</w:t>
            </w:r>
          </w:p>
        </w:tc>
      </w:tr>
      <w:tr w:rsidR="00957D0E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Grassland 2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715.0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61.0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35.0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101.5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38.0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55.2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65.6</w:t>
            </w:r>
          </w:p>
        </w:tc>
      </w:tr>
      <w:tr w:rsidR="00957D0E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Grassland 3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38.3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1173.5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30.5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94.5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35.3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34.1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52.0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58.8</w:t>
            </w:r>
          </w:p>
        </w:tc>
      </w:tr>
      <w:tr w:rsidR="00957D0E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Grassland 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1122.0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115.0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55.5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162.5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50.4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53.9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59.1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92.9</w:t>
            </w:r>
          </w:p>
        </w:tc>
      </w:tr>
      <w:tr w:rsidR="00957D0E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Grassland 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721.5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76.5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34.5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118.5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39.8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48.6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63.8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83.9</w:t>
            </w:r>
          </w:p>
        </w:tc>
      </w:tr>
      <w:tr w:rsidR="00957D0E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Grassland 6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1115.5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45.5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44.5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94.5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36.4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51.4</w:t>
            </w:r>
          </w:p>
        </w:tc>
        <w:tc>
          <w:tcPr>
            <w:tcW w:w="553" w:type="dxa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0" w:type="auto"/>
            <w:noWrap/>
            <w:hideMark/>
          </w:tcPr>
          <w:p w:rsidR="00957D0E" w:rsidRPr="000D10F8" w:rsidRDefault="00957D0E" w:rsidP="00957D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55.3</w:t>
            </w:r>
          </w:p>
        </w:tc>
      </w:tr>
      <w:tr w:rsidR="001D315C" w:rsidRPr="000D10F8" w:rsidTr="00197305">
        <w:trPr>
          <w:trHeight w:val="312"/>
        </w:trPr>
        <w:tc>
          <w:tcPr>
            <w:tcW w:w="0" w:type="auto"/>
            <w:noWrap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70.7</w:t>
            </w:r>
          </w:p>
        </w:tc>
      </w:tr>
      <w:tr w:rsidR="001D315C" w:rsidRPr="000D10F8" w:rsidTr="00197305">
        <w:trPr>
          <w:trHeight w:val="312"/>
        </w:trPr>
        <w:tc>
          <w:tcPr>
            <w:tcW w:w="0" w:type="auto"/>
            <w:noWrap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CV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</w:t>
            </w:r>
          </w:p>
        </w:tc>
      </w:tr>
      <w:tr w:rsidR="001D315C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Forest 1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982.0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75.5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38.0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116.5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59.6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51.3</w:t>
            </w:r>
          </w:p>
        </w:tc>
        <w:tc>
          <w:tcPr>
            <w:tcW w:w="553" w:type="dxa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102.7</w:t>
            </w:r>
          </w:p>
        </w:tc>
      </w:tr>
      <w:tr w:rsidR="001D315C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Forest 2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1038.5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78.5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43.0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128.5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40.9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41.4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62.0</w:t>
            </w:r>
          </w:p>
        </w:tc>
        <w:tc>
          <w:tcPr>
            <w:tcW w:w="553" w:type="dxa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71.3</w:t>
            </w:r>
          </w:p>
        </w:tc>
      </w:tr>
      <w:tr w:rsidR="001D315C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Forest 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36.8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1338.5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44.0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110.0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59.1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76.2</w:t>
            </w:r>
          </w:p>
        </w:tc>
        <w:tc>
          <w:tcPr>
            <w:tcW w:w="553" w:type="dxa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101.8</w:t>
            </w:r>
          </w:p>
        </w:tc>
      </w:tr>
      <w:tr w:rsidR="001D315C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Forest 4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730.0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72.0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38.0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106.5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37.0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54.7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73.0</w:t>
            </w:r>
          </w:p>
        </w:tc>
        <w:tc>
          <w:tcPr>
            <w:tcW w:w="553" w:type="dxa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94.3</w:t>
            </w:r>
          </w:p>
        </w:tc>
      </w:tr>
      <w:tr w:rsidR="001D315C" w:rsidRPr="000D10F8" w:rsidTr="00957D0E">
        <w:trPr>
          <w:trHeight w:val="312"/>
        </w:trPr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Forest 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836.5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51.0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96.0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54.0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17.4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74.3</w:t>
            </w:r>
          </w:p>
        </w:tc>
        <w:tc>
          <w:tcPr>
            <w:tcW w:w="553" w:type="dxa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93.1</w:t>
            </w:r>
          </w:p>
        </w:tc>
      </w:tr>
      <w:tr w:rsidR="001D315C" w:rsidRPr="000D10F8" w:rsidTr="00957D0E">
        <w:trPr>
          <w:trHeight w:val="324"/>
        </w:trPr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Forest 6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1120.5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31.0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99.0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75.3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89.0</w:t>
            </w:r>
          </w:p>
        </w:tc>
        <w:tc>
          <w:tcPr>
            <w:tcW w:w="553" w:type="dxa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0" w:type="auto"/>
            <w:noWrap/>
            <w:hideMark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129.9</w:t>
            </w:r>
          </w:p>
        </w:tc>
      </w:tr>
      <w:tr w:rsidR="001D315C" w:rsidRPr="000D10F8" w:rsidTr="006465A0">
        <w:trPr>
          <w:trHeight w:val="324"/>
        </w:trPr>
        <w:tc>
          <w:tcPr>
            <w:tcW w:w="0" w:type="auto"/>
            <w:noWrap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98.9</w:t>
            </w:r>
          </w:p>
        </w:tc>
      </w:tr>
      <w:tr w:rsidR="001D315C" w:rsidRPr="000D10F8" w:rsidTr="006465A0">
        <w:trPr>
          <w:trHeight w:val="324"/>
        </w:trPr>
        <w:tc>
          <w:tcPr>
            <w:tcW w:w="0" w:type="auto"/>
            <w:noWrap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sz w:val="16"/>
                <w:szCs w:val="16"/>
              </w:rPr>
              <w:t>CV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15C" w:rsidRPr="000D10F8" w:rsidRDefault="001D315C" w:rsidP="001D31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10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</w:tr>
    </w:tbl>
    <w:p w:rsidR="00223777" w:rsidRPr="000D10F8" w:rsidRDefault="009131D5" w:rsidP="00452CFE">
      <w:pPr>
        <w:rPr>
          <w:rFonts w:ascii="Times New Roman" w:hAnsi="Times New Roman" w:cs="Times New Roman"/>
          <w:sz w:val="20"/>
          <w:szCs w:val="20"/>
        </w:rPr>
      </w:pPr>
      <w:r w:rsidRPr="000D10F8">
        <w:rPr>
          <w:rFonts w:ascii="Times New Roman" w:hAnsi="Times New Roman" w:cs="Times New Roman"/>
          <w:sz w:val="20"/>
          <w:szCs w:val="20"/>
        </w:rPr>
        <w:t>Footnote</w:t>
      </w:r>
      <w:r w:rsidR="00452CFE" w:rsidRPr="000D10F8">
        <w:rPr>
          <w:rFonts w:ascii="Times New Roman" w:hAnsi="Times New Roman" w:cs="Times New Roman"/>
          <w:sz w:val="20"/>
          <w:szCs w:val="20"/>
        </w:rPr>
        <w:t xml:space="preserve">: </w:t>
      </w:r>
      <w:r w:rsidRPr="000D10F8">
        <w:rPr>
          <w:rFonts w:ascii="Times New Roman" w:hAnsi="Times New Roman" w:cs="Times New Roman"/>
          <w:sz w:val="20"/>
          <w:szCs w:val="20"/>
        </w:rPr>
        <w:t>g</w:t>
      </w:r>
      <w:r w:rsidR="00452CFE" w:rsidRPr="000D10F8">
        <w:rPr>
          <w:rFonts w:ascii="Times New Roman" w:hAnsi="Times New Roman" w:cs="Times New Roman"/>
          <w:sz w:val="20"/>
          <w:szCs w:val="20"/>
        </w:rPr>
        <w:t>rassland and forest samples sharing a number represent a single pair (i.e.</w:t>
      </w:r>
      <w:r w:rsidR="005A701E" w:rsidRPr="000D10F8">
        <w:rPr>
          <w:rFonts w:ascii="Times New Roman" w:hAnsi="Times New Roman" w:cs="Times New Roman"/>
          <w:sz w:val="20"/>
          <w:szCs w:val="20"/>
        </w:rPr>
        <w:t xml:space="preserve"> </w:t>
      </w:r>
      <w:r w:rsidR="00452CFE" w:rsidRPr="000D10F8">
        <w:rPr>
          <w:rFonts w:ascii="Times New Roman" w:hAnsi="Times New Roman" w:cs="Times New Roman"/>
          <w:sz w:val="20"/>
          <w:szCs w:val="20"/>
        </w:rPr>
        <w:t>block); pH 1M KCl – soil reaction, K</w:t>
      </w:r>
      <w:r w:rsidR="00452CFE" w:rsidRPr="000D10F8">
        <w:rPr>
          <w:rFonts w:ascii="Times New Roman" w:hAnsi="Times New Roman" w:cs="Times New Roman"/>
          <w:sz w:val="20"/>
          <w:szCs w:val="20"/>
          <w:vertAlign w:val="subscript"/>
        </w:rPr>
        <w:t xml:space="preserve">A </w:t>
      </w:r>
      <w:r w:rsidR="00452CFE" w:rsidRPr="000D10F8">
        <w:rPr>
          <w:rFonts w:ascii="Times New Roman" w:hAnsi="Times New Roman" w:cs="Times New Roman"/>
          <w:sz w:val="20"/>
          <w:szCs w:val="20"/>
        </w:rPr>
        <w:t>– plant available potassium, P</w:t>
      </w:r>
      <w:r w:rsidR="00452CFE" w:rsidRPr="000D10F8">
        <w:rPr>
          <w:rFonts w:ascii="Times New Roman" w:hAnsi="Times New Roman" w:cs="Times New Roman"/>
          <w:sz w:val="20"/>
          <w:szCs w:val="20"/>
          <w:vertAlign w:val="subscript"/>
        </w:rPr>
        <w:t>A</w:t>
      </w:r>
      <w:r w:rsidR="00452CFE" w:rsidRPr="000D10F8">
        <w:rPr>
          <w:rFonts w:ascii="Times New Roman" w:hAnsi="Times New Roman" w:cs="Times New Roman"/>
          <w:sz w:val="20"/>
          <w:szCs w:val="20"/>
        </w:rPr>
        <w:t xml:space="preserve"> – plant available phosphorus, TN – soil total nitrogen, TS – soil total sulfur, Ca – soil total calcium, Mn – soil total </w:t>
      </w:r>
      <w:r w:rsidR="00CC2231" w:rsidRPr="000D10F8">
        <w:rPr>
          <w:rFonts w:ascii="Times New Roman" w:hAnsi="Times New Roman" w:cs="Times New Roman"/>
          <w:sz w:val="20"/>
          <w:szCs w:val="20"/>
        </w:rPr>
        <w:t>manganese</w:t>
      </w:r>
      <w:r w:rsidR="00452CFE" w:rsidRPr="000D10F8">
        <w:rPr>
          <w:rFonts w:ascii="Times New Roman" w:hAnsi="Times New Roman" w:cs="Times New Roman"/>
          <w:sz w:val="20"/>
          <w:szCs w:val="20"/>
        </w:rPr>
        <w:t>, Ni – soil total nickel, Cu – soil total copper, Zn – soil total zinc, Fe – soil total iron, SOC – soil organic carbon, C:N – soil carbon to nitrogen ratio, C:S – soil carbon to sulfur ratio, N:S – soil nitrogen to sulfur ratio, SOM – soil organic matter</w:t>
      </w:r>
      <w:r w:rsidR="00A95940" w:rsidRPr="000D10F8">
        <w:rPr>
          <w:rFonts w:ascii="Times New Roman" w:hAnsi="Times New Roman" w:cs="Times New Roman"/>
          <w:sz w:val="20"/>
          <w:szCs w:val="20"/>
        </w:rPr>
        <w:t>, CV – coefficient of variation</w:t>
      </w:r>
    </w:p>
    <w:p w:rsidR="00223777" w:rsidRDefault="00223777" w:rsidP="00452CFE">
      <w:pPr>
        <w:rPr>
          <w:rFonts w:ascii="Palatino Linotype" w:hAnsi="Palatino Linotype"/>
          <w:sz w:val="20"/>
          <w:szCs w:val="20"/>
        </w:rPr>
      </w:pPr>
    </w:p>
    <w:p w:rsidR="00B412B8" w:rsidRDefault="00B412B8" w:rsidP="00452CFE">
      <w:pPr>
        <w:rPr>
          <w:rFonts w:ascii="Palatino Linotype" w:hAnsi="Palatino Linotype"/>
          <w:b/>
          <w:sz w:val="20"/>
          <w:szCs w:val="20"/>
        </w:rPr>
      </w:pPr>
    </w:p>
    <w:p w:rsidR="00B412B8" w:rsidRDefault="00B412B8" w:rsidP="00452CFE">
      <w:pPr>
        <w:rPr>
          <w:rFonts w:ascii="Palatino Linotype" w:hAnsi="Palatino Linotype"/>
          <w:b/>
          <w:sz w:val="20"/>
          <w:szCs w:val="20"/>
        </w:rPr>
      </w:pPr>
    </w:p>
    <w:p w:rsidR="000D10F8" w:rsidRDefault="000D10F8" w:rsidP="00452CFE">
      <w:pPr>
        <w:rPr>
          <w:rFonts w:ascii="Palatino Linotype" w:hAnsi="Palatino Linotype"/>
          <w:b/>
          <w:sz w:val="20"/>
          <w:szCs w:val="20"/>
        </w:rPr>
      </w:pPr>
    </w:p>
    <w:p w:rsidR="00472AB4" w:rsidRPr="000D10F8" w:rsidRDefault="00C61D5A" w:rsidP="00452C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bookmarkStart w:id="0" w:name="_GoBack"/>
      <w:bookmarkEnd w:id="0"/>
      <w:r w:rsidR="00223777" w:rsidRPr="000D10F8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7B26AE" w:rsidRPr="000D10F8">
        <w:rPr>
          <w:rFonts w:ascii="Times New Roman" w:hAnsi="Times New Roman" w:cs="Times New Roman"/>
          <w:sz w:val="20"/>
          <w:szCs w:val="20"/>
        </w:rPr>
        <w:t>Significant differences in species richness between different successional stages according to Tukey pairwise comparison test performed after one-way ANOVA</w:t>
      </w:r>
    </w:p>
    <w:tbl>
      <w:tblPr>
        <w:tblW w:w="57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472AB4" w:rsidRPr="000D10F8" w:rsidTr="00472AB4">
        <w:trPr>
          <w:trHeight w:val="312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HP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SG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CS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PT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OH</w:t>
            </w:r>
          </w:p>
        </w:tc>
      </w:tr>
      <w:tr w:rsidR="00472AB4" w:rsidRPr="000D10F8" w:rsidTr="00472AB4">
        <w:trPr>
          <w:trHeight w:val="31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HP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0.000</w:t>
            </w:r>
          </w:p>
        </w:tc>
      </w:tr>
      <w:tr w:rsidR="00472AB4" w:rsidRPr="000D10F8" w:rsidTr="00472AB4">
        <w:trPr>
          <w:trHeight w:val="31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SG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3.850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</w:tr>
      <w:tr w:rsidR="00472AB4" w:rsidRPr="000D10F8" w:rsidTr="00472AB4">
        <w:trPr>
          <w:trHeight w:val="31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6.650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2.800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0.970</w:t>
            </w:r>
          </w:p>
        </w:tc>
      </w:tr>
      <w:tr w:rsidR="00472AB4" w:rsidRPr="000D10F8" w:rsidTr="00472AB4">
        <w:trPr>
          <w:trHeight w:val="312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9.275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5.425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2.625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0.730</w:t>
            </w:r>
          </w:p>
        </w:tc>
      </w:tr>
      <w:tr w:rsidR="00472AB4" w:rsidRPr="000D10F8" w:rsidTr="00472AB4">
        <w:trPr>
          <w:trHeight w:val="312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OH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7.525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3.675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0.875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1.750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AB4" w:rsidRPr="000D10F8" w:rsidRDefault="00472AB4" w:rsidP="0047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0F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5419C6" w:rsidRDefault="009131D5" w:rsidP="00452CFE">
      <w:r>
        <w:rPr>
          <w:rFonts w:ascii="Palatino Linotype" w:hAnsi="Palatino Linotype"/>
          <w:sz w:val="20"/>
          <w:szCs w:val="20"/>
        </w:rPr>
        <w:t>Footnote</w:t>
      </w:r>
      <w:r w:rsidR="00FB3648">
        <w:rPr>
          <w:rFonts w:ascii="Palatino Linotype" w:hAnsi="Palatino Linotype"/>
          <w:sz w:val="20"/>
          <w:szCs w:val="20"/>
        </w:rPr>
        <w:t xml:space="preserve">: values in the upper diagonal part of the table represent the P-values, whereas values in the lower diagonal part of the table represent </w:t>
      </w:r>
      <w:r w:rsidR="002C1F38">
        <w:rPr>
          <w:rFonts w:ascii="Palatino Linotype" w:hAnsi="Palatino Linotype"/>
          <w:sz w:val="20"/>
          <w:szCs w:val="20"/>
        </w:rPr>
        <w:t xml:space="preserve">the </w:t>
      </w:r>
      <w:r w:rsidR="00FB3648">
        <w:rPr>
          <w:rFonts w:ascii="Palatino Linotype" w:hAnsi="Palatino Linotype"/>
          <w:sz w:val="20"/>
          <w:szCs w:val="20"/>
        </w:rPr>
        <w:t>Tukey Q values</w:t>
      </w:r>
      <w:r w:rsidR="00A75404">
        <w:rPr>
          <w:rFonts w:ascii="Palatino Linotype" w:hAnsi="Palatino Linotype"/>
          <w:sz w:val="20"/>
          <w:szCs w:val="20"/>
        </w:rPr>
        <w:t xml:space="preserve">; HP – haypastures, SG – successional grasslands, CS – </w:t>
      </w:r>
      <w:r w:rsidR="00A75404">
        <w:rPr>
          <w:rFonts w:ascii="Palatino Linotype" w:hAnsi="Palatino Linotype"/>
          <w:i/>
          <w:sz w:val="20"/>
          <w:szCs w:val="20"/>
        </w:rPr>
        <w:t xml:space="preserve">Cornus sanguinea </w:t>
      </w:r>
      <w:r w:rsidR="00A75404">
        <w:rPr>
          <w:rFonts w:ascii="Palatino Linotype" w:hAnsi="Palatino Linotype"/>
          <w:sz w:val="20"/>
          <w:szCs w:val="20"/>
        </w:rPr>
        <w:t xml:space="preserve">scrub stage, PT – </w:t>
      </w:r>
      <w:r w:rsidR="00A75404">
        <w:rPr>
          <w:rFonts w:ascii="Palatino Linotype" w:hAnsi="Palatino Linotype"/>
          <w:i/>
          <w:sz w:val="20"/>
          <w:szCs w:val="20"/>
        </w:rPr>
        <w:t xml:space="preserve">Populus tremula </w:t>
      </w:r>
      <w:r w:rsidR="00A75404">
        <w:rPr>
          <w:rFonts w:ascii="Palatino Linotype" w:hAnsi="Palatino Linotype"/>
          <w:sz w:val="20"/>
          <w:szCs w:val="20"/>
        </w:rPr>
        <w:t>forest stage, OH – oak-hornbeam forest stage</w:t>
      </w:r>
      <w:r w:rsidR="00452CFE">
        <w:rPr>
          <w:rFonts w:ascii="Palatino Linotype" w:hAnsi="Palatino Linotype"/>
          <w:sz w:val="20"/>
          <w:szCs w:val="20"/>
        </w:rPr>
        <w:fldChar w:fldCharType="begin"/>
      </w:r>
      <w:r w:rsidR="00452CFE">
        <w:rPr>
          <w:rFonts w:ascii="Palatino Linotype" w:hAnsi="Palatino Linotype"/>
          <w:sz w:val="20"/>
          <w:szCs w:val="20"/>
        </w:rPr>
        <w:instrText xml:space="preserve"> LINK </w:instrText>
      </w:r>
      <w:r w:rsidR="00C61D5A">
        <w:rPr>
          <w:rFonts w:ascii="Palatino Linotype" w:hAnsi="Palatino Linotype"/>
          <w:sz w:val="20"/>
          <w:szCs w:val="20"/>
        </w:rPr>
        <w:instrText xml:space="preserve">Excel.Sheet.12 "C:\\Users\\User\\Desktop\\Antun\\Istraživanje\\Ekologija bilja\\Sukcesija i tlo Brlog Ozaljski\\Rezultati\\Blocks sukcesija Brlog kemija tla.xlsx" "Tablica za Appendix!R4C2:R16C18" </w:instrText>
      </w:r>
      <w:r w:rsidR="00452CFE">
        <w:rPr>
          <w:rFonts w:ascii="Palatino Linotype" w:hAnsi="Palatino Linotype"/>
          <w:sz w:val="20"/>
          <w:szCs w:val="20"/>
        </w:rPr>
        <w:instrText xml:space="preserve">\a \f 5 \h  \* MERGEFORMAT </w:instrText>
      </w:r>
      <w:r w:rsidR="00452CFE">
        <w:rPr>
          <w:rFonts w:ascii="Palatino Linotype" w:hAnsi="Palatino Linotype"/>
          <w:sz w:val="20"/>
          <w:szCs w:val="20"/>
        </w:rPr>
        <w:fldChar w:fldCharType="separate"/>
      </w:r>
    </w:p>
    <w:p w:rsidR="00452CFE" w:rsidRDefault="00452CFE" w:rsidP="00452CFE">
      <w:r>
        <w:rPr>
          <w:rFonts w:ascii="Palatino Linotype" w:hAnsi="Palatino Linotype"/>
          <w:sz w:val="20"/>
          <w:szCs w:val="20"/>
        </w:rPr>
        <w:fldChar w:fldCharType="end"/>
      </w:r>
    </w:p>
    <w:p w:rsidR="005419C6" w:rsidRDefault="00A653AC">
      <w:r>
        <w:rPr>
          <w:rFonts w:ascii="Palatino Linotype" w:hAnsi="Palatino Linotype"/>
          <w:sz w:val="20"/>
          <w:szCs w:val="20"/>
        </w:rPr>
        <w:fldChar w:fldCharType="begin"/>
      </w:r>
      <w:r>
        <w:rPr>
          <w:rFonts w:ascii="Palatino Linotype" w:hAnsi="Palatino Linotype"/>
          <w:sz w:val="20"/>
          <w:szCs w:val="20"/>
        </w:rPr>
        <w:instrText xml:space="preserve"> LINK </w:instrText>
      </w:r>
      <w:r w:rsidR="00C61D5A">
        <w:rPr>
          <w:rFonts w:ascii="Palatino Linotype" w:hAnsi="Palatino Linotype"/>
          <w:sz w:val="20"/>
          <w:szCs w:val="20"/>
        </w:rPr>
        <w:instrText xml:space="preserve">Excel.Sheet.12 "C:\\Users\\User\\Desktop\\Antun\\Istraživanje\\Ekologija bilja\\Sukcesija i tlo Brlog Ozaljski\\Rezultati\\Blocks sukcesija Brlog kemija tla.xlsx" "Tablica za Appendix!R4C2:R16C18" </w:instrText>
      </w:r>
      <w:r>
        <w:rPr>
          <w:rFonts w:ascii="Palatino Linotype" w:hAnsi="Palatino Linotype"/>
          <w:sz w:val="20"/>
          <w:szCs w:val="20"/>
        </w:rPr>
        <w:instrText xml:space="preserve">\a \f 5 \h  \* MERGEFORMAT </w:instrText>
      </w:r>
      <w:r>
        <w:rPr>
          <w:rFonts w:ascii="Palatino Linotype" w:hAnsi="Palatino Linotype"/>
          <w:sz w:val="20"/>
          <w:szCs w:val="20"/>
        </w:rPr>
        <w:fldChar w:fldCharType="separate"/>
      </w:r>
    </w:p>
    <w:p w:rsidR="00A653AC" w:rsidRPr="00A653AC" w:rsidRDefault="00A653AC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fldChar w:fldCharType="end"/>
      </w:r>
    </w:p>
    <w:sectPr w:rsidR="00A653AC" w:rsidRPr="00A653AC" w:rsidSect="00470D8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3162D"/>
    <w:multiLevelType w:val="hybridMultilevel"/>
    <w:tmpl w:val="FC04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0050F"/>
    <w:multiLevelType w:val="hybridMultilevel"/>
    <w:tmpl w:val="73C49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934B0"/>
    <w:multiLevelType w:val="hybridMultilevel"/>
    <w:tmpl w:val="A546EF4E"/>
    <w:lvl w:ilvl="0" w:tplc="59A0D8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08"/>
    <w:rsid w:val="000D10F8"/>
    <w:rsid w:val="001D315C"/>
    <w:rsid w:val="00223777"/>
    <w:rsid w:val="002843E0"/>
    <w:rsid w:val="002C1F38"/>
    <w:rsid w:val="003F37C4"/>
    <w:rsid w:val="00452CFE"/>
    <w:rsid w:val="00470D8E"/>
    <w:rsid w:val="00472AB4"/>
    <w:rsid w:val="005419C6"/>
    <w:rsid w:val="005A701E"/>
    <w:rsid w:val="00723A36"/>
    <w:rsid w:val="007B26AE"/>
    <w:rsid w:val="008502C6"/>
    <w:rsid w:val="0085577A"/>
    <w:rsid w:val="008924EF"/>
    <w:rsid w:val="008D58F0"/>
    <w:rsid w:val="009131D5"/>
    <w:rsid w:val="00945078"/>
    <w:rsid w:val="00957D0E"/>
    <w:rsid w:val="009A37F2"/>
    <w:rsid w:val="009D1ED1"/>
    <w:rsid w:val="00A01C17"/>
    <w:rsid w:val="00A339DD"/>
    <w:rsid w:val="00A549A3"/>
    <w:rsid w:val="00A653AC"/>
    <w:rsid w:val="00A75404"/>
    <w:rsid w:val="00A95940"/>
    <w:rsid w:val="00B412B8"/>
    <w:rsid w:val="00BB26DB"/>
    <w:rsid w:val="00BC70D5"/>
    <w:rsid w:val="00C61D5A"/>
    <w:rsid w:val="00CC2231"/>
    <w:rsid w:val="00D521FB"/>
    <w:rsid w:val="00DE6508"/>
    <w:rsid w:val="00E75B35"/>
    <w:rsid w:val="00EB4425"/>
    <w:rsid w:val="00EC1428"/>
    <w:rsid w:val="00EE76FC"/>
    <w:rsid w:val="00F24F21"/>
    <w:rsid w:val="00F25EEF"/>
    <w:rsid w:val="00FB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D07A1-1C32-4B0F-9CBA-5C9FCDD2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D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70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D8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D8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D8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D8E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D8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0D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0D8E"/>
    <w:rPr>
      <w:color w:val="0563C1" w:themeColor="hyperlink"/>
      <w:u w:val="single"/>
    </w:rPr>
  </w:style>
  <w:style w:type="paragraph" w:customStyle="1" w:styleId="font5">
    <w:name w:val="font5"/>
    <w:basedOn w:val="Normal"/>
    <w:rsid w:val="00470D8E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color w:val="000000"/>
    </w:rPr>
  </w:style>
  <w:style w:type="paragraph" w:customStyle="1" w:styleId="font6">
    <w:name w:val="font6"/>
    <w:basedOn w:val="Normal"/>
    <w:rsid w:val="00470D8E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i/>
      <w:iCs/>
      <w:color w:val="000000"/>
    </w:rPr>
  </w:style>
  <w:style w:type="paragraph" w:customStyle="1" w:styleId="font7">
    <w:name w:val="font7"/>
    <w:basedOn w:val="Normal"/>
    <w:rsid w:val="00470D8E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color w:val="000000"/>
    </w:rPr>
  </w:style>
  <w:style w:type="paragraph" w:customStyle="1" w:styleId="xl65">
    <w:name w:val="xl65"/>
    <w:basedOn w:val="Normal"/>
    <w:rsid w:val="00470D8E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66">
    <w:name w:val="xl66"/>
    <w:basedOn w:val="Normal"/>
    <w:rsid w:val="00470D8E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67">
    <w:name w:val="xl67"/>
    <w:basedOn w:val="Normal"/>
    <w:rsid w:val="00470D8E"/>
    <w:pPr>
      <w:shd w:val="clear" w:color="000000" w:fill="9BBB59"/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68">
    <w:name w:val="xl68"/>
    <w:basedOn w:val="Normal"/>
    <w:rsid w:val="00470D8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69">
    <w:name w:val="xl69"/>
    <w:basedOn w:val="Normal"/>
    <w:rsid w:val="00470D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0">
    <w:name w:val="xl70"/>
    <w:basedOn w:val="Normal"/>
    <w:rsid w:val="00470D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i/>
      <w:iCs/>
      <w:sz w:val="24"/>
      <w:szCs w:val="24"/>
    </w:rPr>
  </w:style>
  <w:style w:type="paragraph" w:customStyle="1" w:styleId="xl71">
    <w:name w:val="xl71"/>
    <w:basedOn w:val="Normal"/>
    <w:rsid w:val="00470D8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2">
    <w:name w:val="xl72"/>
    <w:basedOn w:val="Normal"/>
    <w:rsid w:val="00470D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3">
    <w:name w:val="xl73"/>
    <w:basedOn w:val="Normal"/>
    <w:rsid w:val="00470D8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4">
    <w:name w:val="xl74"/>
    <w:basedOn w:val="Normal"/>
    <w:rsid w:val="00470D8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5">
    <w:name w:val="xl75"/>
    <w:basedOn w:val="Normal"/>
    <w:rsid w:val="00470D8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6">
    <w:name w:val="xl76"/>
    <w:basedOn w:val="Normal"/>
    <w:rsid w:val="00470D8E"/>
    <w:pP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4"/>
    </w:rPr>
  </w:style>
  <w:style w:type="paragraph" w:customStyle="1" w:styleId="xl77">
    <w:name w:val="xl77"/>
    <w:basedOn w:val="Normal"/>
    <w:rsid w:val="00470D8E"/>
    <w:pP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8">
    <w:name w:val="xl78"/>
    <w:basedOn w:val="Normal"/>
    <w:rsid w:val="00470D8E"/>
    <w:pP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79">
    <w:name w:val="xl79"/>
    <w:basedOn w:val="Normal"/>
    <w:rsid w:val="00470D8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80">
    <w:name w:val="xl80"/>
    <w:basedOn w:val="Normal"/>
    <w:rsid w:val="00470D8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81">
    <w:name w:val="xl81"/>
    <w:basedOn w:val="Normal"/>
    <w:rsid w:val="00470D8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4"/>
    </w:rPr>
  </w:style>
  <w:style w:type="paragraph" w:customStyle="1" w:styleId="xl82">
    <w:name w:val="xl82"/>
    <w:basedOn w:val="Normal"/>
    <w:rsid w:val="00470D8E"/>
    <w:pP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4"/>
    </w:rPr>
  </w:style>
  <w:style w:type="paragraph" w:customStyle="1" w:styleId="xl83">
    <w:name w:val="xl83"/>
    <w:basedOn w:val="Normal"/>
    <w:rsid w:val="00470D8E"/>
    <w:pP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color w:val="FF0000"/>
      <w:sz w:val="24"/>
      <w:szCs w:val="24"/>
    </w:rPr>
  </w:style>
  <w:style w:type="paragraph" w:customStyle="1" w:styleId="xl84">
    <w:name w:val="xl84"/>
    <w:basedOn w:val="Normal"/>
    <w:rsid w:val="00470D8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85">
    <w:name w:val="xl85"/>
    <w:basedOn w:val="Normal"/>
    <w:rsid w:val="00470D8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86">
    <w:name w:val="xl86"/>
    <w:basedOn w:val="Normal"/>
    <w:rsid w:val="00470D8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4"/>
    </w:rPr>
  </w:style>
  <w:style w:type="paragraph" w:customStyle="1" w:styleId="xl87">
    <w:name w:val="xl87"/>
    <w:basedOn w:val="Normal"/>
    <w:rsid w:val="00470D8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88">
    <w:name w:val="xl88"/>
    <w:basedOn w:val="Normal"/>
    <w:rsid w:val="00470D8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89">
    <w:name w:val="xl89"/>
    <w:basedOn w:val="Normal"/>
    <w:rsid w:val="00470D8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90">
    <w:name w:val="xl90"/>
    <w:basedOn w:val="Normal"/>
    <w:rsid w:val="00470D8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91">
    <w:name w:val="xl91"/>
    <w:basedOn w:val="Normal"/>
    <w:rsid w:val="00470D8E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92">
    <w:name w:val="xl92"/>
    <w:basedOn w:val="Normal"/>
    <w:rsid w:val="00470D8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xl93">
    <w:name w:val="xl93"/>
    <w:basedOn w:val="Normal"/>
    <w:rsid w:val="00470D8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D8E"/>
  </w:style>
  <w:style w:type="paragraph" w:styleId="Footer">
    <w:name w:val="footer"/>
    <w:basedOn w:val="Normal"/>
    <w:link w:val="FooterChar"/>
    <w:uiPriority w:val="99"/>
    <w:unhideWhenUsed/>
    <w:rsid w:val="0047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D8E"/>
  </w:style>
  <w:style w:type="table" w:styleId="TableGrid">
    <w:name w:val="Table Grid"/>
    <w:basedOn w:val="TableNormal"/>
    <w:uiPriority w:val="39"/>
    <w:rsid w:val="00A6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Author2</dc:creator>
  <cp:keywords/>
  <dc:description/>
  <cp:lastModifiedBy>Microsoft account</cp:lastModifiedBy>
  <cp:revision>41</cp:revision>
  <dcterms:created xsi:type="dcterms:W3CDTF">2021-10-11T15:36:00Z</dcterms:created>
  <dcterms:modified xsi:type="dcterms:W3CDTF">2021-11-19T14:39:00Z</dcterms:modified>
</cp:coreProperties>
</file>