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467E" w14:textId="77777777" w:rsidR="00F664BB" w:rsidRPr="00872889" w:rsidRDefault="00F664BB" w:rsidP="00F664BB">
      <w:pPr>
        <w:pStyle w:val="Heading3"/>
        <w:spacing w:line="240" w:lineRule="auto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14:ligatures w14:val="none"/>
        </w:rPr>
      </w:pPr>
      <w:r w:rsidRPr="00872889">
        <w:rPr>
          <w:rFonts w:ascii="Times New Roman" w:hAnsi="Times New Roman" w:cs="Times New Roman"/>
          <w:color w:val="auto"/>
          <w:sz w:val="24"/>
          <w:szCs w:val="24"/>
        </w:rPr>
        <w:t>Table 2. Stability of Without-Maternity-Services Classification Among Illinois Counties, 2015–2023</w:t>
      </w:r>
    </w:p>
    <w:p w14:paraId="4EF8FE9A" w14:textId="77777777" w:rsidR="00F664BB" w:rsidRPr="00872889" w:rsidRDefault="00F664BB" w:rsidP="00F664BB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</w:rPr>
      </w:pPr>
      <w:r w:rsidRPr="00872889">
        <w:rPr>
          <w:rStyle w:val="Strong"/>
          <w:rFonts w:ascii="Times New Roman" w:hAnsi="Times New Roman" w:cs="Times New Roman"/>
          <w:b w:val="0"/>
          <w:bCs w:val="0"/>
        </w:rPr>
        <w:t>Outcome:</w:t>
      </w:r>
      <w:r w:rsidRPr="00872889">
        <w:rPr>
          <w:rFonts w:ascii="Times New Roman" w:hAnsi="Times New Roman" w:cs="Times New Roman"/>
        </w:rPr>
        <w:t xml:space="preserve"> Transition in without-maternity-services classification (year </w:t>
      </w:r>
      <w:r w:rsidRPr="00872889">
        <w:rPr>
          <w:rStyle w:val="Emphasis"/>
          <w:rFonts w:ascii="Times New Roman" w:hAnsi="Times New Roman" w:cs="Times New Roman"/>
        </w:rPr>
        <w:t>t</w:t>
      </w:r>
      <w:r w:rsidRPr="00872889">
        <w:rPr>
          <w:rFonts w:ascii="Times New Roman" w:hAnsi="Times New Roman" w:cs="Times New Roman"/>
        </w:rPr>
        <w:t xml:space="preserve"> → year </w:t>
      </w:r>
      <w:r w:rsidRPr="00872889">
        <w:rPr>
          <w:rStyle w:val="Emphasis"/>
          <w:rFonts w:ascii="Times New Roman" w:hAnsi="Times New Roman" w:cs="Times New Roman"/>
        </w:rPr>
        <w:t>t</w:t>
      </w:r>
      <w:r w:rsidRPr="00872889">
        <w:rPr>
          <w:rFonts w:ascii="Times New Roman" w:hAnsi="Times New Roman" w:cs="Times New Roman"/>
        </w:rPr>
        <w:t>+1)</w:t>
      </w:r>
      <w:r w:rsidRPr="00872889">
        <w:rPr>
          <w:rFonts w:ascii="Times New Roman" w:hAnsi="Times New Roman" w:cs="Times New Roman"/>
        </w:rPr>
        <w:br/>
      </w:r>
      <w:r w:rsidRPr="00872889">
        <w:rPr>
          <w:rStyle w:val="Strong"/>
          <w:rFonts w:ascii="Times New Roman" w:hAnsi="Times New Roman" w:cs="Times New Roman"/>
          <w:b w:val="0"/>
          <w:bCs w:val="0"/>
        </w:rPr>
        <w:t>Unit of analysis</w:t>
      </w:r>
      <w:r w:rsidRPr="00872889">
        <w:rPr>
          <w:rStyle w:val="Strong"/>
          <w:rFonts w:ascii="Times New Roman" w:hAnsi="Times New Roman" w:cs="Times New Roman"/>
        </w:rPr>
        <w:t>:</w:t>
      </w:r>
      <w:r w:rsidRPr="00872889">
        <w:rPr>
          <w:rFonts w:ascii="Times New Roman" w:hAnsi="Times New Roman" w:cs="Times New Roman"/>
        </w:rPr>
        <w:t xml:space="preserve"> County-year transitions</w:t>
      </w:r>
      <w:r w:rsidRPr="00872889">
        <w:rPr>
          <w:rFonts w:ascii="Times New Roman" w:hAnsi="Times New Roman" w:cs="Times New Roman"/>
        </w:rPr>
        <w:br/>
      </w:r>
      <w:r w:rsidRPr="00872889">
        <w:rPr>
          <w:rStyle w:val="Strong"/>
          <w:rFonts w:ascii="Times New Roman" w:hAnsi="Times New Roman" w:cs="Times New Roman"/>
          <w:b w:val="0"/>
          <w:bCs w:val="0"/>
        </w:rPr>
        <w:t>Purpose</w:t>
      </w:r>
      <w:r w:rsidRPr="00872889">
        <w:rPr>
          <w:rStyle w:val="Strong"/>
          <w:rFonts w:ascii="Times New Roman" w:hAnsi="Times New Roman" w:cs="Times New Roman"/>
        </w:rPr>
        <w:t>:</w:t>
      </w:r>
      <w:r w:rsidRPr="00872889">
        <w:rPr>
          <w:rFonts w:ascii="Times New Roman" w:hAnsi="Times New Roman" w:cs="Times New Roman"/>
        </w:rPr>
        <w:t xml:space="preserve"> Describe temporal stability of classification</w:t>
      </w:r>
    </w:p>
    <w:p w14:paraId="414C47F1" w14:textId="77777777" w:rsidR="00F664BB" w:rsidRPr="00872889" w:rsidRDefault="00F664BB" w:rsidP="00F664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872889">
        <w:rPr>
          <w:rFonts w:ascii="Times New Roman" w:eastAsia="Times New Roman" w:hAnsi="Times New Roman" w:cs="Times New Roman"/>
          <w:kern w:val="0"/>
          <w14:ligatures w14:val="none"/>
        </w:rPr>
        <w:t xml:space="preserve">Panel A. </w:t>
      </w:r>
      <w:r w:rsidRPr="00872889">
        <w:rPr>
          <w:rFonts w:ascii="Times New Roman" w:hAnsi="Times New Roman" w:cs="Times New Roman"/>
        </w:rPr>
        <w:t>Observed county-year transitions</w:t>
      </w:r>
    </w:p>
    <w:tbl>
      <w:tblPr>
        <w:tblW w:w="86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8"/>
        <w:gridCol w:w="2538"/>
        <w:gridCol w:w="2166"/>
      </w:tblGrid>
      <w:tr w:rsidR="00F664BB" w:rsidRPr="00872889" w14:paraId="23B04D1C" w14:textId="77777777" w:rsidTr="00261406">
        <w:trPr>
          <w:trHeight w:val="592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70C05E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County transition outcome (t → t+1)</w:t>
            </w:r>
          </w:p>
        </w:tc>
        <w:tc>
          <w:tcPr>
            <w:tcW w:w="0" w:type="auto"/>
            <w:vAlign w:val="center"/>
            <w:hideMark/>
          </w:tcPr>
          <w:p w14:paraId="4E90AB7E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Nonmetropolitan counties</w:t>
            </w:r>
          </w:p>
          <w:p w14:paraId="1F0FD658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(N = 520)</w:t>
            </w:r>
          </w:p>
        </w:tc>
        <w:tc>
          <w:tcPr>
            <w:tcW w:w="0" w:type="auto"/>
            <w:vAlign w:val="center"/>
            <w:hideMark/>
          </w:tcPr>
          <w:p w14:paraId="3D9EB214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Metropolitan counties</w:t>
            </w:r>
          </w:p>
          <w:p w14:paraId="0C228761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(N = 296)</w:t>
            </w:r>
          </w:p>
        </w:tc>
      </w:tr>
      <w:tr w:rsidR="00F664BB" w:rsidRPr="00872889" w14:paraId="07B60EAC" w14:textId="77777777" w:rsidTr="00261406">
        <w:trPr>
          <w:trHeight w:val="296"/>
          <w:tblCellSpacing w:w="15" w:type="dxa"/>
        </w:trPr>
        <w:tc>
          <w:tcPr>
            <w:tcW w:w="0" w:type="auto"/>
            <w:vAlign w:val="center"/>
            <w:hideMark/>
          </w:tcPr>
          <w:p w14:paraId="3D8AFFD7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Continued having maternity services</w:t>
            </w:r>
          </w:p>
        </w:tc>
        <w:tc>
          <w:tcPr>
            <w:tcW w:w="0" w:type="auto"/>
            <w:vAlign w:val="center"/>
            <w:hideMark/>
          </w:tcPr>
          <w:p w14:paraId="1885BEB0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14:paraId="5DF128C6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208</w:t>
            </w:r>
          </w:p>
        </w:tc>
      </w:tr>
      <w:tr w:rsidR="00F664BB" w:rsidRPr="00872889" w14:paraId="0E2CC7D5" w14:textId="77777777" w:rsidTr="00261406">
        <w:trPr>
          <w:trHeight w:val="318"/>
          <w:tblCellSpacing w:w="15" w:type="dxa"/>
        </w:trPr>
        <w:tc>
          <w:tcPr>
            <w:tcW w:w="0" w:type="auto"/>
            <w:vAlign w:val="center"/>
            <w:hideMark/>
          </w:tcPr>
          <w:p w14:paraId="6E5D8EAF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hAnsi="Times New Roman" w:cs="Times New Roman"/>
              </w:rPr>
              <w:t>Entered no maternity service availability</w:t>
            </w:r>
          </w:p>
        </w:tc>
        <w:tc>
          <w:tcPr>
            <w:tcW w:w="0" w:type="auto"/>
            <w:vAlign w:val="center"/>
            <w:hideMark/>
          </w:tcPr>
          <w:p w14:paraId="1637C43E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702AF4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</w:tr>
      <w:tr w:rsidR="00F664BB" w:rsidRPr="00872889" w14:paraId="7465ADCC" w14:textId="77777777" w:rsidTr="00261406">
        <w:trPr>
          <w:trHeight w:val="296"/>
          <w:tblCellSpacing w:w="15" w:type="dxa"/>
        </w:trPr>
        <w:tc>
          <w:tcPr>
            <w:tcW w:w="0" w:type="auto"/>
            <w:vAlign w:val="center"/>
            <w:hideMark/>
          </w:tcPr>
          <w:p w14:paraId="66FAED26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hAnsi="Times New Roman" w:cs="Times New Roman"/>
              </w:rPr>
              <w:t>Exited no maternity service availability</w:t>
            </w:r>
          </w:p>
        </w:tc>
        <w:tc>
          <w:tcPr>
            <w:tcW w:w="0" w:type="auto"/>
            <w:vAlign w:val="center"/>
            <w:hideMark/>
          </w:tcPr>
          <w:p w14:paraId="4368C28A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4FC0C04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</w:tr>
      <w:tr w:rsidR="00F664BB" w:rsidRPr="00872889" w14:paraId="102AF3D4" w14:textId="77777777" w:rsidTr="00261406">
        <w:trPr>
          <w:trHeight w:val="296"/>
          <w:tblCellSpacing w:w="15" w:type="dxa"/>
        </w:trPr>
        <w:tc>
          <w:tcPr>
            <w:tcW w:w="0" w:type="auto"/>
            <w:vAlign w:val="center"/>
            <w:hideMark/>
          </w:tcPr>
          <w:p w14:paraId="7BC95BB9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hAnsi="Times New Roman" w:cs="Times New Roman"/>
              </w:rPr>
              <w:t>Stayed no maternity services availability</w:t>
            </w:r>
          </w:p>
        </w:tc>
        <w:tc>
          <w:tcPr>
            <w:tcW w:w="0" w:type="auto"/>
            <w:vAlign w:val="center"/>
            <w:hideMark/>
          </w:tcPr>
          <w:p w14:paraId="76D0C8B5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14:paraId="42B0B560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88</w:t>
            </w:r>
          </w:p>
        </w:tc>
      </w:tr>
    </w:tbl>
    <w:p w14:paraId="5AD8B839" w14:textId="77777777" w:rsidR="00F664BB" w:rsidRPr="00872889" w:rsidRDefault="00F664BB" w:rsidP="00F664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14:ligatures w14:val="none"/>
        </w:rPr>
      </w:pPr>
      <w:r w:rsidRPr="00872889">
        <w:rPr>
          <w:rFonts w:ascii="Times New Roman" w:eastAsia="Times New Roman" w:hAnsi="Times New Roman" w:cs="Times New Roman"/>
          <w:kern w:val="0"/>
          <w14:ligatures w14:val="none"/>
        </w:rPr>
        <w:t>Panel B. Conditional transition rates (descriptive)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4"/>
        <w:gridCol w:w="2287"/>
        <w:gridCol w:w="1915"/>
      </w:tblGrid>
      <w:tr w:rsidR="00F664BB" w:rsidRPr="00872889" w14:paraId="7C22BBC5" w14:textId="77777777" w:rsidTr="002614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2042FD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Metric</w:t>
            </w:r>
          </w:p>
        </w:tc>
        <w:tc>
          <w:tcPr>
            <w:tcW w:w="0" w:type="auto"/>
            <w:vAlign w:val="center"/>
            <w:hideMark/>
          </w:tcPr>
          <w:p w14:paraId="3BB6CD69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Nonmetropolitan counties</w:t>
            </w:r>
          </w:p>
        </w:tc>
        <w:tc>
          <w:tcPr>
            <w:tcW w:w="0" w:type="auto"/>
            <w:vAlign w:val="center"/>
            <w:hideMark/>
          </w:tcPr>
          <w:p w14:paraId="6EF30564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Metropolitan counties</w:t>
            </w:r>
          </w:p>
        </w:tc>
      </w:tr>
      <w:tr w:rsidR="00F664BB" w:rsidRPr="00872889" w14:paraId="00677A94" w14:textId="77777777" w:rsidTr="002614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8A6AE0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Entry rate (maternity service present → without maternity services)</w:t>
            </w:r>
          </w:p>
        </w:tc>
        <w:tc>
          <w:tcPr>
            <w:tcW w:w="0" w:type="auto"/>
            <w:vAlign w:val="center"/>
            <w:hideMark/>
          </w:tcPr>
          <w:p w14:paraId="68330C62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/ 279 (0.72%)</w:t>
            </w:r>
          </w:p>
        </w:tc>
        <w:tc>
          <w:tcPr>
            <w:tcW w:w="0" w:type="auto"/>
            <w:vAlign w:val="center"/>
            <w:hideMark/>
          </w:tcPr>
          <w:p w14:paraId="096EF2DB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/ 208 (0.00%)</w:t>
            </w:r>
          </w:p>
        </w:tc>
      </w:tr>
      <w:tr w:rsidR="00F664BB" w:rsidRPr="00872889" w14:paraId="4EFC0A0A" w14:textId="77777777" w:rsidTr="002614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D62A07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Exit rate (without maternity services → maternity service present)</w:t>
            </w:r>
          </w:p>
        </w:tc>
        <w:tc>
          <w:tcPr>
            <w:tcW w:w="0" w:type="auto"/>
            <w:vAlign w:val="center"/>
            <w:hideMark/>
          </w:tcPr>
          <w:p w14:paraId="5F17131A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/ 241 (0.83%)</w:t>
            </w:r>
          </w:p>
        </w:tc>
        <w:tc>
          <w:tcPr>
            <w:tcW w:w="0" w:type="auto"/>
            <w:vAlign w:val="center"/>
            <w:hideMark/>
          </w:tcPr>
          <w:p w14:paraId="1344BC64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 / 88 (0.00%)</w:t>
            </w:r>
          </w:p>
        </w:tc>
      </w:tr>
    </w:tbl>
    <w:p w14:paraId="361A06F0" w14:textId="77777777" w:rsidR="00F664BB" w:rsidRPr="00872889" w:rsidRDefault="00F664BB" w:rsidP="00F664BB">
      <w:pPr>
        <w:spacing w:line="240" w:lineRule="auto"/>
        <w:rPr>
          <w:rStyle w:val="Strong"/>
          <w:rFonts w:ascii="Times New Roman" w:hAnsi="Times New Roman" w:cs="Times New Roman"/>
          <w:b w:val="0"/>
          <w:bCs w:val="0"/>
        </w:rPr>
      </w:pPr>
    </w:p>
    <w:p w14:paraId="1F88EED8" w14:textId="77777777" w:rsidR="00F664BB" w:rsidRPr="00872889" w:rsidRDefault="00F664BB" w:rsidP="00F664BB">
      <w:pPr>
        <w:spacing w:line="240" w:lineRule="auto"/>
        <w:rPr>
          <w:rFonts w:ascii="Times New Roman" w:hAnsi="Times New Roman" w:cs="Times New Roman"/>
        </w:rPr>
      </w:pPr>
      <w:r w:rsidRPr="00872889">
        <w:rPr>
          <w:rStyle w:val="Strong"/>
          <w:rFonts w:ascii="Times New Roman" w:hAnsi="Times New Roman" w:cs="Times New Roman"/>
          <w:b w:val="0"/>
          <w:bCs w:val="0"/>
        </w:rPr>
        <w:t>Panel C</w:t>
      </w:r>
      <w:r w:rsidRPr="00872889">
        <w:rPr>
          <w:rFonts w:ascii="Times New Roman" w:hAnsi="Times New Roman" w:cs="Times New Roman"/>
        </w:rPr>
        <w:t>. Temporal persistence of without maternity services classification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1"/>
        <w:gridCol w:w="2395"/>
      </w:tblGrid>
      <w:tr w:rsidR="00F664BB" w:rsidRPr="00872889" w14:paraId="72729CB5" w14:textId="77777777" w:rsidTr="002614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3F9D26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Predictor</w:t>
            </w:r>
          </w:p>
        </w:tc>
        <w:tc>
          <w:tcPr>
            <w:tcW w:w="0" w:type="auto"/>
            <w:vAlign w:val="center"/>
            <w:hideMark/>
          </w:tcPr>
          <w:p w14:paraId="1A7C9BFD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72889">
              <w:rPr>
                <w:rFonts w:ascii="Times New Roman" w:hAnsi="Times New Roman" w:cs="Times New Roman"/>
              </w:rPr>
              <w:t xml:space="preserve">Model 1 </w:t>
            </w:r>
          </w:p>
          <w:p w14:paraId="397902F1" w14:textId="77777777" w:rsidR="00F664BB" w:rsidRPr="00872889" w:rsidRDefault="00F664BB" w:rsidP="00261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hAnsi="Times New Roman" w:cs="Times New Roman"/>
              </w:rPr>
              <w:t>(Lag persistence model)</w:t>
            </w:r>
          </w:p>
        </w:tc>
      </w:tr>
      <w:tr w:rsidR="00F664BB" w:rsidRPr="00872889" w14:paraId="7A201CCF" w14:textId="77777777" w:rsidTr="002614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F2BEB2" w14:textId="77777777" w:rsidR="00F664BB" w:rsidRPr="00872889" w:rsidRDefault="00F664BB" w:rsidP="002614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2889">
              <w:rPr>
                <w:rFonts w:ascii="Times New Roman" w:hAnsi="Times New Roman" w:cs="Times New Roman"/>
              </w:rPr>
              <w:t xml:space="preserve">Lagged without-maternity-services </w:t>
            </w:r>
          </w:p>
          <w:p w14:paraId="488A7EB7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hAnsi="Times New Roman" w:cs="Times New Roman"/>
              </w:rPr>
              <w:t>classification (t–1)</w:t>
            </w:r>
          </w:p>
        </w:tc>
        <w:tc>
          <w:tcPr>
            <w:tcW w:w="0" w:type="auto"/>
            <w:vAlign w:val="center"/>
            <w:hideMark/>
          </w:tcPr>
          <w:p w14:paraId="042C1A56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0.990 </w:t>
            </w:r>
          </w:p>
          <w:p w14:paraId="2AFAFF47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(0.978, 1.002)</w:t>
            </w:r>
          </w:p>
        </w:tc>
      </w:tr>
      <w:tr w:rsidR="00F664BB" w:rsidRPr="00872889" w14:paraId="27A1544C" w14:textId="77777777" w:rsidTr="002614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E1F1F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Year fixed effects</w:t>
            </w:r>
          </w:p>
        </w:tc>
        <w:tc>
          <w:tcPr>
            <w:tcW w:w="0" w:type="auto"/>
            <w:vAlign w:val="center"/>
            <w:hideMark/>
          </w:tcPr>
          <w:p w14:paraId="7BFCADB8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</w:t>
            </w:r>
          </w:p>
        </w:tc>
      </w:tr>
      <w:tr w:rsidR="00F664BB" w:rsidRPr="00872889" w14:paraId="1DAF3B7E" w14:textId="77777777" w:rsidTr="002614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2BA32D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County-clustered SEs</w:t>
            </w:r>
          </w:p>
        </w:tc>
        <w:tc>
          <w:tcPr>
            <w:tcW w:w="0" w:type="auto"/>
            <w:vAlign w:val="center"/>
            <w:hideMark/>
          </w:tcPr>
          <w:p w14:paraId="6C1FDEB2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Yes</w:t>
            </w:r>
          </w:p>
        </w:tc>
      </w:tr>
      <w:tr w:rsidR="00F664BB" w:rsidRPr="00872889" w14:paraId="0195F491" w14:textId="77777777" w:rsidTr="002614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A08BE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Observations</w:t>
            </w:r>
          </w:p>
        </w:tc>
        <w:tc>
          <w:tcPr>
            <w:tcW w:w="0" w:type="auto"/>
            <w:vAlign w:val="center"/>
            <w:hideMark/>
          </w:tcPr>
          <w:p w14:paraId="587E5529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816</w:t>
            </w:r>
          </w:p>
        </w:tc>
      </w:tr>
      <w:tr w:rsidR="00F664BB" w:rsidRPr="00872889" w14:paraId="41B89E41" w14:textId="77777777" w:rsidTr="002614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41D03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Counties</w:t>
            </w:r>
          </w:p>
        </w:tc>
        <w:tc>
          <w:tcPr>
            <w:tcW w:w="0" w:type="auto"/>
            <w:vAlign w:val="center"/>
            <w:hideMark/>
          </w:tcPr>
          <w:p w14:paraId="146A0117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102</w:t>
            </w:r>
          </w:p>
        </w:tc>
      </w:tr>
      <w:tr w:rsidR="00F664BB" w:rsidRPr="00872889" w14:paraId="4DA7DBF9" w14:textId="77777777" w:rsidTr="002614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C07B7" w14:textId="77777777" w:rsidR="00F664BB" w:rsidRPr="00872889" w:rsidRDefault="00F664BB" w:rsidP="0026140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R²</w:t>
            </w:r>
          </w:p>
        </w:tc>
        <w:tc>
          <w:tcPr>
            <w:tcW w:w="0" w:type="auto"/>
            <w:vAlign w:val="center"/>
            <w:hideMark/>
          </w:tcPr>
          <w:p w14:paraId="16E0EB19" w14:textId="77777777" w:rsidR="00F664BB" w:rsidRPr="00872889" w:rsidRDefault="00F664BB" w:rsidP="002614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87288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0.98</w:t>
            </w:r>
          </w:p>
        </w:tc>
      </w:tr>
    </w:tbl>
    <w:p w14:paraId="3BAEBAA5" w14:textId="77777777" w:rsidR="00F664BB" w:rsidRPr="00872889" w:rsidRDefault="00F664BB" w:rsidP="00F664BB">
      <w:pPr>
        <w:pStyle w:val="NormalWeb"/>
        <w:rPr>
          <w:rStyle w:val="Strong"/>
          <w:rFonts w:eastAsiaTheme="majorEastAsia"/>
          <w:b w:val="0"/>
          <w:bCs w:val="0"/>
        </w:rPr>
      </w:pPr>
    </w:p>
    <w:p w14:paraId="393B27F4" w14:textId="77777777" w:rsidR="00F664BB" w:rsidRPr="00872889" w:rsidRDefault="00F664BB" w:rsidP="00F664BB">
      <w:pPr>
        <w:pStyle w:val="NormalWeb"/>
      </w:pPr>
      <w:r w:rsidRPr="00872889">
        <w:rPr>
          <w:rStyle w:val="Strong"/>
          <w:rFonts w:eastAsiaTheme="majorEastAsia"/>
          <w:b w:val="0"/>
          <w:bCs w:val="0"/>
        </w:rPr>
        <w:t>Notes</w:t>
      </w:r>
      <w:r w:rsidRPr="00872889">
        <w:rPr>
          <w:rStyle w:val="Strong"/>
          <w:rFonts w:eastAsiaTheme="majorEastAsia"/>
        </w:rPr>
        <w:t>:</w:t>
      </w:r>
      <w:r w:rsidRPr="00872889">
        <w:t xml:space="preserve"> Each observation represents a county’s classification status in year </w:t>
      </w:r>
      <w:r w:rsidRPr="00872889">
        <w:rPr>
          <w:rStyle w:val="Emphasis"/>
          <w:rFonts w:eastAsiaTheme="majorEastAsia"/>
        </w:rPr>
        <w:t>t</w:t>
      </w:r>
      <w:r w:rsidRPr="00872889">
        <w:t xml:space="preserve"> and year </w:t>
      </w:r>
      <w:r w:rsidRPr="00872889">
        <w:rPr>
          <w:rStyle w:val="Emphasis"/>
          <w:rFonts w:eastAsiaTheme="majorEastAsia"/>
        </w:rPr>
        <w:t>t</w:t>
      </w:r>
      <w:r w:rsidRPr="00872889">
        <w:t>+1, yielding 520 nonmetropolitan and 296 metropolitan county-year transitions from 2015–2016 through 2022–2023.</w:t>
      </w:r>
      <w:r w:rsidRPr="00872889">
        <w:br/>
      </w:r>
      <w:r w:rsidRPr="00872889">
        <w:rPr>
          <w:rStyle w:val="Strong"/>
          <w:rFonts w:eastAsiaTheme="majorEastAsia"/>
          <w:b w:val="0"/>
          <w:bCs w:val="0"/>
        </w:rPr>
        <w:t>Panel A</w:t>
      </w:r>
      <w:r w:rsidRPr="00872889">
        <w:t xml:space="preserve"> reports observed transitions into and out of without-maternity-services status.</w:t>
      </w:r>
      <w:r w:rsidRPr="00872889">
        <w:br/>
      </w:r>
      <w:r w:rsidRPr="00872889">
        <w:rPr>
          <w:rStyle w:val="Strong"/>
          <w:rFonts w:eastAsiaTheme="majorEastAsia"/>
          <w:b w:val="0"/>
          <w:bCs w:val="0"/>
        </w:rPr>
        <w:lastRenderedPageBreak/>
        <w:t>Panel B</w:t>
      </w:r>
      <w:r w:rsidRPr="00872889">
        <w:t xml:space="preserve"> reports descriptive entry and exit rates conditional on prior-year classification.</w:t>
      </w:r>
      <w:r w:rsidRPr="00872889">
        <w:br/>
      </w:r>
      <w:r w:rsidRPr="00872889">
        <w:rPr>
          <w:rStyle w:val="Strong"/>
          <w:rFonts w:eastAsiaTheme="majorEastAsia"/>
          <w:b w:val="0"/>
          <w:bCs w:val="0"/>
        </w:rPr>
        <w:t>Panel C</w:t>
      </w:r>
      <w:r w:rsidRPr="00872889">
        <w:t xml:space="preserve"> reports a lagged linear probability model summarizing year-to-year persistence in classification status; coefficients are shown with 95% confidence intervals.</w:t>
      </w:r>
      <w:r w:rsidRPr="00872889">
        <w:br/>
        <w:t>Across panels, entry and exit events were rare.</w:t>
      </w:r>
    </w:p>
    <w:p w14:paraId="2D789794" w14:textId="77777777" w:rsidR="00F664BB" w:rsidRPr="00872889" w:rsidRDefault="00F664BB" w:rsidP="00F664BB">
      <w:pPr>
        <w:spacing w:line="240" w:lineRule="auto"/>
        <w:rPr>
          <w:rFonts w:ascii="Times New Roman" w:hAnsi="Times New Roman" w:cs="Times New Roman"/>
        </w:rPr>
      </w:pPr>
    </w:p>
    <w:p w14:paraId="065BDDBD" w14:textId="77777777" w:rsidR="00F664BB" w:rsidRPr="00872889" w:rsidRDefault="00F664BB" w:rsidP="00F664BB">
      <w:pPr>
        <w:spacing w:line="240" w:lineRule="auto"/>
        <w:rPr>
          <w:rFonts w:ascii="Times New Roman" w:hAnsi="Times New Roman" w:cs="Times New Roman"/>
        </w:rPr>
      </w:pPr>
      <w:r w:rsidRPr="00872889">
        <w:rPr>
          <w:rFonts w:ascii="Times New Roman" w:hAnsi="Times New Roman" w:cs="Times New Roman"/>
        </w:rPr>
        <w:br w:type="page"/>
      </w:r>
    </w:p>
    <w:p w14:paraId="0D564E64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BB"/>
    <w:rsid w:val="00055A62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6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D82CB"/>
  <w15:chartTrackingRefBased/>
  <w15:docId w15:val="{5DF011BB-D931-499A-BC7D-A7396C33D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4B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64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4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64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4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4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4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4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4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4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4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4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64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4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4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4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4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4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4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4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F664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4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F664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4BB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F664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4BB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F664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4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4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4B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6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664BB"/>
    <w:rPr>
      <w:b/>
      <w:bCs/>
    </w:rPr>
  </w:style>
  <w:style w:type="character" w:styleId="Emphasis">
    <w:name w:val="Emphasis"/>
    <w:basedOn w:val="DefaultParagraphFont"/>
    <w:uiPriority w:val="20"/>
    <w:qFormat/>
    <w:rsid w:val="00F664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2026-08-28T10:18:00Z</dcterms:created>
  <dcterms:modified xsi:type="dcterms:W3CDTF">2026-08-28T10:18:00Z</dcterms:modified>
</cp:coreProperties>
</file>