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9ED3" w14:textId="77777777" w:rsidR="002128C5" w:rsidRDefault="002128C5" w:rsidP="00853165">
      <w:pPr>
        <w:rPr>
          <w:rFonts w:ascii="Times New Roman" w:eastAsia="PMingLiU" w:hAnsi="Times New Roman" w:cs="Times New Roman"/>
          <w:b/>
          <w:bCs/>
          <w:color w:val="000000" w:themeColor="text1"/>
          <w:sz w:val="32"/>
          <w:szCs w:val="32"/>
          <w:rtl/>
        </w:rPr>
      </w:pPr>
      <w:bookmarkStart w:id="0" w:name="_Hlk201650447"/>
    </w:p>
    <w:p w14:paraId="3DF080D3" w14:textId="1EC4E90F" w:rsidR="001F3842" w:rsidRPr="00304C35" w:rsidRDefault="00204271" w:rsidP="001F3842">
      <w:pPr>
        <w:jc w:val="center"/>
        <w:rPr>
          <w:rFonts w:ascii="Times New Roman" w:eastAsia="PMingLiU" w:hAnsi="Times New Roman" w:cs="Times New Roman"/>
          <w:b/>
          <w:bCs/>
          <w:color w:val="000000" w:themeColor="text1"/>
          <w:sz w:val="32"/>
          <w:szCs w:val="32"/>
        </w:rPr>
      </w:pPr>
      <w:r w:rsidRPr="00304C35">
        <w:rPr>
          <w:rFonts w:ascii="Times New Roman" w:eastAsia="PMingLiU" w:hAnsi="Times New Roman" w:cs="Times New Roman"/>
          <w:b/>
          <w:bCs/>
          <w:color w:val="000000" w:themeColor="text1"/>
          <w:sz w:val="32"/>
          <w:szCs w:val="32"/>
        </w:rPr>
        <w:t>Supporting Information</w:t>
      </w:r>
    </w:p>
    <w:p w14:paraId="7F80C4AF" w14:textId="77777777" w:rsidR="00E271BF" w:rsidRPr="00304C35" w:rsidRDefault="00E271BF" w:rsidP="001F3842">
      <w:pPr>
        <w:jc w:val="center"/>
        <w:rPr>
          <w:rFonts w:ascii="Times New Roman" w:eastAsia="PMingLiU" w:hAnsi="Times New Roman" w:cs="Times New Roman"/>
          <w:b/>
          <w:bCs/>
          <w:color w:val="000000" w:themeColor="text1"/>
          <w:sz w:val="32"/>
          <w:szCs w:val="32"/>
        </w:rPr>
      </w:pPr>
    </w:p>
    <w:bookmarkEnd w:id="0"/>
    <w:p w14:paraId="37949523" w14:textId="77777777" w:rsidR="00DA00B2" w:rsidRPr="00DA00B2" w:rsidRDefault="00DA00B2" w:rsidP="00DA00B2">
      <w:pPr>
        <w:spacing w:line="480" w:lineRule="auto"/>
        <w:jc w:val="center"/>
        <w:rPr>
          <w:rFonts w:ascii="Times New Roman" w:eastAsia="PMingLiU" w:hAnsi="Times New Roman" w:cs="Times New Roman"/>
          <w:b/>
          <w:bCs/>
          <w:color w:val="000000"/>
        </w:rPr>
      </w:pPr>
      <w:r w:rsidRPr="00DA00B2">
        <w:rPr>
          <w:rFonts w:ascii="Times New Roman" w:eastAsia="PMingLiU" w:hAnsi="Times New Roman" w:cs="Times New Roman"/>
          <w:b/>
          <w:bCs/>
          <w:color w:val="000000"/>
        </w:rPr>
        <w:t>A Facile Green Synthesis of Polyethyleneimine-Functionalized Graphene Oxide Frameworks with Enhanced CO₂ Capture and Selectivity</w:t>
      </w:r>
    </w:p>
    <w:p w14:paraId="5A2A37D4" w14:textId="170B8A68" w:rsidR="00DA00B2" w:rsidRPr="00DA00B2" w:rsidRDefault="00DA00B2" w:rsidP="00DA00B2">
      <w:pPr>
        <w:spacing w:line="480" w:lineRule="auto"/>
        <w:jc w:val="both"/>
        <w:rPr>
          <w:rFonts w:ascii="Times New Roman" w:eastAsia="PMingLiU" w:hAnsi="Times New Roman" w:cs="Times New Roman"/>
          <w:color w:val="000000"/>
        </w:rPr>
      </w:pPr>
      <w:r w:rsidRPr="00DA00B2">
        <w:rPr>
          <w:rFonts w:ascii="Times New Roman" w:eastAsia="PMingLiU" w:hAnsi="Times New Roman" w:cs="Times New Roman"/>
          <w:i/>
          <w:iCs/>
          <w:color w:val="000000"/>
        </w:rPr>
        <w:t>Mohamed Hammad Elsayed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1*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 xml:space="preserve">, </w:t>
      </w:r>
      <w:proofErr w:type="spellStart"/>
      <w:r w:rsidRPr="00DA00B2">
        <w:rPr>
          <w:rFonts w:ascii="Times New Roman" w:eastAsia="PMingLiU" w:hAnsi="Times New Roman" w:cs="Times New Roman"/>
          <w:i/>
          <w:iCs/>
          <w:color w:val="000000"/>
        </w:rPr>
        <w:t>Emtenan</w:t>
      </w:r>
      <w:proofErr w:type="spellEnd"/>
      <w:r w:rsidRPr="00DA00B2">
        <w:rPr>
          <w:rFonts w:ascii="Times New Roman" w:eastAsia="PMingLiU" w:hAnsi="Times New Roman" w:cs="Times New Roman"/>
          <w:i/>
          <w:iCs/>
          <w:color w:val="000000"/>
        </w:rPr>
        <w:t xml:space="preserve"> </w:t>
      </w:r>
      <w:proofErr w:type="spellStart"/>
      <w:r w:rsidRPr="00DA00B2">
        <w:rPr>
          <w:rFonts w:ascii="Times New Roman" w:eastAsia="PMingLiU" w:hAnsi="Times New Roman" w:cs="Times New Roman"/>
          <w:i/>
          <w:iCs/>
          <w:color w:val="000000"/>
        </w:rPr>
        <w:t>Almukhtar</w:t>
      </w:r>
      <w:proofErr w:type="spellEnd"/>
      <w:r w:rsidRPr="00DA00B2">
        <w:rPr>
          <w:rFonts w:ascii="Times New Roman" w:eastAsia="PMingLiU" w:hAnsi="Times New Roman" w:cs="Times New Roman"/>
          <w:i/>
          <w:iCs/>
          <w:color w:val="000000"/>
        </w:rPr>
        <w:t xml:space="preserve"> Alshanqiti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1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, Mohamed M. Elsenety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1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, Islam M. A. Mekhemer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1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, Mahmoud Kamal Hussien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1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, Rahaf H. H. Al-Otaibi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2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, Ahmed F. Saber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1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, Ho-Hsiu Chou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3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,</w:t>
      </w:r>
      <w:r w:rsidRPr="00DA00B2">
        <w:rPr>
          <w:rFonts w:ascii="Arial" w:eastAsia="PMingLiU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 xml:space="preserve">Mahmoud </w:t>
      </w:r>
      <w:r w:rsidR="004C2D98">
        <w:rPr>
          <w:rFonts w:ascii="Times New Roman" w:eastAsia="PMingLiU" w:hAnsi="Times New Roman" w:cs="Times New Roman"/>
          <w:i/>
          <w:iCs/>
          <w:color w:val="000000"/>
        </w:rPr>
        <w:t xml:space="preserve">M. 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Abdelnaby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>1*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>.</w:t>
      </w:r>
    </w:p>
    <w:p w14:paraId="20ACB13C" w14:textId="77777777" w:rsidR="00DA00B2" w:rsidRPr="00DA00B2" w:rsidRDefault="00DA00B2" w:rsidP="00DA00B2">
      <w:pPr>
        <w:spacing w:line="480" w:lineRule="auto"/>
        <w:rPr>
          <w:rFonts w:ascii="Times New Roman" w:eastAsia="PMingLiU" w:hAnsi="Times New Roman" w:cs="Times New Roman"/>
          <w:color w:val="000000"/>
        </w:rPr>
      </w:pPr>
    </w:p>
    <w:p w14:paraId="1C180FE2" w14:textId="77777777" w:rsidR="00DA00B2" w:rsidRPr="00DA00B2" w:rsidRDefault="00DA00B2" w:rsidP="00DA00B2">
      <w:pPr>
        <w:spacing w:line="480" w:lineRule="auto"/>
        <w:rPr>
          <w:rFonts w:ascii="Times New Roman" w:eastAsia="PMingLiU" w:hAnsi="Times New Roman" w:cs="Times New Roman"/>
          <w:color w:val="000000"/>
        </w:rPr>
      </w:pPr>
      <w:r w:rsidRPr="00DA00B2">
        <w:rPr>
          <w:rFonts w:ascii="Times New Roman" w:eastAsia="PMingLiU" w:hAnsi="Times New Roman" w:cs="Times New Roman"/>
          <w:color w:val="000000"/>
          <w:vertAlign w:val="superscript"/>
        </w:rPr>
        <w:t>1</w:t>
      </w:r>
      <w:r w:rsidRPr="00DA00B2">
        <w:rPr>
          <w:rFonts w:ascii="Times New Roman" w:eastAsia="PMingLiU" w:hAnsi="Times New Roman" w:cs="Times New Roman"/>
          <w:color w:val="000000"/>
        </w:rPr>
        <w:t xml:space="preserve">Interdisciplinary Research </w:t>
      </w:r>
      <w:proofErr w:type="spellStart"/>
      <w:r w:rsidRPr="00DA00B2">
        <w:rPr>
          <w:rFonts w:ascii="Times New Roman" w:eastAsia="PMingLiU" w:hAnsi="Times New Roman" w:cs="Times New Roman"/>
          <w:color w:val="000000"/>
        </w:rPr>
        <w:t>Center</w:t>
      </w:r>
      <w:proofErr w:type="spellEnd"/>
      <w:r w:rsidRPr="00DA00B2">
        <w:rPr>
          <w:rFonts w:ascii="Times New Roman" w:eastAsia="PMingLiU" w:hAnsi="Times New Roman" w:cs="Times New Roman"/>
          <w:color w:val="000000"/>
        </w:rPr>
        <w:t xml:space="preserve"> for Hydrogen Technologies and Carbon Management, King Fahd University of Petroleum &amp; Minerals, Dhahran 31261, Saudi Arabia</w:t>
      </w:r>
    </w:p>
    <w:p w14:paraId="622616B5" w14:textId="77777777" w:rsidR="00DA00B2" w:rsidRPr="00DA00B2" w:rsidRDefault="00DA00B2" w:rsidP="00DA00B2">
      <w:pPr>
        <w:spacing w:line="480" w:lineRule="auto"/>
        <w:rPr>
          <w:rFonts w:ascii="Times New Roman" w:eastAsia="PMingLiU" w:hAnsi="Times New Roman" w:cs="Times New Roman"/>
          <w:color w:val="000000"/>
        </w:rPr>
      </w:pPr>
      <w:r w:rsidRPr="00DA00B2">
        <w:rPr>
          <w:rFonts w:ascii="Times New Roman" w:eastAsia="PMingLiU" w:hAnsi="Times New Roman" w:cs="Times New Roman"/>
          <w:color w:val="000000"/>
          <w:vertAlign w:val="superscript"/>
        </w:rPr>
        <w:t>2</w:t>
      </w:r>
      <w:r w:rsidRPr="00DA00B2">
        <w:rPr>
          <w:rFonts w:ascii="Times New Roman" w:eastAsia="PMingLiU" w:hAnsi="Times New Roman" w:cs="Times New Roman"/>
          <w:color w:val="000000"/>
        </w:rPr>
        <w:t>Chemistry Department, King Fahd University of Petroleum &amp; Minerals, Dhahran 31261, Saudi Arabia</w:t>
      </w:r>
    </w:p>
    <w:p w14:paraId="6A421423" w14:textId="77777777" w:rsidR="00DA00B2" w:rsidRPr="00DA00B2" w:rsidRDefault="00DA00B2" w:rsidP="00DA00B2">
      <w:pPr>
        <w:spacing w:line="480" w:lineRule="auto"/>
        <w:rPr>
          <w:rFonts w:ascii="Times New Roman" w:eastAsia="PMingLiU" w:hAnsi="Times New Roman" w:cs="Times New Roman"/>
          <w:color w:val="000000"/>
        </w:rPr>
      </w:pPr>
      <w:r w:rsidRPr="00DA00B2">
        <w:rPr>
          <w:rFonts w:ascii="Times New Roman" w:eastAsia="PMingLiU" w:hAnsi="Times New Roman" w:cs="Times New Roman"/>
          <w:color w:val="000000"/>
          <w:vertAlign w:val="superscript"/>
        </w:rPr>
        <w:t>3</w:t>
      </w:r>
      <w:r w:rsidRPr="00DA00B2">
        <w:rPr>
          <w:rFonts w:ascii="Times New Roman" w:eastAsia="PMingLiU" w:hAnsi="Times New Roman" w:cs="Times New Roman"/>
          <w:color w:val="000000"/>
        </w:rPr>
        <w:t>Department of Chemical Engineering, National Tsing Hua University, Hsinchu, 30013, Taiwan</w:t>
      </w:r>
    </w:p>
    <w:p w14:paraId="040B829F" w14:textId="77777777" w:rsidR="00DA00B2" w:rsidRPr="00DA00B2" w:rsidRDefault="00DA00B2" w:rsidP="00DA00B2">
      <w:pPr>
        <w:spacing w:line="480" w:lineRule="auto"/>
        <w:rPr>
          <w:rFonts w:ascii="Times New Roman" w:eastAsia="PMingLiU" w:hAnsi="Times New Roman" w:cs="Times New Roman"/>
          <w:color w:val="000000"/>
        </w:rPr>
      </w:pPr>
    </w:p>
    <w:p w14:paraId="489EC38F" w14:textId="77777777" w:rsidR="00DA00B2" w:rsidRPr="00DA00B2" w:rsidRDefault="00DA00B2" w:rsidP="00DA00B2">
      <w:pPr>
        <w:spacing w:line="480" w:lineRule="auto"/>
        <w:rPr>
          <w:rFonts w:ascii="Times New Roman" w:eastAsia="PMingLiU" w:hAnsi="Times New Roman" w:cs="Times New Roman"/>
          <w:i/>
          <w:iCs/>
          <w:color w:val="000000"/>
        </w:rPr>
      </w:pPr>
      <w:r w:rsidRPr="00DA00B2">
        <w:rPr>
          <w:rFonts w:ascii="Times New Roman" w:eastAsia="PMingLiU" w:hAnsi="Times New Roman" w:cs="Times New Roman"/>
          <w:color w:val="000000"/>
        </w:rPr>
        <w:t xml:space="preserve">Corresponding Authors:  </w:t>
      </w:r>
      <w:r w:rsidRPr="00DA00B2">
        <w:rPr>
          <w:rFonts w:ascii="Times New Roman" w:eastAsia="PMingLiU" w:hAnsi="Times New Roman" w:cs="Times New Roman"/>
          <w:i/>
          <w:iCs/>
          <w:color w:val="000000"/>
        </w:rPr>
        <w:t xml:space="preserve">Mohamed Hammad Elsayed, </w:t>
      </w:r>
      <w:hyperlink r:id="rId7" w:history="1">
        <w:r w:rsidRPr="00DA00B2">
          <w:rPr>
            <w:rFonts w:ascii="Times New Roman" w:eastAsia="PMingLiU" w:hAnsi="Times New Roman" w:cs="Times New Roman"/>
            <w:i/>
            <w:iCs/>
            <w:color w:val="000000"/>
            <w:u w:val="single"/>
          </w:rPr>
          <w:t>Mohamed.ahmed.2@kfupm.edu.sa</w:t>
        </w:r>
      </w:hyperlink>
      <w:r w:rsidRPr="00DA00B2">
        <w:rPr>
          <w:rFonts w:ascii="Times New Roman" w:eastAsia="PMingLiU" w:hAnsi="Times New Roman" w:cs="Times New Roman"/>
          <w:i/>
          <w:iCs/>
          <w:color w:val="000000"/>
        </w:rPr>
        <w:t xml:space="preserve"> </w:t>
      </w:r>
    </w:p>
    <w:p w14:paraId="0DC12ED4" w14:textId="77777777" w:rsidR="00DA00B2" w:rsidRPr="00DA00B2" w:rsidRDefault="00DA00B2" w:rsidP="00DA00B2">
      <w:pPr>
        <w:spacing w:line="480" w:lineRule="auto"/>
        <w:contextualSpacing/>
        <w:jc w:val="both"/>
        <w:rPr>
          <w:rFonts w:ascii="Aptos" w:eastAsia="PMingLiU" w:hAnsi="Aptos" w:cs="Arial"/>
          <w:color w:val="000000"/>
        </w:rPr>
      </w:pPr>
      <w:r w:rsidRPr="00DA00B2">
        <w:rPr>
          <w:rFonts w:ascii="Times New Roman" w:eastAsia="PMingLiU" w:hAnsi="Times New Roman" w:cs="Times New Roman"/>
          <w:i/>
          <w:iCs/>
          <w:color w:val="000000"/>
        </w:rPr>
        <w:t>Mahmoud Abdelnaby</w:t>
      </w:r>
      <w:r w:rsidRPr="00DA00B2">
        <w:rPr>
          <w:rFonts w:ascii="Times New Roman" w:eastAsia="PMingLiU" w:hAnsi="Times New Roman" w:cs="Times New Roman"/>
          <w:i/>
          <w:iCs/>
          <w:color w:val="000000"/>
          <w:vertAlign w:val="superscript"/>
        </w:rPr>
        <w:t xml:space="preserve">, </w:t>
      </w:r>
      <w:hyperlink r:id="rId8" w:history="1">
        <w:r w:rsidRPr="00DA00B2">
          <w:rPr>
            <w:rFonts w:ascii="Times New Roman" w:eastAsia="PMingLiU" w:hAnsi="Times New Roman" w:cs="Times New Roman"/>
            <w:i/>
            <w:iCs/>
            <w:color w:val="000000"/>
            <w:u w:val="single"/>
          </w:rPr>
          <w:t>mahmoudm@kfupm.edu.sa</w:t>
        </w:r>
      </w:hyperlink>
    </w:p>
    <w:p w14:paraId="64447493" w14:textId="77777777" w:rsidR="002B1CD2" w:rsidRDefault="002B1CD2" w:rsidP="00E57BC7">
      <w:pP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74CCDEB5" w14:textId="77777777" w:rsidR="002B1CD2" w:rsidRDefault="002B1CD2" w:rsidP="00E57BC7">
      <w:pP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03DFDC9A" w14:textId="77777777" w:rsidR="002B1CD2" w:rsidRDefault="002B1CD2" w:rsidP="00E57BC7">
      <w:pP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3829E6B0" w14:textId="77777777" w:rsidR="002B1CD2" w:rsidRDefault="002B1CD2" w:rsidP="00E57BC7">
      <w:pP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1F82B8F7" w14:textId="0B5559FD" w:rsidR="00166C9F" w:rsidRPr="00AF1912" w:rsidRDefault="002F297A" w:rsidP="00AF1912">
      <w:pPr>
        <w:pStyle w:val="ListParagraph"/>
        <w:numPr>
          <w:ilvl w:val="1"/>
          <w:numId w:val="4"/>
        </w:numPr>
        <w:bidi w:val="0"/>
        <w:spacing w:line="360" w:lineRule="auto"/>
        <w:jc w:val="both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304C35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lastRenderedPageBreak/>
        <w:t>Synthesis</w:t>
      </w:r>
    </w:p>
    <w:p w14:paraId="43163BD4" w14:textId="1C53B436" w:rsidR="00166C9F" w:rsidRPr="00BC41B0" w:rsidRDefault="00166C9F" w:rsidP="00BC41B0">
      <w:pPr>
        <w:pStyle w:val="ListParagraph"/>
        <w:numPr>
          <w:ilvl w:val="1"/>
          <w:numId w:val="5"/>
        </w:numPr>
        <w:bidi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C41B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G</w:t>
      </w:r>
      <w:r w:rsidR="00BC41B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raphene Oxide (GO)</w:t>
      </w:r>
    </w:p>
    <w:p w14:paraId="343F2337" w14:textId="2C5D0D83" w:rsidR="00166C9F" w:rsidRPr="00166C9F" w:rsidRDefault="00166C9F" w:rsidP="00D215A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</w:pPr>
      <w:r w:rsidRPr="00166C9F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Graphene oxide (GO) was synthesized from graphite powder using a modified Hummers method (</w:t>
      </w:r>
      <w:r w:rsidRPr="00D215AF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US"/>
          <w14:ligatures w14:val="none"/>
        </w:rPr>
        <w:t>Scheme S1</w:t>
      </w:r>
      <w:r w:rsidRPr="00166C9F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). Initially, graphite powder (1.0 g) was thoroughly ground in a mortar to ensure good dispersion. A mixed acid solution was prepared by combining concentrated sulfuric acid (H₂SO₄, 120 mL) and phosphoric acid (H₃PO₄, 17 mL) in a 300 m glass beaker under stirring in an ice bath. The ground graphite was then slowly added to the acid mixture while maintaining the temperature at 0 °C. While keeping the suspension in the ice bath under continuous stirring, potassium permanganate (</w:t>
      </w:r>
      <w:proofErr w:type="spellStart"/>
      <w:r w:rsidRPr="00166C9F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KMnO</w:t>
      </w:r>
      <w:proofErr w:type="spellEnd"/>
      <w:r w:rsidRPr="00166C9F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 xml:space="preserve">₄, 6.0 g) was added gradually in small portions to avoid a rapid temperature rise. After the complete addition of </w:t>
      </w:r>
      <w:proofErr w:type="spellStart"/>
      <w:r w:rsidRPr="00166C9F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KMnO</w:t>
      </w:r>
      <w:proofErr w:type="spellEnd"/>
      <w:r w:rsidRPr="00166C9F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₄, the reaction mixture was heated to 50 °C and stirred overnight. The resulting viscous mixture was subsequently cooled to room temperature and carefully poured onto 400 mL of ice containing 3 mL of 30% hydrogen peroxide (H₂O₂), resulting in a bright yellow dispersion. The suspension was divided into capped centrifuge tubes and centrifuged at 9300 rpm for 5 min, and the supernatant was discarded. The obtained solid was washed successively with deionized water (5 × 500 mL) and ethanol (5 × 500 mL). After each washing step, the material was centrifuged and the supernatant was removed as described above. Finally, the purified solid was dried in an oven at 70 °C overnight to obtain graphene oxide.</w:t>
      </w:r>
    </w:p>
    <w:p w14:paraId="7536C6B9" w14:textId="77777777" w:rsidR="00166C9F" w:rsidRDefault="00166C9F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</w:pPr>
      <w:r w:rsidRPr="00166C9F">
        <w:rPr>
          <w:rFonts w:ascii="Times New Roman" w:eastAsia="Times New Roman" w:hAnsi="Times New Roman" w:cs="Times New Roman"/>
          <w:noProof/>
          <w:color w:val="000000"/>
          <w:kern w:val="0"/>
          <w:lang w:val="en-US" w:eastAsia="en-US"/>
          <w14:ligatures w14:val="none"/>
        </w:rPr>
        <w:drawing>
          <wp:inline distT="0" distB="0" distL="0" distR="0" wp14:anchorId="11D278D0" wp14:editId="5ECADFD0">
            <wp:extent cx="5266706" cy="2952067"/>
            <wp:effectExtent l="0" t="0" r="0" b="1270"/>
            <wp:docPr id="1936512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985" cy="2966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72ADED" w14:textId="32A7D1AB" w:rsidR="00166C9F" w:rsidRPr="00166C9F" w:rsidRDefault="001C0200" w:rsidP="002B1CD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</w:pPr>
      <w:r w:rsidRPr="001C020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US"/>
          <w14:ligatures w14:val="none"/>
        </w:rPr>
        <w:t>Scheme S1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: Synthesis procedure of GO</w:t>
      </w:r>
    </w:p>
    <w:p w14:paraId="37874DB7" w14:textId="08DC1D48" w:rsidR="00166C9F" w:rsidRPr="00BC41B0" w:rsidRDefault="00166C9F" w:rsidP="00BC41B0">
      <w:pPr>
        <w:pStyle w:val="ListParagraph"/>
        <w:numPr>
          <w:ilvl w:val="1"/>
          <w:numId w:val="5"/>
        </w:numPr>
        <w:bidi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C41B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lastRenderedPageBreak/>
        <w:t>GO-</w:t>
      </w:r>
      <w:proofErr w:type="spellStart"/>
      <w:r w:rsidRPr="00BC41B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COCl</w:t>
      </w:r>
      <w:proofErr w:type="spellEnd"/>
    </w:p>
    <w:p w14:paraId="5CBD3F8B" w14:textId="401CBC10" w:rsidR="00166C9F" w:rsidRPr="00166C9F" w:rsidRDefault="00166C9F" w:rsidP="00166C9F">
      <w:pPr>
        <w:spacing w:line="360" w:lineRule="auto"/>
        <w:jc w:val="both"/>
        <w:rPr>
          <w:rFonts w:ascii="Times New Roman" w:eastAsia="Aptos" w:hAnsi="Times New Roman" w:cs="Times New Roman"/>
          <w:color w:val="000000"/>
          <w:lang w:val="en-US" w:eastAsia="en-US"/>
        </w:rPr>
      </w:pPr>
      <w:r w:rsidRPr="00166C9F">
        <w:rPr>
          <w:rFonts w:ascii="Times New Roman" w:eastAsia="Aptos" w:hAnsi="Times New Roman" w:cs="Times New Roman"/>
          <w:color w:val="000000"/>
          <w:lang w:val="en-US" w:eastAsia="en-US"/>
        </w:rPr>
        <w:t>A sample of graphene oxide (GO, 0.20 g) was transferred into a 100 mL round-bottom flask, and thionyl chloride (</w:t>
      </w:r>
      <w:proofErr w:type="spellStart"/>
      <w:r w:rsidRPr="00166C9F">
        <w:rPr>
          <w:rFonts w:ascii="Times New Roman" w:eastAsia="Aptos" w:hAnsi="Times New Roman" w:cs="Times New Roman"/>
          <w:color w:val="000000"/>
          <w:lang w:val="en-US" w:eastAsia="en-US"/>
        </w:rPr>
        <w:t>SOCl</w:t>
      </w:r>
      <w:proofErr w:type="spellEnd"/>
      <w:r w:rsidRPr="00166C9F">
        <w:rPr>
          <w:rFonts w:ascii="Times New Roman" w:eastAsia="Aptos" w:hAnsi="Times New Roman" w:cs="Times New Roman"/>
          <w:color w:val="000000"/>
          <w:lang w:val="en-US" w:eastAsia="en-US"/>
        </w:rPr>
        <w:t>₂, 40 mL) was added to the flask under ambient conditions</w:t>
      </w:r>
      <w:r w:rsidR="00EF44AB">
        <w:rPr>
          <w:rFonts w:ascii="Times New Roman" w:eastAsia="Aptos" w:hAnsi="Times New Roman" w:cs="Times New Roman"/>
          <w:color w:val="000000"/>
          <w:lang w:val="en-US" w:eastAsia="en-US"/>
        </w:rPr>
        <w:t xml:space="preserve"> (</w:t>
      </w:r>
      <w:r w:rsidR="00EF44AB" w:rsidRPr="00EF44AB">
        <w:rPr>
          <w:rFonts w:ascii="Times New Roman" w:eastAsia="Aptos" w:hAnsi="Times New Roman" w:cs="Times New Roman"/>
          <w:b/>
          <w:bCs/>
          <w:color w:val="000000"/>
          <w:lang w:val="en-US" w:eastAsia="en-US"/>
        </w:rPr>
        <w:t xml:space="preserve">Scheme </w:t>
      </w:r>
      <w:r w:rsidR="00EF44AB">
        <w:rPr>
          <w:rFonts w:ascii="Times New Roman" w:eastAsia="Aptos" w:hAnsi="Times New Roman" w:cs="Times New Roman"/>
          <w:b/>
          <w:bCs/>
          <w:color w:val="000000"/>
          <w:lang w:val="en-US" w:eastAsia="en-US"/>
        </w:rPr>
        <w:t>S</w:t>
      </w:r>
      <w:r w:rsidR="00EF44AB" w:rsidRPr="00EF44AB">
        <w:rPr>
          <w:rFonts w:ascii="Times New Roman" w:eastAsia="Aptos" w:hAnsi="Times New Roman" w:cs="Times New Roman"/>
          <w:b/>
          <w:bCs/>
          <w:color w:val="000000"/>
          <w:lang w:val="en-US" w:eastAsia="en-US"/>
        </w:rPr>
        <w:t>2</w:t>
      </w:r>
      <w:r w:rsidR="00EF44AB">
        <w:rPr>
          <w:rFonts w:ascii="Times New Roman" w:eastAsia="Aptos" w:hAnsi="Times New Roman" w:cs="Times New Roman"/>
          <w:color w:val="000000"/>
          <w:lang w:val="en-US" w:eastAsia="en-US"/>
        </w:rPr>
        <w:t>)</w:t>
      </w:r>
      <w:r w:rsidRPr="00166C9F">
        <w:rPr>
          <w:rFonts w:ascii="Times New Roman" w:eastAsia="Aptos" w:hAnsi="Times New Roman" w:cs="Times New Roman"/>
          <w:color w:val="000000"/>
          <w:lang w:val="en-US" w:eastAsia="en-US"/>
        </w:rPr>
        <w:t xml:space="preserve">. The mixture was subjected to ultrasonic agitation for 30 min to ensure thorough dispersion of GO in the reagent. Subsequently, the resulting suspension was heated to reflux at 80 °C and maintained under these conditions for 24 h with continuous stirring. After cooling to room temperature, the solid product was collected by filtration and washed repeatedly with anhydrous tetrahydrofuran to remove excess </w:t>
      </w:r>
      <w:proofErr w:type="spellStart"/>
      <w:r w:rsidRPr="00166C9F">
        <w:rPr>
          <w:rFonts w:ascii="Times New Roman" w:eastAsia="Aptos" w:hAnsi="Times New Roman" w:cs="Times New Roman"/>
          <w:color w:val="000000"/>
          <w:lang w:val="en-US" w:eastAsia="en-US"/>
        </w:rPr>
        <w:t>SOCl</w:t>
      </w:r>
      <w:proofErr w:type="spellEnd"/>
      <w:r w:rsidRPr="00166C9F">
        <w:rPr>
          <w:rFonts w:ascii="Times New Roman" w:eastAsia="Aptos" w:hAnsi="Times New Roman" w:cs="Times New Roman"/>
          <w:color w:val="000000"/>
          <w:lang w:val="en-US" w:eastAsia="en-US"/>
        </w:rPr>
        <w:t>₂ and soluble by-products. Finally, the material was dried at room temperature to afford the thionyl chloride-treated GO, which was used directly in subsequent functionalization steps.</w:t>
      </w:r>
    </w:p>
    <w:p w14:paraId="633B9E12" w14:textId="77777777" w:rsidR="00166C9F" w:rsidRDefault="00166C9F" w:rsidP="00166C9F">
      <w:pPr>
        <w:spacing w:line="360" w:lineRule="auto"/>
        <w:jc w:val="both"/>
        <w:rPr>
          <w:rFonts w:ascii="Times New Roman" w:eastAsia="Aptos" w:hAnsi="Times New Roman" w:cs="Times New Roman"/>
          <w:color w:val="000000"/>
          <w:lang w:val="en-US" w:eastAsia="en-US"/>
        </w:rPr>
      </w:pPr>
      <w:r w:rsidRPr="00166C9F">
        <w:rPr>
          <w:rFonts w:ascii="Times New Roman" w:eastAsia="Aptos" w:hAnsi="Times New Roman" w:cs="Times New Roman"/>
          <w:noProof/>
          <w:color w:val="000000"/>
          <w:lang w:val="en-US" w:eastAsia="en-US"/>
        </w:rPr>
        <w:drawing>
          <wp:inline distT="0" distB="0" distL="0" distR="0" wp14:anchorId="67FEA023" wp14:editId="032C8A86">
            <wp:extent cx="5272644" cy="2944684"/>
            <wp:effectExtent l="0" t="0" r="4445" b="8255"/>
            <wp:docPr id="12307108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864" cy="2953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804FD1" w14:textId="33700A12" w:rsidR="001C0200" w:rsidRPr="00DD64D7" w:rsidRDefault="001C0200" w:rsidP="00DD64D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</w:pPr>
      <w:r w:rsidRPr="001C0200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US"/>
          <w14:ligatures w14:val="none"/>
        </w:rPr>
        <w:t>Scheme S</w:t>
      </w:r>
      <w:r w:rsidR="00DD64D7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US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: Synthesis procedure of GO (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COC</w:t>
      </w:r>
      <w:r w:rsidR="00DD64D7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l</w:t>
      </w:r>
      <w:proofErr w:type="spellEnd"/>
      <w:r w:rsidR="00DD64D7">
        <w:rPr>
          <w:rFonts w:ascii="Times New Roman" w:eastAsia="Times New Roman" w:hAnsi="Times New Roman" w:cs="Times New Roman"/>
          <w:color w:val="000000"/>
          <w:kern w:val="0"/>
          <w:lang w:val="en-US" w:eastAsia="en-US"/>
          <w14:ligatures w14:val="none"/>
        </w:rPr>
        <w:t>)</w:t>
      </w:r>
    </w:p>
    <w:p w14:paraId="3A379669" w14:textId="7F5BF997" w:rsidR="00E2708A" w:rsidRPr="008E52B1" w:rsidRDefault="00E2708A" w:rsidP="008E52B1">
      <w:pPr>
        <w:pStyle w:val="ListParagraph"/>
        <w:numPr>
          <w:ilvl w:val="1"/>
          <w:numId w:val="5"/>
        </w:numPr>
        <w:bidi w:val="0"/>
        <w:spacing w:line="360" w:lineRule="auto"/>
        <w:jc w:val="both"/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</w:pPr>
      <w:r w:rsidRPr="008E52B1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t>CO</w:t>
      </w:r>
      <w:r w:rsidRPr="00D215AF">
        <w:rPr>
          <w:rFonts w:asciiTheme="majorBidi" w:eastAsia="Times New Roman" w:hAnsiTheme="majorBidi" w:cstheme="majorBidi"/>
          <w:b/>
          <w:bCs/>
          <w:color w:val="000000" w:themeColor="text1"/>
          <w:kern w:val="0"/>
          <w:vertAlign w:val="subscript"/>
          <w14:ligatures w14:val="none"/>
        </w:rPr>
        <w:t>2</w:t>
      </w:r>
      <w:r w:rsidRPr="008E52B1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t xml:space="preserve"> Adsorption Measurements</w:t>
      </w:r>
    </w:p>
    <w:p w14:paraId="07879D09" w14:textId="558911AD" w:rsidR="009F39E3" w:rsidRPr="009F39E3" w:rsidRDefault="00E2708A" w:rsidP="009F39E3">
      <w:pPr>
        <w:widowControl w:val="0"/>
        <w:spacing w:after="0" w:line="360" w:lineRule="auto"/>
        <w:jc w:val="both"/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</w:pPr>
      <w:r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CO</w:t>
      </w:r>
      <w:r w:rsidRPr="00D215AF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and N</w:t>
      </w:r>
      <w:r w:rsidRPr="00D215AF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adsorption isotherms were obtained volumetrically using a </w:t>
      </w:r>
      <w:proofErr w:type="spellStart"/>
      <w:r w:rsidRPr="00C50117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Quantachrome</w:t>
      </w:r>
      <w:proofErr w:type="spellEnd"/>
      <w:r w:rsidRPr="00C50117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Instrument (</w:t>
      </w:r>
      <w:proofErr w:type="spellStart"/>
      <w:r w:rsidRPr="00C50117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Quadrasorb</w:t>
      </w:r>
      <w:proofErr w:type="spellEnd"/>
      <w:r w:rsidRPr="00C50117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SI)</w:t>
      </w:r>
      <w:r w:rsidR="00EF44A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(</w:t>
      </w:r>
      <w:r w:rsidR="00EF44AB" w:rsidRPr="00EF44AB">
        <w:rPr>
          <w:rFonts w:asciiTheme="majorBidi" w:eastAsia="PMingLiU" w:hAnsiTheme="majorBidi" w:cstheme="majorBidi"/>
          <w:b/>
          <w:bCs/>
          <w:color w:val="000000" w:themeColor="text1"/>
          <w:lang w:val="en-US"/>
          <w14:ligatures w14:val="none"/>
        </w:rPr>
        <w:t xml:space="preserve">Scheme </w:t>
      </w:r>
      <w:r w:rsidR="00EF44AB">
        <w:rPr>
          <w:rFonts w:asciiTheme="majorBidi" w:eastAsia="PMingLiU" w:hAnsiTheme="majorBidi" w:cstheme="majorBidi"/>
          <w:b/>
          <w:bCs/>
          <w:color w:val="000000" w:themeColor="text1"/>
          <w:lang w:val="en-US"/>
          <w14:ligatures w14:val="none"/>
        </w:rPr>
        <w:t>S</w:t>
      </w:r>
      <w:r w:rsidR="00EF44AB" w:rsidRPr="00EF44AB">
        <w:rPr>
          <w:rFonts w:asciiTheme="majorBidi" w:eastAsia="PMingLiU" w:hAnsiTheme="majorBidi" w:cstheme="majorBidi"/>
          <w:b/>
          <w:bCs/>
          <w:color w:val="000000" w:themeColor="text1"/>
          <w:lang w:val="en-US"/>
          <w14:ligatures w14:val="none"/>
        </w:rPr>
        <w:t>3</w:t>
      </w:r>
      <w:r w:rsidR="00EF44A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)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. Measurements were performed at </w:t>
      </w:r>
      <w:r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273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K, with temperature regulation achieved using </w:t>
      </w:r>
      <w:r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water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baths, over a pressure range of 0-1 bar. Prior to data collection, the sample was degassed under dynamic vacuum at 1</w:t>
      </w:r>
      <w:r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0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0 </w:t>
      </w:r>
      <w:r w:rsidRPr="002226CB">
        <w:rPr>
          <w:rFonts w:asciiTheme="majorBidi" w:eastAsia="PMingLiU" w:hAnsiTheme="majorBidi" w:cstheme="majorBidi"/>
          <w:color w:val="000000" w:themeColor="text1"/>
          <w:vertAlign w:val="superscript"/>
          <w:lang w:val="en-US"/>
          <w14:ligatures w14:val="none"/>
        </w:rPr>
        <w:t>°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C for </w:t>
      </w:r>
      <w:r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3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hours to ensure the complete removal of guest molecules and residual solvent species. The quantity of adsorbed </w:t>
      </w:r>
      <w:r w:rsidR="000A1C40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gas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was determined from pressure–volume–temperature (PVT) data following dead-volume calibration and systematic correction, </w:t>
      </w:r>
      <w:r w:rsidRPr="002226CB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lastRenderedPageBreak/>
        <w:t>employing the volumetric gas expansion method.</w:t>
      </w:r>
      <w:r w:rsidR="009F39E3" w:rsidRPr="009F39E3">
        <w:t xml:space="preserve"> </w:t>
      </w:r>
      <w:r w:rsidR="009F39E3"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Based on the obtained isotherms, CO</w:t>
      </w:r>
      <w:r w:rsidR="009F39E3" w:rsidRPr="009F39E3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="009F39E3"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/N</w:t>
      </w:r>
      <w:r w:rsidR="009F39E3" w:rsidRPr="009F39E3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="009F39E3"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selectivity was computed using ideal adsorbed solution theory (IAST, S1/2) for a standard post-combustion flue gas system composed of 15% CO</w:t>
      </w:r>
      <w:r w:rsidR="009F39E3" w:rsidRPr="009F39E3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="009F39E3"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and 85% N</w:t>
      </w:r>
      <w:r w:rsidR="009F39E3" w:rsidRPr="009F39E3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="009F39E3"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, following the next equation.</w:t>
      </w:r>
    </w:p>
    <w:p w14:paraId="78A00AF4" w14:textId="0BD7B3D9" w:rsidR="009F39E3" w:rsidRPr="009F39E3" w:rsidRDefault="009F39E3" w:rsidP="009F39E3">
      <w:pPr>
        <w:widowControl w:val="0"/>
        <w:spacing w:after="0" w:line="360" w:lineRule="auto"/>
        <w:jc w:val="both"/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</w:pP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S</w:t>
      </w:r>
      <w:r w:rsidRPr="00166FF6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1/2</w:t>
      </w:r>
      <w:r w:rsidR="003A205F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 xml:space="preserve"> 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=</w:t>
      </w:r>
      <w:r w:rsidR="003A205F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(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n</w:t>
      </w:r>
      <w:r w:rsidRPr="00166FF6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1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/n</w:t>
      </w:r>
      <w:r w:rsidRPr="00166FF6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="003A205F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)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</w:t>
      </w:r>
      <w:proofErr w:type="gramStart"/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×  </w:t>
      </w:r>
      <w:r w:rsidR="003A205F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(</w:t>
      </w:r>
      <w:proofErr w:type="gramEnd"/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p</w:t>
      </w:r>
      <w:r w:rsidRPr="00166FF6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/p</w:t>
      </w:r>
      <w:r w:rsidRPr="00166FF6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1</w:t>
      </w:r>
      <w:r w:rsidR="003A205F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)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    </w:t>
      </w:r>
      <w:r w:rsidR="003A205F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          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  </w:t>
      </w:r>
      <w:proofErr w:type="gramStart"/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  (</w:t>
      </w:r>
      <w:proofErr w:type="gramEnd"/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1)</w:t>
      </w:r>
    </w:p>
    <w:p w14:paraId="5A4990E9" w14:textId="5DDE7BA6" w:rsidR="00E2708A" w:rsidRDefault="009F39E3" w:rsidP="009F39E3">
      <w:pPr>
        <w:widowControl w:val="0"/>
        <w:spacing w:after="0" w:line="360" w:lineRule="auto"/>
        <w:jc w:val="both"/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</w:pP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In this expression, n</w:t>
      </w:r>
      <w:r w:rsidRPr="003A205F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1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and n</w:t>
      </w:r>
      <w:r w:rsidRPr="003A205F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denote the adsorption capacities (mmol g</w:t>
      </w:r>
      <w:r w:rsidRPr="009F39E3">
        <w:rPr>
          <w:rFonts w:asciiTheme="majorBidi" w:eastAsia="PMingLiU" w:hAnsiTheme="majorBidi" w:cstheme="majorBidi"/>
          <w:color w:val="000000" w:themeColor="text1"/>
          <w:vertAlign w:val="superscript"/>
          <w:lang w:val="en-US"/>
          <w14:ligatures w14:val="none"/>
        </w:rPr>
        <w:t>-1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) of components 1 and 2 at their respective partial pressures, p</w:t>
      </w:r>
      <w:r w:rsidRPr="003A205F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1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and p</w:t>
      </w:r>
      <w:r w:rsidRPr="003A205F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Pr="009F39E3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, in the feed gas.</w:t>
      </w:r>
    </w:p>
    <w:p w14:paraId="53491B3A" w14:textId="77777777" w:rsidR="00E2708A" w:rsidRDefault="00E2708A" w:rsidP="007A42B3">
      <w:pPr>
        <w:spacing w:after="0" w:line="360" w:lineRule="auto"/>
        <w:jc w:val="both"/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</w:pPr>
      <w:r>
        <w:rPr>
          <w:rFonts w:asciiTheme="majorBidi" w:eastAsia="PMingLiU" w:hAnsiTheme="majorBidi" w:cstheme="majorBidi"/>
          <w:noProof/>
          <w:color w:val="000000" w:themeColor="text1"/>
          <w:lang w:val="en-US"/>
          <w14:ligatures w14:val="none"/>
        </w:rPr>
        <w:drawing>
          <wp:inline distT="0" distB="0" distL="0" distR="0" wp14:anchorId="51B8FD8B" wp14:editId="4AD649BA">
            <wp:extent cx="5295865" cy="3182587"/>
            <wp:effectExtent l="0" t="0" r="635" b="0"/>
            <wp:docPr id="6518169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4" cy="320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58CB5" w14:textId="556F01D5" w:rsidR="007A42B3" w:rsidRDefault="00EF44AB" w:rsidP="007A42B3">
      <w:pPr>
        <w:spacing w:after="0" w:line="360" w:lineRule="auto"/>
        <w:jc w:val="both"/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</w:pPr>
      <w:r w:rsidRPr="00EF44AB">
        <w:rPr>
          <w:rFonts w:asciiTheme="majorBidi" w:eastAsia="PMingLiU" w:hAnsiTheme="majorBidi" w:cstheme="majorBidi"/>
          <w:b/>
          <w:bCs/>
          <w:color w:val="000000" w:themeColor="text1"/>
          <w:lang w:val="en-US"/>
          <w14:ligatures w14:val="none"/>
        </w:rPr>
        <w:t xml:space="preserve">Scheme </w:t>
      </w:r>
      <w:r>
        <w:rPr>
          <w:rFonts w:asciiTheme="majorBidi" w:eastAsia="PMingLiU" w:hAnsiTheme="majorBidi" w:cstheme="majorBidi"/>
          <w:b/>
          <w:bCs/>
          <w:color w:val="000000" w:themeColor="text1"/>
          <w:lang w:val="en-US"/>
          <w14:ligatures w14:val="none"/>
        </w:rPr>
        <w:t>S</w:t>
      </w:r>
      <w:r w:rsidRPr="00EF44AB">
        <w:rPr>
          <w:rFonts w:asciiTheme="majorBidi" w:eastAsia="PMingLiU" w:hAnsiTheme="majorBidi" w:cstheme="majorBidi"/>
          <w:b/>
          <w:bCs/>
          <w:color w:val="000000" w:themeColor="text1"/>
          <w:lang w:val="en-US"/>
          <w14:ligatures w14:val="none"/>
        </w:rPr>
        <w:t>3</w:t>
      </w:r>
      <w:r>
        <w:rPr>
          <w:rFonts w:asciiTheme="majorBidi" w:eastAsia="PMingLiU" w:hAnsiTheme="majorBidi" w:cstheme="majorBidi"/>
          <w:b/>
          <w:bCs/>
          <w:color w:val="000000" w:themeColor="text1"/>
          <w:lang w:val="en-US"/>
          <w14:ligatures w14:val="none"/>
        </w:rPr>
        <w:t xml:space="preserve">: </w:t>
      </w:r>
      <w:r w:rsidR="003C1BD4" w:rsidRPr="00C763F4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Schematic diagram of </w:t>
      </w:r>
      <w:r w:rsidR="00C763F4" w:rsidRPr="00C763F4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>CO</w:t>
      </w:r>
      <w:r w:rsidR="00C763F4" w:rsidRPr="00C763F4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="00C763F4" w:rsidRPr="00C763F4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and N</w:t>
      </w:r>
      <w:r w:rsidR="00C763F4" w:rsidRPr="00C763F4">
        <w:rPr>
          <w:rFonts w:asciiTheme="majorBidi" w:eastAsia="PMingLiU" w:hAnsiTheme="majorBidi" w:cstheme="majorBidi"/>
          <w:color w:val="000000" w:themeColor="text1"/>
          <w:vertAlign w:val="subscript"/>
          <w:lang w:val="en-US"/>
          <w14:ligatures w14:val="none"/>
        </w:rPr>
        <w:t>2</w:t>
      </w:r>
      <w:r w:rsidR="00C763F4" w:rsidRPr="00C763F4"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  <w:t xml:space="preserve"> adsorption measurements</w:t>
      </w:r>
    </w:p>
    <w:p w14:paraId="065465D7" w14:textId="77777777" w:rsidR="00882DA1" w:rsidRDefault="00882DA1" w:rsidP="007A42B3">
      <w:pPr>
        <w:spacing w:after="0" w:line="360" w:lineRule="auto"/>
        <w:jc w:val="both"/>
        <w:rPr>
          <w:rFonts w:asciiTheme="majorBidi" w:eastAsia="PMingLiU" w:hAnsiTheme="majorBidi" w:cstheme="majorBidi"/>
          <w:color w:val="000000" w:themeColor="text1"/>
          <w:lang w:val="en-US"/>
          <w14:ligatures w14:val="none"/>
        </w:rPr>
      </w:pPr>
    </w:p>
    <w:p w14:paraId="4A757BA5" w14:textId="446B86FA" w:rsidR="00882DA1" w:rsidRPr="00882DA1" w:rsidRDefault="00882DA1" w:rsidP="00882DA1">
      <w:pPr>
        <w:pStyle w:val="ListParagraph"/>
        <w:numPr>
          <w:ilvl w:val="1"/>
          <w:numId w:val="5"/>
        </w:numPr>
        <w:bidi w:val="0"/>
        <w:spacing w:line="360" w:lineRule="auto"/>
        <w:jc w:val="both"/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</w:pPr>
      <w:r w:rsidRPr="00882DA1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t>Computational Methods</w:t>
      </w:r>
    </w:p>
    <w:p w14:paraId="4CFC5A86" w14:textId="0C39F201" w:rsidR="00882DA1" w:rsidRPr="00882DA1" w:rsidRDefault="00882DA1" w:rsidP="00882DA1">
      <w:pPr>
        <w:spacing w:line="360" w:lineRule="auto"/>
        <w:jc w:val="both"/>
        <w:rPr>
          <w:rFonts w:ascii="Times New Roman" w:eastAsia="Aptos" w:hAnsi="Times New Roman" w:cs="Times New Roman"/>
          <w:color w:val="000000"/>
          <w:lang w:val="en-US" w:eastAsia="en-US"/>
        </w:rPr>
      </w:pPr>
      <w:r w:rsidRPr="00882DA1">
        <w:rPr>
          <w:rFonts w:ascii="Times New Roman" w:eastAsia="Aptos" w:hAnsi="Times New Roman" w:cs="Times New Roman"/>
          <w:lang w:val="en-US" w:eastAsia="en-US"/>
        </w:rPr>
        <w:t>All quantum chemical calculations in this study were performed to elucidate the molecular-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>level interactions between CO</w:t>
      </w:r>
      <w:r w:rsidRPr="00882DA1">
        <w:rPr>
          <w:rFonts w:ascii="Times New Roman" w:eastAsia="Aptos" w:hAnsi="Times New Roman" w:cs="Times New Roman"/>
          <w:color w:val="000000"/>
          <w:vertAlign w:val="subscript"/>
          <w:lang w:val="en-US" w:eastAsia="en-US"/>
        </w:rPr>
        <w:t>2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 xml:space="preserve"> molecules and the representative adsorption sites within the </w:t>
      </w:r>
      <w:proofErr w:type="spellStart"/>
      <w:r w:rsidRPr="00882DA1">
        <w:rPr>
          <w:rFonts w:ascii="Times New Roman" w:eastAsia="Aptos" w:hAnsi="Times New Roman" w:cs="Times New Roman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lang w:val="en-US" w:eastAsia="en-US"/>
        </w:rPr>
        <w:t xml:space="preserve">-GO 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 xml:space="preserve">framework </w:t>
      </w:r>
      <w:r w:rsidRPr="00882DA1">
        <w:rPr>
          <w:rFonts w:ascii="Times New Roman" w:eastAsia="Aptos" w:hAnsi="Times New Roman" w:cs="Times New Roman"/>
          <w:lang w:val="en-US" w:eastAsia="en-US"/>
        </w:rPr>
        <w:t>in different environments (Gas phase, EtOH, DMF, and H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2</w:t>
      </w:r>
      <w:r w:rsidRPr="00882DA1">
        <w:rPr>
          <w:rFonts w:ascii="Times New Roman" w:eastAsia="Aptos" w:hAnsi="Times New Roman" w:cs="Times New Roman"/>
          <w:lang w:val="en-US" w:eastAsia="en-US"/>
        </w:rPr>
        <w:t>O)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>.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 </w:t>
      </w:r>
      <w:proofErr w:type="spellStart"/>
      <w:r w:rsidRPr="00882DA1">
        <w:rPr>
          <w:rFonts w:ascii="Times New Roman" w:eastAsia="Aptos" w:hAnsi="Times New Roman" w:cs="Times New Roman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lang w:val="en-US" w:eastAsia="en-US"/>
        </w:rPr>
        <w:t xml:space="preserve">-GO 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>model corresponding to the branched Polyethyleneimine (</w:t>
      </w:r>
      <w:proofErr w:type="spellStart"/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 xml:space="preserve">) on the surface of graphene oxide (GO). For simplicity, </w:t>
      </w:r>
      <w:proofErr w:type="spellStart"/>
      <w:r w:rsidRPr="00882DA1">
        <w:rPr>
          <w:rFonts w:ascii="Times New Roman" w:eastAsia="Aptos" w:hAnsi="Times New Roman" w:cs="Times New Roman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lang w:val="en-US" w:eastAsia="en-US"/>
        </w:rPr>
        <w:t xml:space="preserve">-GO 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>was designed using repeating units containing amines groups and two-carbon aliphatic active site of the polymer and chemically bonded with carboxylate and epoxy groups on the GO surface.</w:t>
      </w:r>
      <w:r>
        <w:rPr>
          <w:rFonts w:ascii="Times New Roman" w:eastAsia="Aptos" w:hAnsi="Times New Roman" w:cs="Times New Roman"/>
          <w:color w:val="000000"/>
          <w:lang w:val="en-US" w:eastAsia="en-US"/>
        </w:rPr>
        <w:t xml:space="preserve"> 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 xml:space="preserve">Geometry optimizations of the isolated 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framework 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 xml:space="preserve">of </w:t>
      </w:r>
      <w:proofErr w:type="spellStart"/>
      <w:r w:rsidRPr="00882DA1">
        <w:rPr>
          <w:rFonts w:ascii="Times New Roman" w:eastAsia="Aptos" w:hAnsi="Times New Roman" w:cs="Times New Roman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lang w:val="en-US" w:eastAsia="en-US"/>
        </w:rPr>
        <w:t>-GO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>, CO</w:t>
      </w:r>
      <w:r w:rsidRPr="00882DA1">
        <w:rPr>
          <w:rFonts w:ascii="Times New Roman" w:eastAsia="Aptos" w:hAnsi="Times New Roman" w:cs="Times New Roman"/>
          <w:color w:val="000000"/>
          <w:vertAlign w:val="subscript"/>
          <w:lang w:val="en-US" w:eastAsia="en-US"/>
        </w:rPr>
        <w:t>2</w:t>
      </w:r>
      <w:r w:rsidRPr="00882DA1">
        <w:rPr>
          <w:rFonts w:ascii="Times New Roman" w:eastAsia="Aptos" w:hAnsi="Times New Roman" w:cs="Times New Roman"/>
          <w:color w:val="000000"/>
          <w:lang w:val="en-US" w:eastAsia="en-US"/>
        </w:rPr>
        <w:t xml:space="preserve"> molecules, and </w:t>
      </w:r>
      <w:r w:rsidRPr="00882DA1">
        <w:rPr>
          <w:rFonts w:ascii="Times New Roman" w:eastAsia="Aptos" w:hAnsi="Times New Roman" w:cs="Times New Roman"/>
          <w:lang w:val="en-US" w:eastAsia="en-US"/>
        </w:rPr>
        <w:t>adsorption CO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2</w:t>
      </w:r>
      <w:r w:rsidRPr="00882DA1">
        <w:rPr>
          <w:rFonts w:ascii="Times New Roman" w:eastAsia="Aptos" w:hAnsi="Times New Roman" w:cs="Times New Roman"/>
          <w:lang w:val="en-US" w:eastAsia="en-US"/>
        </w:rPr>
        <w:t>@bPEI-GO were carried out using Gaussian 16 using the long-range corrected ωB97X-D exchange-correlation functional combined with the Def2-SVP basis set.</w:t>
      </w:r>
      <w:r w:rsidR="00C6388C">
        <w:rPr>
          <w:rFonts w:ascii="Times New Roman" w:eastAsia="Aptos" w:hAnsi="Times New Roman" w:cs="Times New Roman"/>
          <w:lang w:val="en-US" w:eastAsia="en-US"/>
        </w:rPr>
        <w:fldChar w:fldCharType="begin"/>
      </w:r>
      <w:r w:rsidR="00C6388C">
        <w:rPr>
          <w:rFonts w:ascii="Times New Roman" w:eastAsia="Aptos" w:hAnsi="Times New Roman" w:cs="Times New Roman"/>
          <w:lang w:val="en-US" w:eastAsia="en-US"/>
        </w:rPr>
        <w:instrText xml:space="preserve"> ADDIN EN.CITE &lt;EndNote&gt;&lt;Cite&gt;&lt;Author&gt;Gong&lt;/Author&gt;&lt;Year&gt;2025&lt;/Year&gt;&lt;RecNum&gt;56&lt;/RecNum&gt;&lt;DisplayText&gt;[1]&lt;/DisplayText&gt;&lt;record&gt;&lt;rec-number&gt;56&lt;/rec-number&gt;&lt;foreign-keys&gt;&lt;key app="EN" db-id="wpw9sxtxhw5a0jef22lxwpafwsd9ewxas5pf" timestamp="1783332501"&gt;56&lt;/key&gt;&lt;/foreign-keys&gt;&lt;ref-type name="Journal Article"&gt;17&lt;/ref-type&gt;&lt;contributors&gt;&lt;authors&gt;&lt;author&gt;Gong, Zeru&lt;/author&gt;&lt;author&gt;Xie, Liang&lt;/author&gt;&lt;author&gt;Li, Wanjing&lt;/author&gt;&lt;author&gt;Situ, Huijun&lt;/author&gt;&lt;author&gt;Liu, Pu&lt;/author&gt;&lt;author&gt;Zhou, Wei&lt;/author&gt;&lt;author&gt;Meng, Xiaoxiao&lt;/author&gt;&lt;/authors&gt;&lt;/contributors&gt;&lt;titles&gt;&lt;title&gt;Mechanistic insights into the role of alkali metal activation in CO2 adsorption by nitrogen-doped coal-based carbon materials&lt;/title&gt;&lt;secondary-title&gt;RSC Advances&lt;/secondary-title&gt;&lt;/titles&gt;&lt;periodical&gt;&lt;full-title&gt;RSC Advances&lt;/full-title&gt;&lt;/periodical&gt;&lt;pages&gt;44883-44892&lt;/pages&gt;&lt;volume&gt;15&lt;/volume&gt;&lt;number&gt;52&lt;/number&gt;&lt;dates&gt;&lt;year&gt;2025&lt;/year&gt;&lt;/dates&gt;&lt;isbn&gt;2046-2069&lt;/isbn&gt;&lt;urls&gt;&lt;related-urls&gt;&lt;url&gt;https://doi.org/10.1039/d5ra06428g&lt;/url&gt;&lt;/related-urls&gt;&lt;/urls&gt;&lt;electronic-resource-num&gt;10.1039/d5ra06428g&lt;/electronic-resource-num&gt;&lt;access-date&gt;7/6/2026&lt;/access-date&gt;&lt;/record&gt;&lt;/Cite&gt;&lt;/EndNote&gt;</w:instrText>
      </w:r>
      <w:r w:rsidR="00C6388C">
        <w:rPr>
          <w:rFonts w:ascii="Times New Roman" w:eastAsia="Aptos" w:hAnsi="Times New Roman" w:cs="Times New Roman"/>
          <w:lang w:val="en-US" w:eastAsia="en-US"/>
        </w:rPr>
        <w:fldChar w:fldCharType="separate"/>
      </w:r>
      <w:r w:rsidR="00C6388C">
        <w:rPr>
          <w:rFonts w:ascii="Times New Roman" w:eastAsia="Aptos" w:hAnsi="Times New Roman" w:cs="Times New Roman"/>
          <w:noProof/>
          <w:lang w:val="en-US" w:eastAsia="en-US"/>
        </w:rPr>
        <w:t>[1]</w:t>
      </w:r>
      <w:r w:rsidR="00C6388C">
        <w:rPr>
          <w:rFonts w:ascii="Times New Roman" w:eastAsia="Aptos" w:hAnsi="Times New Roman" w:cs="Times New Roman"/>
          <w:lang w:val="en-US" w:eastAsia="en-US"/>
        </w:rPr>
        <w:fldChar w:fldCharType="end"/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 </w:t>
      </w:r>
    </w:p>
    <w:p w14:paraId="0829B3B4" w14:textId="77777777" w:rsidR="00882DA1" w:rsidRPr="00882DA1" w:rsidRDefault="00882DA1" w:rsidP="00882DA1">
      <w:pPr>
        <w:spacing w:line="360" w:lineRule="auto"/>
        <w:jc w:val="both"/>
        <w:rPr>
          <w:rFonts w:ascii="Times New Roman" w:eastAsia="Aptos" w:hAnsi="Times New Roman" w:cs="Times New Roman"/>
          <w:lang w:val="en-US" w:eastAsia="en-US"/>
        </w:rPr>
      </w:pPr>
      <w:r w:rsidRPr="00882DA1">
        <w:rPr>
          <w:rFonts w:ascii="Times New Roman" w:eastAsia="Aptos" w:hAnsi="Times New Roman" w:cs="Times New Roman"/>
          <w:lang w:val="en-US" w:eastAsia="en-US"/>
        </w:rPr>
        <w:lastRenderedPageBreak/>
        <w:t>The adsorption energy (E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ads</w:t>
      </w:r>
      <w:r w:rsidRPr="00882DA1">
        <w:rPr>
          <w:rFonts w:ascii="Times New Roman" w:eastAsia="Aptos" w:hAnsi="Times New Roman" w:cs="Times New Roman"/>
          <w:lang w:val="en-US" w:eastAsia="en-US"/>
        </w:rPr>
        <w:t>) of CO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2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 was calculated according to:</w:t>
      </w:r>
    </w:p>
    <w:p w14:paraId="42DFBEE2" w14:textId="1DB1D0ED" w:rsidR="00882DA1" w:rsidRPr="00882DA1" w:rsidRDefault="00882DA1" w:rsidP="00A70E1B">
      <w:pPr>
        <w:spacing w:line="360" w:lineRule="auto"/>
        <w:jc w:val="center"/>
        <w:rPr>
          <w:rFonts w:ascii="Times New Roman" w:eastAsia="Aptos" w:hAnsi="Times New Roman" w:cs="Times New Roman"/>
          <w:lang w:val="en-US" w:eastAsia="en-US"/>
        </w:rPr>
      </w:pPr>
      <w:r w:rsidRPr="00882DA1">
        <w:rPr>
          <w:rFonts w:ascii="Times New Roman" w:eastAsia="Aptos" w:hAnsi="Times New Roman" w:cs="Times New Roman"/>
          <w:lang w:val="en-US" w:eastAsia="en-US"/>
        </w:rPr>
        <w:t>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ads</w:t>
      </w:r>
      <w:r w:rsidRPr="00882DA1">
        <w:rPr>
          <w:rFonts w:ascii="Times New Roman" w:eastAsia="Aptos" w:hAnsi="Times New Roman" w:cs="Times New Roman"/>
          <w:lang w:val="en-US" w:eastAsia="en-US"/>
        </w:rPr>
        <w:t>= 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(</w:t>
      </w:r>
      <w:r w:rsidR="00A70E1B"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CO₂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@</w:t>
      </w:r>
      <w:proofErr w:type="spellStart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-GO)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 − 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(</w:t>
      </w:r>
      <w:proofErr w:type="spellStart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-GO)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 − 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(CO₂)</w:t>
      </w:r>
    </w:p>
    <w:p w14:paraId="5A547A1B" w14:textId="6D20BD99" w:rsidR="00882DA1" w:rsidRPr="00882DA1" w:rsidRDefault="00882DA1" w:rsidP="00FF00B6">
      <w:pPr>
        <w:spacing w:line="360" w:lineRule="auto"/>
        <w:jc w:val="both"/>
        <w:rPr>
          <w:rFonts w:ascii="Times New Roman" w:eastAsia="Aptos" w:hAnsi="Times New Roman" w:cs="Times New Roman"/>
          <w:lang w:val="en-US" w:eastAsia="en-US"/>
        </w:rPr>
      </w:pPr>
      <w:r w:rsidRPr="00882DA1">
        <w:rPr>
          <w:rFonts w:ascii="Times New Roman" w:eastAsia="Aptos" w:hAnsi="Times New Roman" w:cs="Times New Roman"/>
          <w:lang w:val="en-US" w:eastAsia="en-US"/>
        </w:rPr>
        <w:t>where 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(</w:t>
      </w:r>
      <w:r w:rsidR="00A70E1B"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CO₂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@</w:t>
      </w:r>
      <w:proofErr w:type="spellStart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-GO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 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)</w:t>
      </w:r>
      <w:r w:rsidRPr="00882DA1">
        <w:rPr>
          <w:rFonts w:ascii="Times New Roman" w:eastAsia="Aptos" w:hAnsi="Times New Roman" w:cs="Times New Roman"/>
          <w:lang w:val="en-US" w:eastAsia="en-US"/>
        </w:rPr>
        <w:t>, 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(</w:t>
      </w:r>
      <w:proofErr w:type="spellStart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bPEI</w:t>
      </w:r>
      <w:proofErr w:type="spellEnd"/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-GO)</w:t>
      </w:r>
      <w:r w:rsidRPr="00882DA1">
        <w:rPr>
          <w:rFonts w:ascii="Times New Roman" w:eastAsia="Aptos" w:hAnsi="Times New Roman" w:cs="Times New Roman"/>
          <w:lang w:val="en-US" w:eastAsia="en-US"/>
        </w:rPr>
        <w:t>, and E</w:t>
      </w:r>
      <w:r w:rsidRPr="00882DA1">
        <w:rPr>
          <w:rFonts w:ascii="Times New Roman" w:eastAsia="Aptos" w:hAnsi="Times New Roman" w:cs="Times New Roman"/>
          <w:vertAlign w:val="subscript"/>
          <w:lang w:val="en-US" w:eastAsia="en-US"/>
        </w:rPr>
        <w:t>(CO₂)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 represent the total electronic energies of the adsorption complex, isolated framework fragment, and free CO₂ molecule, respectively.</w:t>
      </w:r>
      <w:r w:rsidR="00FF00B6">
        <w:rPr>
          <w:rFonts w:ascii="Times New Roman" w:eastAsia="Aptos" w:hAnsi="Times New Roman" w:cs="Times New Roman"/>
          <w:lang w:val="en-US" w:eastAsia="en-US"/>
        </w:rPr>
        <w:fldChar w:fldCharType="begin"/>
      </w:r>
      <w:r w:rsidR="00FF00B6">
        <w:rPr>
          <w:rFonts w:ascii="Times New Roman" w:eastAsia="Aptos" w:hAnsi="Times New Roman" w:cs="Times New Roman"/>
          <w:lang w:val="en-US" w:eastAsia="en-US"/>
        </w:rPr>
        <w:instrText xml:space="preserve"> ADDIN EN.CITE &lt;EndNote&gt;&lt;Cite&gt;&lt;Author&gt;Gong&lt;/Author&gt;&lt;Year&gt;2025&lt;/Year&gt;&lt;RecNum&gt;56&lt;/RecNum&gt;&lt;DisplayText&gt;[1]&lt;/DisplayText&gt;&lt;record&gt;&lt;rec-number&gt;56&lt;/rec-number&gt;&lt;foreign-keys&gt;&lt;key app="EN" db-id="wpw9sxtxhw5a0jef22lxwpafwsd9ewxas5pf" timestamp="1783332501"&gt;56&lt;/key&gt;&lt;/foreign-keys&gt;&lt;ref-type name="Journal Article"&gt;17&lt;/ref-type&gt;&lt;contributors&gt;&lt;authors&gt;&lt;author&gt;Gong, Zeru&lt;/author&gt;&lt;author&gt;Xie, Liang&lt;/author&gt;&lt;author&gt;Li, Wanjing&lt;/author&gt;&lt;author&gt;Situ, Huijun&lt;/author&gt;&lt;author&gt;Liu, Pu&lt;/author&gt;&lt;author&gt;Zhou, Wei&lt;/author&gt;&lt;author&gt;Meng, Xiaoxiao&lt;/author&gt;&lt;/authors&gt;&lt;/contributors&gt;&lt;titles&gt;&lt;title&gt;Mechanistic insights into the role of alkali metal activation in CO2 adsorption by nitrogen-doped coal-based carbon materials&lt;/title&gt;&lt;secondary-title&gt;RSC Advances&lt;/secondary-title&gt;&lt;/titles&gt;&lt;periodical&gt;&lt;full-title&gt;RSC Advances&lt;/full-title&gt;&lt;/periodical&gt;&lt;pages&gt;44883-44892&lt;/pages&gt;&lt;volume&gt;15&lt;/volume&gt;&lt;number&gt;52&lt;/number&gt;&lt;dates&gt;&lt;year&gt;2025&lt;/year&gt;&lt;/dates&gt;&lt;isbn&gt;2046-2069&lt;/isbn&gt;&lt;urls&gt;&lt;related-urls&gt;&lt;url&gt;https://doi.org/10.1039/d5ra06428g&lt;/url&gt;&lt;/related-urls&gt;&lt;/urls&gt;&lt;electronic-resource-num&gt;10.1039/d5ra06428g&lt;/electronic-resource-num&gt;&lt;access-date&gt;7/6/2026&lt;/access-date&gt;&lt;/record&gt;&lt;/Cite&gt;&lt;/EndNote&gt;</w:instrText>
      </w:r>
      <w:r w:rsidR="00FF00B6">
        <w:rPr>
          <w:rFonts w:ascii="Times New Roman" w:eastAsia="Aptos" w:hAnsi="Times New Roman" w:cs="Times New Roman"/>
          <w:lang w:val="en-US" w:eastAsia="en-US"/>
        </w:rPr>
        <w:fldChar w:fldCharType="separate"/>
      </w:r>
      <w:r w:rsidR="00FF00B6">
        <w:rPr>
          <w:rFonts w:ascii="Times New Roman" w:eastAsia="Aptos" w:hAnsi="Times New Roman" w:cs="Times New Roman"/>
          <w:noProof/>
          <w:lang w:val="en-US" w:eastAsia="en-US"/>
        </w:rPr>
        <w:t>[1]</w:t>
      </w:r>
      <w:r w:rsidR="00FF00B6">
        <w:rPr>
          <w:rFonts w:ascii="Times New Roman" w:eastAsia="Aptos" w:hAnsi="Times New Roman" w:cs="Times New Roman"/>
          <w:lang w:val="en-US" w:eastAsia="en-US"/>
        </w:rPr>
        <w:fldChar w:fldCharType="end"/>
      </w:r>
    </w:p>
    <w:p w14:paraId="1F33DA86" w14:textId="475333E5" w:rsidR="00CB1BF6" w:rsidRDefault="00882DA1" w:rsidP="00013311">
      <w:pPr>
        <w:spacing w:line="360" w:lineRule="auto"/>
        <w:jc w:val="both"/>
        <w:rPr>
          <w:rFonts w:ascii="Times New Roman" w:eastAsia="Aptos" w:hAnsi="Times New Roman" w:cs="Times New Roman"/>
          <w:lang w:val="en-US" w:eastAsia="en-US"/>
        </w:rPr>
      </w:pPr>
      <w:r w:rsidRPr="00882DA1">
        <w:rPr>
          <w:rFonts w:ascii="Times New Roman" w:eastAsia="Aptos" w:hAnsi="Times New Roman" w:cs="Times New Roman"/>
          <w:lang w:val="en-US" w:eastAsia="en-US"/>
        </w:rPr>
        <w:t xml:space="preserve">To further characterize the nature of the host–guest interactions, non-covalent interaction (NCI) analyses were performed using </w:t>
      </w:r>
      <w:proofErr w:type="spellStart"/>
      <w:r w:rsidRPr="00882DA1">
        <w:rPr>
          <w:rFonts w:ascii="Times New Roman" w:eastAsia="Aptos" w:hAnsi="Times New Roman" w:cs="Times New Roman"/>
          <w:lang w:val="en-US" w:eastAsia="en-US"/>
        </w:rPr>
        <w:t>Multiwfn</w:t>
      </w:r>
      <w:proofErr w:type="spellEnd"/>
      <w:r w:rsidRPr="00882DA1">
        <w:rPr>
          <w:rFonts w:ascii="Times New Roman" w:eastAsia="Aptos" w:hAnsi="Times New Roman" w:cs="Times New Roman"/>
          <w:lang w:val="en-US" w:eastAsia="en-US"/>
        </w:rPr>
        <w:t>.</w:t>
      </w:r>
      <w:r w:rsidR="004B102E">
        <w:rPr>
          <w:rFonts w:ascii="Times New Roman" w:eastAsia="Aptos" w:hAnsi="Times New Roman" w:cs="Times New Roman"/>
          <w:lang w:val="en-US" w:eastAsia="en-US"/>
        </w:rPr>
        <w:fldChar w:fldCharType="begin"/>
      </w:r>
      <w:r w:rsidR="004B102E">
        <w:rPr>
          <w:rFonts w:ascii="Times New Roman" w:eastAsia="Aptos" w:hAnsi="Times New Roman" w:cs="Times New Roman"/>
          <w:lang w:val="en-US" w:eastAsia="en-US"/>
        </w:rPr>
        <w:instrText xml:space="preserve"> ADDIN EN.CITE &lt;EndNote&gt;&lt;Cite&gt;&lt;Author&gt;Lu&lt;/Author&gt;&lt;Year&gt;2012&lt;/Year&gt;&lt;RecNum&gt;57&lt;/RecNum&gt;&lt;DisplayText&gt;[2]&lt;/DisplayText&gt;&lt;record&gt;&lt;rec-number&gt;57&lt;/rec-number&gt;&lt;foreign-keys&gt;&lt;key app="EN" db-id="wpw9sxtxhw5a0jef22lxwpafwsd9ewxas5pf" timestamp="1783332589"&gt;57&lt;/key&gt;&lt;/foreign-keys&gt;&lt;ref-type name="Journal Article"&gt;17&lt;/ref-type&gt;&lt;contributors&gt;&lt;authors&gt;&lt;author&gt;Lu, Tian&lt;/author&gt;&lt;author&gt;Chen, Feiwu&lt;/author&gt;&lt;/authors&gt;&lt;/contributors&gt;&lt;titles&gt;&lt;title&gt;Multiwfn: A multifunctional wavefunction analyzer&lt;/title&gt;&lt;secondary-title&gt;Journal of Computational Chemistry&lt;/secondary-title&gt;&lt;/titles&gt;&lt;periodical&gt;&lt;full-title&gt;Journal of Computational Chemistry&lt;/full-title&gt;&lt;/periodical&gt;&lt;pages&gt;580-592&lt;/pages&gt;&lt;volume&gt;33&lt;/volume&gt;&lt;number&gt;5&lt;/number&gt;&lt;dates&gt;&lt;year&gt;2012&lt;/year&gt;&lt;/dates&gt;&lt;isbn&gt;0192-8651&lt;/isbn&gt;&lt;urls&gt;&lt;related-urls&gt;&lt;url&gt;https://onlinelibrary.wiley.com/doi/abs/10.1002/jcc.22885&lt;/url&gt;&lt;/related-urls&gt;&lt;/urls&gt;&lt;electronic-resource-num&gt;https://doi.org/10.1002/jcc.22885&lt;/electronic-resource-num&gt;&lt;/record&gt;&lt;/Cite&gt;&lt;/EndNote&gt;</w:instrText>
      </w:r>
      <w:r w:rsidR="004B102E">
        <w:rPr>
          <w:rFonts w:ascii="Times New Roman" w:eastAsia="Aptos" w:hAnsi="Times New Roman" w:cs="Times New Roman"/>
          <w:lang w:val="en-US" w:eastAsia="en-US"/>
        </w:rPr>
        <w:fldChar w:fldCharType="separate"/>
      </w:r>
      <w:r w:rsidR="004B102E">
        <w:rPr>
          <w:rFonts w:ascii="Times New Roman" w:eastAsia="Aptos" w:hAnsi="Times New Roman" w:cs="Times New Roman"/>
          <w:noProof/>
          <w:lang w:val="en-US" w:eastAsia="en-US"/>
        </w:rPr>
        <w:t>[2]</w:t>
      </w:r>
      <w:r w:rsidR="004B102E">
        <w:rPr>
          <w:rFonts w:ascii="Times New Roman" w:eastAsia="Aptos" w:hAnsi="Times New Roman" w:cs="Times New Roman"/>
          <w:lang w:val="en-US" w:eastAsia="en-US"/>
        </w:rPr>
        <w:fldChar w:fldCharType="end"/>
      </w:r>
      <w:r w:rsidR="004B102E">
        <w:rPr>
          <w:rFonts w:ascii="Times New Roman" w:eastAsia="Aptos" w:hAnsi="Times New Roman" w:cs="Times New Roman"/>
          <w:lang w:val="en-US" w:eastAsia="en-US"/>
        </w:rPr>
        <w:t xml:space="preserve"> </w:t>
      </w:r>
      <w:r w:rsidRPr="00882DA1">
        <w:rPr>
          <w:rFonts w:ascii="Times New Roman" w:eastAsia="Aptos" w:hAnsi="Times New Roman" w:cs="Times New Roman"/>
          <w:lang w:val="en-US" w:eastAsia="en-US"/>
        </w:rPr>
        <w:t xml:space="preserve">Reduced density gradient (RDG) analyses were conducted based on the optimized wavefunctions, and the resulting RDG </w:t>
      </w:r>
      <w:proofErr w:type="spellStart"/>
      <w:r w:rsidRPr="00882DA1">
        <w:rPr>
          <w:rFonts w:ascii="Times New Roman" w:eastAsia="Aptos" w:hAnsi="Times New Roman" w:cs="Times New Roman"/>
          <w:lang w:val="en-US" w:eastAsia="en-US"/>
        </w:rPr>
        <w:t>isosurfaces</w:t>
      </w:r>
      <w:proofErr w:type="spellEnd"/>
      <w:r w:rsidRPr="00882DA1">
        <w:rPr>
          <w:rFonts w:ascii="Times New Roman" w:eastAsia="Aptos" w:hAnsi="Times New Roman" w:cs="Times New Roman"/>
          <w:lang w:val="en-US" w:eastAsia="en-US"/>
        </w:rPr>
        <w:t xml:space="preserve"> were visualized using VMD. The sign(λ</w:t>
      </w:r>
      <w:proofErr w:type="gramStart"/>
      <w:r w:rsidRPr="00882DA1">
        <w:rPr>
          <w:rFonts w:ascii="Times New Roman" w:eastAsia="Aptos" w:hAnsi="Times New Roman" w:cs="Times New Roman"/>
          <w:lang w:val="en-US" w:eastAsia="en-US"/>
        </w:rPr>
        <w:t>₂)ρ</w:t>
      </w:r>
      <w:proofErr w:type="gramEnd"/>
      <w:r w:rsidRPr="00882DA1">
        <w:rPr>
          <w:rFonts w:ascii="Times New Roman" w:eastAsia="Aptos" w:hAnsi="Times New Roman" w:cs="Times New Roman"/>
          <w:lang w:val="en-US" w:eastAsia="en-US"/>
        </w:rPr>
        <w:t xml:space="preserve"> versus RDG scatter plots were generated to distinguish attractive, van der Waals, and repulsive interaction regions. The NCI </w:t>
      </w:r>
      <w:proofErr w:type="spellStart"/>
      <w:r w:rsidRPr="00882DA1">
        <w:rPr>
          <w:rFonts w:ascii="Times New Roman" w:eastAsia="Aptos" w:hAnsi="Times New Roman" w:cs="Times New Roman"/>
          <w:lang w:val="en-US" w:eastAsia="en-US"/>
        </w:rPr>
        <w:t>isosurfaces</w:t>
      </w:r>
      <w:proofErr w:type="spellEnd"/>
      <w:r w:rsidRPr="00882DA1">
        <w:rPr>
          <w:rFonts w:ascii="Times New Roman" w:eastAsia="Aptos" w:hAnsi="Times New Roman" w:cs="Times New Roman"/>
          <w:lang w:val="en-US" w:eastAsia="en-US"/>
        </w:rPr>
        <w:t xml:space="preserve"> were colored according to sign(λ₂)ρ, where blue, green, and red regions correspond to strong attractive interactions, weak dispersive interactions, and steric repulsion, respectively.</w:t>
      </w:r>
      <w:r w:rsidR="00013311">
        <w:rPr>
          <w:rFonts w:ascii="Times New Roman" w:eastAsia="Aptos" w:hAnsi="Times New Roman" w:cs="Times New Roman"/>
          <w:lang w:val="en-US" w:eastAsia="en-US"/>
        </w:rPr>
        <w:fldChar w:fldCharType="begin"/>
      </w:r>
      <w:r w:rsidR="00013311">
        <w:rPr>
          <w:rFonts w:ascii="Times New Roman" w:eastAsia="Aptos" w:hAnsi="Times New Roman" w:cs="Times New Roman"/>
          <w:lang w:val="en-US" w:eastAsia="en-US"/>
        </w:rPr>
        <w:instrText xml:space="preserve"> ADDIN EN.CITE &lt;EndNote&gt;&lt;Cite&gt;&lt;Author&gt;Pastorczak&lt;/Author&gt;&lt;Year&gt;2017&lt;/Year&gt;&lt;RecNum&gt;58&lt;/RecNum&gt;&lt;DisplayText&gt;[3]&lt;/DisplayText&gt;&lt;record&gt;&lt;rec-number&gt;58&lt;/rec-number&gt;&lt;foreign-keys&gt;&lt;key app="EN" db-id="wpw9sxtxhw5a0jef22lxwpafwsd9ewxas5pf" timestamp="1783332671"&gt;58&lt;/key&gt;&lt;/foreign-keys&gt;&lt;ref-type name="Journal Article"&gt;17&lt;/ref-type&gt;&lt;contributors&gt;&lt;authors&gt;&lt;author&gt;Pastorczak, Ewa&lt;/author&gt;&lt;author&gt;Corminboeuf, Clémence&lt;/author&gt;&lt;/authors&gt;&lt;/contributors&gt;&lt;titles&gt;&lt;title&gt;Perspective: Found in translation: Quantum chemical tools for grasping non-covalent interactions&lt;/title&gt;&lt;secondary-title&gt;The Journal of Chemical Physics&lt;/secondary-title&gt;&lt;/titles&gt;&lt;periodical&gt;&lt;full-title&gt;The Journal of Chemical Physics&lt;/full-title&gt;&lt;/periodical&gt;&lt;volume&gt;146&lt;/volume&gt;&lt;number&gt;12&lt;/number&gt;&lt;dates&gt;&lt;year&gt;2017&lt;/year&gt;&lt;/dates&gt;&lt;isbn&gt;0021-9606&lt;/isbn&gt;&lt;urls&gt;&lt;related-urls&gt;&lt;url&gt;https://doi.org/10.1063/1.4978951&lt;/url&gt;&lt;/related-urls&gt;&lt;/urls&gt;&lt;custom1&gt;120901&lt;/custom1&gt;&lt;electronic-resource-num&gt;10.1063/1.4978951&lt;/electronic-resource-num&gt;&lt;access-date&gt;7/6/2026&lt;/access-date&gt;&lt;/record&gt;&lt;/Cite&gt;&lt;/EndNote&gt;</w:instrText>
      </w:r>
      <w:r w:rsidR="00013311">
        <w:rPr>
          <w:rFonts w:ascii="Times New Roman" w:eastAsia="Aptos" w:hAnsi="Times New Roman" w:cs="Times New Roman"/>
          <w:lang w:val="en-US" w:eastAsia="en-US"/>
        </w:rPr>
        <w:fldChar w:fldCharType="separate"/>
      </w:r>
      <w:r w:rsidR="00013311">
        <w:rPr>
          <w:rFonts w:ascii="Times New Roman" w:eastAsia="Aptos" w:hAnsi="Times New Roman" w:cs="Times New Roman"/>
          <w:noProof/>
          <w:lang w:val="en-US" w:eastAsia="en-US"/>
        </w:rPr>
        <w:t>[3]</w:t>
      </w:r>
      <w:r w:rsidR="00013311">
        <w:rPr>
          <w:rFonts w:ascii="Times New Roman" w:eastAsia="Aptos" w:hAnsi="Times New Roman" w:cs="Times New Roman"/>
          <w:lang w:val="en-US" w:eastAsia="en-US"/>
        </w:rPr>
        <w:fldChar w:fldCharType="end"/>
      </w:r>
    </w:p>
    <w:p w14:paraId="5EAFF97B" w14:textId="77777777" w:rsidR="00B836AE" w:rsidRDefault="00B836AE" w:rsidP="00013311">
      <w:pPr>
        <w:spacing w:line="360" w:lineRule="auto"/>
        <w:jc w:val="both"/>
        <w:rPr>
          <w:rFonts w:ascii="Times New Roman" w:eastAsia="Aptos" w:hAnsi="Times New Roman" w:cs="Times New Roman"/>
          <w:lang w:val="en-US" w:eastAsia="en-US"/>
        </w:rPr>
      </w:pPr>
    </w:p>
    <w:p w14:paraId="264CD6E9" w14:textId="77777777" w:rsidR="00B836AE" w:rsidRDefault="00B836AE" w:rsidP="00013311">
      <w:pPr>
        <w:spacing w:line="360" w:lineRule="auto"/>
        <w:jc w:val="both"/>
        <w:rPr>
          <w:rFonts w:ascii="Times New Roman" w:eastAsia="Aptos" w:hAnsi="Times New Roman" w:cs="Times New Roman"/>
          <w:lang w:val="en-US" w:eastAsia="en-US"/>
        </w:rPr>
      </w:pPr>
    </w:p>
    <w:p w14:paraId="0714D58B" w14:textId="77777777" w:rsidR="00B836AE" w:rsidRDefault="00B836AE" w:rsidP="00013311">
      <w:pPr>
        <w:spacing w:line="360" w:lineRule="auto"/>
        <w:jc w:val="both"/>
        <w:rPr>
          <w:rFonts w:ascii="Times New Roman" w:eastAsia="Aptos" w:hAnsi="Times New Roman" w:cs="Times New Roman"/>
          <w:lang w:val="en-US" w:eastAsia="en-US"/>
        </w:rPr>
      </w:pPr>
    </w:p>
    <w:p w14:paraId="4DAA173F" w14:textId="77777777" w:rsidR="00B836AE" w:rsidRPr="00013311" w:rsidRDefault="00B836AE" w:rsidP="00013311">
      <w:pPr>
        <w:spacing w:line="360" w:lineRule="auto"/>
        <w:jc w:val="both"/>
        <w:rPr>
          <w:rFonts w:ascii="Times New Roman" w:eastAsia="Aptos" w:hAnsi="Times New Roman" w:cs="Times New Roman"/>
          <w:lang w:val="en-US" w:eastAsia="en-US"/>
        </w:rPr>
      </w:pPr>
    </w:p>
    <w:p w14:paraId="3149463D" w14:textId="27224E86" w:rsidR="0077701D" w:rsidRDefault="001D7585" w:rsidP="0077701D">
      <w:pPr>
        <w:spacing w:line="360" w:lineRule="auto"/>
        <w:jc w:val="both"/>
        <w:rPr>
          <w:rFonts w:ascii="Times New Roman" w:eastAsia="PMingLiU" w:hAnsi="Times New Roman" w:cs="Times New Roman"/>
          <w:b/>
          <w:bCs/>
          <w:color w:val="000000" w:themeColor="text1"/>
          <w:kern w:val="0"/>
          <w14:ligatures w14:val="none"/>
        </w:rPr>
      </w:pPr>
      <w:r>
        <w:rPr>
          <w:rFonts w:ascii="Times New Roman" w:eastAsia="PMingLiU" w:hAnsi="Times New Roman" w:cs="Times New Roman"/>
          <w:b/>
          <w:bCs/>
          <w:noProof/>
          <w:color w:val="000000" w:themeColor="text1"/>
          <w:kern w:val="0"/>
          <w14:ligatures w14:val="none"/>
        </w:rPr>
        <w:drawing>
          <wp:inline distT="0" distB="0" distL="0" distR="0" wp14:anchorId="2314634B" wp14:editId="434C3485">
            <wp:extent cx="5294679" cy="1496291"/>
            <wp:effectExtent l="0" t="0" r="1270" b="8890"/>
            <wp:docPr id="1055554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 t="9947" r="4962" b="4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303" cy="151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607FB" w14:textId="34C7F570" w:rsidR="00402ACD" w:rsidRDefault="00402ACD" w:rsidP="00402ACD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  <w:r w:rsidRPr="00D10C5D">
        <w:rPr>
          <w:rFonts w:ascii="Times New Roman" w:eastAsia="Aptos" w:hAnsi="Times New Roman" w:cs="Times New Roman"/>
          <w:b/>
          <w:color w:val="000000" w:themeColor="text1"/>
          <w:lang w:val="en-US" w:eastAsia="en-US"/>
        </w:rPr>
        <w:t>Figure S1</w:t>
      </w:r>
      <w:r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 xml:space="preserve">: </w:t>
      </w:r>
      <w:r w:rsidR="009A4BFD" w:rsidRPr="009A4BFD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High-resolution XPS spectra of the (a) C 1s, (b) O 1s, and (c) N 1s regions of the GOF</w:t>
      </w:r>
      <w:r w:rsidR="009A4BFD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 xml:space="preserve"> (E)</w:t>
      </w:r>
      <w:r w:rsidR="009A4BFD" w:rsidRPr="009A4BFD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 xml:space="preserve"> adsorbent, showing the deconvoluted peaks corresponding to the surface chemical functionalities.</w:t>
      </w:r>
    </w:p>
    <w:p w14:paraId="07484F13" w14:textId="77777777" w:rsidR="00F41F7F" w:rsidRDefault="00F41F7F" w:rsidP="00402ACD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</w:p>
    <w:p w14:paraId="07D44B0E" w14:textId="77777777" w:rsidR="00DE462B" w:rsidRDefault="00DE462B" w:rsidP="00DE462B">
      <w:pPr>
        <w:spacing w:line="360" w:lineRule="auto"/>
        <w:jc w:val="center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  <w:r>
        <w:rPr>
          <w:rFonts w:ascii="Times New Roman" w:eastAsia="Aptos" w:hAnsi="Times New Roman" w:cs="Times New Roman"/>
          <w:bCs/>
          <w:noProof/>
          <w:color w:val="000000" w:themeColor="text1"/>
          <w:lang w:val="en-US" w:eastAsia="en-US"/>
        </w:rPr>
        <w:lastRenderedPageBreak/>
        <w:drawing>
          <wp:inline distT="0" distB="0" distL="0" distR="0" wp14:anchorId="78795DBD" wp14:editId="630E1AF6">
            <wp:extent cx="3760373" cy="3158836"/>
            <wp:effectExtent l="0" t="0" r="0" b="3810"/>
            <wp:docPr id="1384179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430" cy="3163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00FC1" w14:textId="3C12D29B" w:rsidR="00DE462B" w:rsidRDefault="00DE462B" w:rsidP="00DE462B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  <w:r w:rsidRPr="00D10C5D">
        <w:rPr>
          <w:rFonts w:ascii="Times New Roman" w:eastAsia="Aptos" w:hAnsi="Times New Roman" w:cs="Times New Roman"/>
          <w:b/>
          <w:color w:val="000000" w:themeColor="text1"/>
          <w:lang w:val="en-US" w:eastAsia="en-US"/>
        </w:rPr>
        <w:t>Figure S</w:t>
      </w:r>
      <w:r w:rsidR="00010074">
        <w:rPr>
          <w:rFonts w:ascii="Times New Roman" w:eastAsia="Aptos" w:hAnsi="Times New Roman" w:cs="Times New Roman"/>
          <w:b/>
          <w:color w:val="000000" w:themeColor="text1"/>
          <w:lang w:val="en-US" w:eastAsia="en-US"/>
        </w:rPr>
        <w:t>2</w:t>
      </w:r>
      <w:r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 xml:space="preserve">: </w:t>
      </w:r>
      <w:r w:rsidRPr="00D10C5D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Raman spectra of pristine GO, GO (</w:t>
      </w:r>
      <w:proofErr w:type="spellStart"/>
      <w:r w:rsidRPr="00D10C5D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COCl</w:t>
      </w:r>
      <w:proofErr w:type="spellEnd"/>
      <w:r w:rsidRPr="00D10C5D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 xml:space="preserve">), and PEI-functionalized graphene oxide composites </w:t>
      </w:r>
      <w:r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GOF (W), GOF (E), and GOF (</w:t>
      </w:r>
      <w:proofErr w:type="spellStart"/>
      <w:r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COCl</w:t>
      </w:r>
      <w:proofErr w:type="spellEnd"/>
      <w:r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).</w:t>
      </w:r>
    </w:p>
    <w:p w14:paraId="4C1AA175" w14:textId="77777777" w:rsidR="00F41F7F" w:rsidRDefault="00F41F7F" w:rsidP="00402ACD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</w:p>
    <w:p w14:paraId="0285ECD9" w14:textId="77777777" w:rsidR="00F41F7F" w:rsidRDefault="00F41F7F" w:rsidP="00402ACD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</w:p>
    <w:p w14:paraId="207FFDA2" w14:textId="77777777" w:rsidR="00F41F7F" w:rsidRPr="00B836AE" w:rsidRDefault="00F41F7F" w:rsidP="00402ACD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</w:p>
    <w:p w14:paraId="68BE822F" w14:textId="77777777" w:rsidR="00402ACD" w:rsidRPr="00402ACD" w:rsidRDefault="00402ACD" w:rsidP="00402ACD">
      <w:pPr>
        <w:spacing w:line="360" w:lineRule="auto"/>
        <w:jc w:val="both"/>
        <w:rPr>
          <w:rFonts w:ascii="Times New Roman" w:eastAsia="PMingLiU" w:hAnsi="Times New Roman" w:cs="Times New Roman"/>
          <w:b/>
          <w:bCs/>
          <w:color w:val="000000" w:themeColor="text1"/>
          <w:kern w:val="0"/>
          <w:lang w:val="en-US"/>
          <w14:ligatures w14:val="none"/>
        </w:rPr>
      </w:pPr>
    </w:p>
    <w:p w14:paraId="48B2B2F4" w14:textId="77777777" w:rsidR="00402ACD" w:rsidRPr="0077701D" w:rsidRDefault="00402ACD" w:rsidP="00402ACD">
      <w:pPr>
        <w:spacing w:line="360" w:lineRule="auto"/>
        <w:jc w:val="both"/>
        <w:rPr>
          <w:rFonts w:ascii="Times New Roman" w:eastAsia="PMingLiU" w:hAnsi="Times New Roman" w:cs="Times New Roman"/>
          <w:b/>
          <w:bCs/>
          <w:color w:val="000000" w:themeColor="text1"/>
          <w:kern w:val="0"/>
          <w14:ligatures w14:val="none"/>
        </w:rPr>
      </w:pPr>
    </w:p>
    <w:p w14:paraId="7BBA52A7" w14:textId="79FC7776" w:rsidR="000317BF" w:rsidRDefault="000317BF" w:rsidP="000317BF">
      <w:pPr>
        <w:spacing w:line="360" w:lineRule="auto"/>
        <w:jc w:val="both"/>
        <w:rPr>
          <w:rFonts w:ascii="Times New Roman" w:eastAsia="PMingLiU" w:hAnsi="Times New Roman" w:cs="Times New Roman"/>
          <w:b/>
          <w:bCs/>
          <w:color w:val="000000" w:themeColor="text1"/>
          <w:kern w:val="0"/>
          <w14:ligatures w14:val="none"/>
        </w:rPr>
      </w:pPr>
      <w:r>
        <w:rPr>
          <w:rFonts w:ascii="Times New Roman" w:eastAsia="PMingLiU" w:hAnsi="Times New Roman" w:cs="Times New Roman"/>
          <w:b/>
          <w:bCs/>
          <w:noProof/>
          <w:color w:val="000000" w:themeColor="text1"/>
          <w:kern w:val="0"/>
          <w14:ligatures w14:val="none"/>
        </w:rPr>
        <w:drawing>
          <wp:inline distT="0" distB="0" distL="0" distR="0" wp14:anchorId="28827D65" wp14:editId="594A9722">
            <wp:extent cx="5444836" cy="1487256"/>
            <wp:effectExtent l="0" t="0" r="3810" b="0"/>
            <wp:docPr id="936936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072" cy="1502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C96ECB" w14:textId="561409F1" w:rsidR="000317BF" w:rsidRDefault="000317BF" w:rsidP="000317BF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  <w:r w:rsidRPr="00D10C5D">
        <w:rPr>
          <w:rFonts w:ascii="Times New Roman" w:eastAsia="Aptos" w:hAnsi="Times New Roman" w:cs="Times New Roman"/>
          <w:b/>
          <w:color w:val="000000" w:themeColor="text1"/>
          <w:lang w:val="en-US" w:eastAsia="en-US"/>
        </w:rPr>
        <w:t>Figure S</w:t>
      </w:r>
      <w:r w:rsidR="00010074">
        <w:rPr>
          <w:rFonts w:ascii="Times New Roman" w:eastAsia="Aptos" w:hAnsi="Times New Roman" w:cs="Times New Roman"/>
          <w:b/>
          <w:color w:val="000000" w:themeColor="text1"/>
          <w:lang w:val="en-US" w:eastAsia="en-US"/>
        </w:rPr>
        <w:t>3</w:t>
      </w:r>
      <w:r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 xml:space="preserve">: </w:t>
      </w:r>
      <w:r w:rsidR="008A7551" w:rsidRPr="008A7551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EDS spectrum and elemental mapping of the GO sample, showing the distribution of carbon (C) and oxygen (O). The elemental maps indicate a homogeneous distribution of both elements across the sample surface</w:t>
      </w:r>
      <w:r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.</w:t>
      </w:r>
    </w:p>
    <w:p w14:paraId="11256CBE" w14:textId="77777777" w:rsidR="000317BF" w:rsidRPr="000317BF" w:rsidRDefault="000317BF" w:rsidP="000317BF">
      <w:pPr>
        <w:spacing w:line="360" w:lineRule="auto"/>
        <w:jc w:val="both"/>
        <w:rPr>
          <w:rFonts w:ascii="Times New Roman" w:eastAsia="PMingLiU" w:hAnsi="Times New Roman" w:cs="Times New Roman"/>
          <w:b/>
          <w:bCs/>
          <w:color w:val="000000" w:themeColor="text1"/>
          <w:kern w:val="0"/>
          <w:lang w:val="en-US"/>
          <w14:ligatures w14:val="none"/>
        </w:rPr>
      </w:pPr>
    </w:p>
    <w:p w14:paraId="78735D90" w14:textId="77777777" w:rsidR="00EA571E" w:rsidRDefault="00EA571E" w:rsidP="00F373D5">
      <w:pPr>
        <w:spacing w:line="360" w:lineRule="auto"/>
        <w:jc w:val="both"/>
        <w:rPr>
          <w:rFonts w:ascii="Times New Roman" w:eastAsia="Aptos" w:hAnsi="Times New Roman" w:cs="Times New Roman"/>
          <w:color w:val="000000" w:themeColor="text1"/>
          <w:lang w:val="en-US" w:eastAsia="en-US"/>
        </w:rPr>
      </w:pPr>
    </w:p>
    <w:p w14:paraId="30833F25" w14:textId="77777777" w:rsidR="0028008D" w:rsidRDefault="0028008D" w:rsidP="00D10C5D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</w:p>
    <w:p w14:paraId="2D70F822" w14:textId="0A5F4F18" w:rsidR="000E59E9" w:rsidRDefault="000E59E9" w:rsidP="00F373D5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  <w:r>
        <w:rPr>
          <w:rFonts w:ascii="Times New Roman" w:eastAsia="Aptos" w:hAnsi="Times New Roman" w:cs="Times New Roman"/>
          <w:bCs/>
          <w:noProof/>
          <w:color w:val="000000" w:themeColor="text1"/>
          <w:lang w:val="en-US" w:eastAsia="en-US"/>
        </w:rPr>
        <w:drawing>
          <wp:inline distT="0" distB="0" distL="0" distR="0" wp14:anchorId="334D99A5" wp14:editId="609F9467">
            <wp:extent cx="5234297" cy="2163939"/>
            <wp:effectExtent l="0" t="0" r="5080" b="8255"/>
            <wp:docPr id="1305690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128" cy="217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453CE6" w14:textId="104E0728" w:rsidR="00BC2694" w:rsidRDefault="00BC2694" w:rsidP="00F373D5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rtl/>
          <w:lang w:val="en-US" w:eastAsia="en-US"/>
        </w:rPr>
      </w:pPr>
      <w:r w:rsidRPr="00BC2694">
        <w:rPr>
          <w:rFonts w:ascii="Times New Roman" w:eastAsia="Aptos" w:hAnsi="Times New Roman" w:cs="Times New Roman"/>
          <w:b/>
          <w:color w:val="000000" w:themeColor="text1"/>
          <w:lang w:val="en-US" w:eastAsia="en-US"/>
        </w:rPr>
        <w:t>Figure S</w:t>
      </w:r>
      <w:r w:rsidR="00010074">
        <w:rPr>
          <w:rFonts w:ascii="Times New Roman" w:eastAsia="Aptos" w:hAnsi="Times New Roman" w:cs="Times New Roman"/>
          <w:b/>
          <w:color w:val="000000" w:themeColor="text1"/>
          <w:lang w:val="en-US" w:eastAsia="en-US"/>
        </w:rPr>
        <w:t>4</w:t>
      </w:r>
      <w:r w:rsidRPr="00BC2694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. Effect of (</w:t>
      </w:r>
      <w:r w:rsidR="0023044C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a</w:t>
      </w:r>
      <w:r w:rsidRPr="00BC2694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) reaction temperature and (</w:t>
      </w:r>
      <w:r w:rsidR="0023044C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b</w:t>
      </w:r>
      <w:r w:rsidRPr="00BC2694"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  <w:t>) PEI loading on the CO₂ adsorption performance of GOF (W).</w:t>
      </w:r>
    </w:p>
    <w:p w14:paraId="7C73081D" w14:textId="3674C39C" w:rsidR="00CE2DCC" w:rsidRDefault="00CE2DCC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  <w:r>
        <w:rPr>
          <w:rFonts w:ascii="Times New Roman" w:hAnsi="Times New Roman" w:cs="Times New Roman"/>
          <w:bCs/>
          <w:noProof/>
          <w:color w:val="000000" w:themeColor="text1"/>
          <w:lang w:val="en-US" w:bidi="ar-EG"/>
        </w:rPr>
        <w:drawing>
          <wp:inline distT="0" distB="0" distL="0" distR="0" wp14:anchorId="1B966CF5" wp14:editId="39080174">
            <wp:extent cx="5403289" cy="4140835"/>
            <wp:effectExtent l="0" t="0" r="0" b="0"/>
            <wp:docPr id="1616456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72" cy="41422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BBD788" w14:textId="59C35B1C" w:rsidR="00FB00FD" w:rsidRDefault="00FB00FD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  <w:r w:rsidRPr="00FB00FD">
        <w:rPr>
          <w:rFonts w:ascii="Times New Roman" w:hAnsi="Times New Roman" w:cs="Times New Roman"/>
          <w:b/>
          <w:color w:val="000000" w:themeColor="text1"/>
          <w:lang w:val="en-US" w:bidi="ar-EG"/>
        </w:rPr>
        <w:t>Figure S</w:t>
      </w:r>
      <w:r w:rsidR="00010074">
        <w:rPr>
          <w:rFonts w:ascii="Times New Roman" w:hAnsi="Times New Roman" w:cs="Times New Roman"/>
          <w:b/>
          <w:color w:val="000000" w:themeColor="text1"/>
          <w:lang w:val="en-US" w:bidi="ar-EG"/>
        </w:rPr>
        <w:t>5</w:t>
      </w:r>
      <w:r w:rsidRPr="00FB00FD">
        <w:rPr>
          <w:rFonts w:ascii="Times New Roman" w:hAnsi="Times New Roman" w:cs="Times New Roman"/>
          <w:b/>
          <w:color w:val="000000" w:themeColor="text1"/>
          <w:lang w:val="en-US" w:bidi="ar-EG"/>
        </w:rPr>
        <w:t>.</w:t>
      </w:r>
      <w:r w:rsidRPr="00FB00FD">
        <w:rPr>
          <w:rFonts w:ascii="Times New Roman" w:hAnsi="Times New Roman" w:cs="Times New Roman"/>
          <w:bCs/>
          <w:color w:val="000000" w:themeColor="text1"/>
          <w:lang w:val="en-US" w:bidi="ar-EG"/>
        </w:rPr>
        <w:t xml:space="preserve"> CO₂/N₂ selectivity of pristine GO and GOF (W) as a function of pressure, demonstrating the significantly enhanced selectivity of GOF (W) toward CO₂ adsorption.</w:t>
      </w:r>
    </w:p>
    <w:p w14:paraId="2E5848B0" w14:textId="0BE94B4D" w:rsidR="002A21E2" w:rsidRDefault="002A21E2" w:rsidP="002A21E2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lang w:val="en-US" w:bidi="ar-EG"/>
        </w:rPr>
      </w:pPr>
      <w:r w:rsidRPr="0059525C">
        <w:rPr>
          <w:rFonts w:asciiTheme="majorBidi" w:eastAsia="Calibri" w:hAnsiTheme="majorBidi" w:cstheme="majorBidi"/>
          <w:noProof/>
          <w:color w:val="000000" w:themeColor="text1"/>
          <w:kern w:val="0"/>
          <w:lang w:eastAsia="en-US"/>
          <w14:ligatures w14:val="none"/>
        </w:rPr>
        <w:lastRenderedPageBreak/>
        <w:drawing>
          <wp:inline distT="0" distB="0" distL="0" distR="0" wp14:anchorId="0FFA87C4" wp14:editId="193725EC">
            <wp:extent cx="4785295" cy="3556660"/>
            <wp:effectExtent l="0" t="0" r="0" b="571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64C7960-0DF4-2281-3A3A-E0B4ABDA46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564C7960-0DF4-2281-3A3A-E0B4ABDA46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/>
                    <a:srcRect l="8767" t="10601" r="3986" b="4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72" cy="3557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8675F" w14:textId="0B663FB0" w:rsidR="00010074" w:rsidRDefault="00010074" w:rsidP="00010074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rtl/>
          <w:lang w:val="en-US" w:bidi="ar-EG"/>
        </w:rPr>
      </w:pPr>
      <w:r w:rsidRPr="00010074">
        <w:rPr>
          <w:rFonts w:ascii="Times New Roman" w:hAnsi="Times New Roman" w:cs="Times New Roman"/>
          <w:b/>
          <w:color w:val="000000" w:themeColor="text1"/>
          <w:lang w:val="en-US" w:bidi="ar-EG"/>
        </w:rPr>
        <w:t>Figure S6</w:t>
      </w:r>
      <w:r w:rsidRPr="00010074">
        <w:rPr>
          <w:rFonts w:ascii="Times New Roman" w:hAnsi="Times New Roman" w:cs="Times New Roman"/>
          <w:bCs/>
          <w:color w:val="000000" w:themeColor="text1"/>
          <w:lang w:val="en-US" w:bidi="ar-EG"/>
        </w:rPr>
        <w:t xml:space="preserve">. Cyclic CO₂ adsorption capacity (bars) and regeneration efficiency (line) of the </w:t>
      </w:r>
      <w:r w:rsidR="00272EBE">
        <w:rPr>
          <w:rFonts w:ascii="Times New Roman" w:hAnsi="Times New Roman" w:cs="Times New Roman"/>
          <w:bCs/>
          <w:color w:val="000000" w:themeColor="text1"/>
          <w:lang w:val="en-US" w:bidi="ar-EG"/>
        </w:rPr>
        <w:t xml:space="preserve">GOF (W) </w:t>
      </w:r>
      <w:r w:rsidRPr="00010074">
        <w:rPr>
          <w:rFonts w:ascii="Times New Roman" w:hAnsi="Times New Roman" w:cs="Times New Roman"/>
          <w:bCs/>
          <w:color w:val="000000" w:themeColor="text1"/>
          <w:lang w:val="en-US" w:bidi="ar-EG"/>
        </w:rPr>
        <w:t>adsorbent over seven consecutive adsorption–desorption cycles, demonstrating stable CO₂ uptake and high regeneration efficiency.</w:t>
      </w:r>
    </w:p>
    <w:p w14:paraId="36AB479B" w14:textId="77777777" w:rsidR="003B19AF" w:rsidRDefault="003B19AF" w:rsidP="002A21E2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0D517282" w14:textId="77777777" w:rsidR="007B2F58" w:rsidRDefault="007B2F58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2F8B8BA3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0BCC415F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0033AA36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27B38759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41E48BDF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026CB32B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7CEB8DCA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11F696C4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4BB41B04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7E4AA78C" w14:textId="77777777" w:rsidR="00B836AE" w:rsidRDefault="00B836AE" w:rsidP="00F373D5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76148F6F" w14:textId="307AE27E" w:rsidR="00720598" w:rsidRPr="00720598" w:rsidRDefault="00720598" w:rsidP="00907AFF">
      <w:pPr>
        <w:spacing w:after="0"/>
        <w:jc w:val="both"/>
        <w:rPr>
          <w:rFonts w:asciiTheme="majorBidi" w:hAnsiTheme="majorBidi" w:cstheme="majorBidi"/>
          <w:color w:val="000000" w:themeColor="text1"/>
          <w:lang w:bidi="ar-EG"/>
        </w:rPr>
      </w:pPr>
      <w:r w:rsidRPr="00B674CE">
        <w:rPr>
          <w:rFonts w:asciiTheme="majorBidi" w:hAnsiTheme="majorBidi" w:cstheme="majorBidi"/>
          <w:b/>
          <w:bCs/>
          <w:color w:val="000000" w:themeColor="text1"/>
          <w:lang w:bidi="ar-EG"/>
        </w:rPr>
        <w:lastRenderedPageBreak/>
        <w:t>Table S</w:t>
      </w:r>
      <w:r w:rsidR="00332BBC">
        <w:rPr>
          <w:rFonts w:asciiTheme="majorBidi" w:hAnsiTheme="majorBidi" w:cstheme="majorBidi"/>
          <w:b/>
          <w:bCs/>
          <w:color w:val="000000" w:themeColor="text1"/>
          <w:lang w:bidi="ar-EG"/>
        </w:rPr>
        <w:t>1</w:t>
      </w:r>
      <w:r w:rsidRPr="00B674CE">
        <w:rPr>
          <w:rFonts w:asciiTheme="majorBidi" w:hAnsiTheme="majorBidi" w:cstheme="majorBidi"/>
          <w:color w:val="000000" w:themeColor="text1"/>
          <w:lang w:bidi="ar-EG"/>
        </w:rPr>
        <w:t xml:space="preserve">. </w:t>
      </w:r>
      <w:r w:rsidR="00B674CE" w:rsidRPr="00B674CE">
        <w:rPr>
          <w:rFonts w:asciiTheme="majorBidi" w:hAnsiTheme="majorBidi" w:cstheme="majorBidi"/>
          <w:color w:val="000000" w:themeColor="text1"/>
          <w:lang w:bidi="ar-EG"/>
        </w:rPr>
        <w:t>Atomic percentages of surface elements determined from XPS survey spectra for the GOF-based samples</w:t>
      </w:r>
    </w:p>
    <w:p w14:paraId="4A150B86" w14:textId="6AFAFCC9" w:rsidR="007B2F58" w:rsidRDefault="00C43EEE" w:rsidP="0072059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  <w:r>
        <w:rPr>
          <w:rFonts w:ascii="Times New Roman" w:hAnsi="Times New Roman" w:cs="Times New Roman"/>
          <w:bCs/>
          <w:noProof/>
          <w:color w:val="000000" w:themeColor="text1"/>
          <w:lang w:val="en-US" w:bidi="ar-EG"/>
        </w:rPr>
        <w:drawing>
          <wp:inline distT="0" distB="0" distL="0" distR="0" wp14:anchorId="311AA21F" wp14:editId="7AD4683F">
            <wp:extent cx="5396148" cy="1033154"/>
            <wp:effectExtent l="0" t="0" r="0" b="0"/>
            <wp:docPr id="2116746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039" cy="104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AD94BB" w14:textId="77777777" w:rsidR="00907AFF" w:rsidRDefault="00907AFF" w:rsidP="0072059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556A23D7" w14:textId="3A4F5194" w:rsidR="00284579" w:rsidRPr="00304C35" w:rsidRDefault="00284579" w:rsidP="00907AFF">
      <w:pPr>
        <w:spacing w:after="0"/>
        <w:jc w:val="both"/>
        <w:rPr>
          <w:rFonts w:asciiTheme="majorBidi" w:hAnsiTheme="majorBidi" w:cstheme="majorBidi"/>
          <w:color w:val="000000" w:themeColor="text1"/>
          <w:lang w:bidi="ar-EG"/>
        </w:rPr>
      </w:pPr>
      <w:r w:rsidRPr="00C763F4">
        <w:rPr>
          <w:rFonts w:asciiTheme="majorBidi" w:hAnsiTheme="majorBidi" w:cstheme="majorBidi"/>
          <w:b/>
          <w:bCs/>
          <w:color w:val="000000" w:themeColor="text1"/>
          <w:lang w:bidi="ar-EG"/>
        </w:rPr>
        <w:t>Table S</w:t>
      </w:r>
      <w:r>
        <w:rPr>
          <w:rFonts w:asciiTheme="majorBidi" w:hAnsiTheme="majorBidi" w:cstheme="majorBidi"/>
          <w:b/>
          <w:bCs/>
          <w:color w:val="000000" w:themeColor="text1"/>
          <w:lang w:bidi="ar-EG"/>
        </w:rPr>
        <w:t>2</w:t>
      </w:r>
      <w:r w:rsidRPr="00C763F4">
        <w:rPr>
          <w:rFonts w:asciiTheme="majorBidi" w:hAnsiTheme="majorBidi" w:cstheme="majorBidi"/>
          <w:color w:val="000000" w:themeColor="text1"/>
          <w:lang w:bidi="ar-EG"/>
        </w:rPr>
        <w:t xml:space="preserve">. Surface Area and Porosity Analysis of </w:t>
      </w:r>
      <w:r>
        <w:rPr>
          <w:rFonts w:asciiTheme="majorBidi" w:hAnsiTheme="majorBidi" w:cstheme="majorBidi"/>
          <w:color w:val="000000" w:themeColor="text1"/>
          <w:lang w:bidi="ar-EG"/>
        </w:rPr>
        <w:t>GO, GOF (W), GOF (E), GOF (</w:t>
      </w:r>
      <w:proofErr w:type="spellStart"/>
      <w:r>
        <w:rPr>
          <w:rFonts w:asciiTheme="majorBidi" w:hAnsiTheme="majorBidi" w:cstheme="majorBidi"/>
          <w:color w:val="000000" w:themeColor="text1"/>
          <w:lang w:bidi="ar-EG"/>
        </w:rPr>
        <w:t>COCl</w:t>
      </w:r>
      <w:proofErr w:type="spellEnd"/>
      <w:r>
        <w:rPr>
          <w:rFonts w:asciiTheme="majorBidi" w:hAnsiTheme="majorBidi" w:cstheme="majorBidi"/>
          <w:color w:val="000000" w:themeColor="text1"/>
          <w:lang w:bidi="ar-EG"/>
        </w:rPr>
        <w:t>)</w:t>
      </w:r>
      <w:r w:rsidRPr="00C763F4">
        <w:rPr>
          <w:rFonts w:asciiTheme="majorBidi" w:hAnsiTheme="majorBidi" w:cstheme="majorBidi"/>
          <w:color w:val="000000" w:themeColor="text1"/>
          <w:lang w:bidi="ar-EG"/>
        </w:rPr>
        <w:t xml:space="preserve"> Composites</w:t>
      </w:r>
    </w:p>
    <w:tbl>
      <w:tblPr>
        <w:tblW w:w="845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0"/>
        <w:gridCol w:w="1980"/>
        <w:gridCol w:w="2250"/>
        <w:gridCol w:w="2520"/>
      </w:tblGrid>
      <w:tr w:rsidR="00284579" w:rsidRPr="00190A9B" w14:paraId="14C62464" w14:textId="77777777" w:rsidTr="00472A22">
        <w:trPr>
          <w:trHeight w:val="205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EDD2C2" w14:textId="77777777" w:rsidR="00284579" w:rsidRPr="00190A9B" w:rsidRDefault="00284579" w:rsidP="00472A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BB4CA5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Surface Area</w:t>
            </w:r>
          </w:p>
          <w:p w14:paraId="6D782C8E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(</w:t>
            </w: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m</w:t>
            </w: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position w:val="11"/>
                <w:vertAlign w:val="superscript"/>
                <w:lang w:eastAsia="en-GB"/>
                <w14:ligatures w14:val="none"/>
              </w:rPr>
              <w:t>2</w:t>
            </w: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/g)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5242E4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Pore Volume</w:t>
            </w:r>
          </w:p>
          <w:p w14:paraId="0CDCEFAF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(</w:t>
            </w: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cm</w:t>
            </w: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position w:val="11"/>
                <w:vertAlign w:val="superscript"/>
                <w:lang w:eastAsia="en-GB"/>
                <w14:ligatures w14:val="none"/>
              </w:rPr>
              <w:t>3</w:t>
            </w: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/g)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3D1A9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Average pore diameter</w:t>
            </w:r>
          </w:p>
          <w:p w14:paraId="48EF0601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(nm)</w:t>
            </w:r>
          </w:p>
        </w:tc>
      </w:tr>
      <w:tr w:rsidR="00284579" w:rsidRPr="00190A9B" w14:paraId="31C6AE67" w14:textId="77777777" w:rsidTr="00472A22">
        <w:trPr>
          <w:trHeight w:val="187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6EC382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GO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4F0807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110.1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F3B80D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eastAsia="en-GB"/>
                <w14:ligatures w14:val="none"/>
              </w:rPr>
              <w:t>0.0402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E8BDD0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3.5663</w:t>
            </w:r>
          </w:p>
        </w:tc>
      </w:tr>
      <w:tr w:rsidR="00284579" w:rsidRPr="00190A9B" w14:paraId="0B610E5D" w14:textId="77777777" w:rsidTr="00472A22">
        <w:trPr>
          <w:trHeight w:val="250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1D7717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GOF (W)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6E86BF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14.2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341B9D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0.0558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1421C9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20.3683</w:t>
            </w:r>
          </w:p>
        </w:tc>
      </w:tr>
      <w:tr w:rsidR="00284579" w:rsidRPr="00190A9B" w14:paraId="0CD77808" w14:textId="77777777" w:rsidTr="00472A22">
        <w:trPr>
          <w:trHeight w:val="133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70C04E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GOF (E)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8E44DA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30.2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F45B33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0.1041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5BA50C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13.6070</w:t>
            </w:r>
          </w:p>
        </w:tc>
      </w:tr>
      <w:tr w:rsidR="00284579" w:rsidRPr="00190A9B" w14:paraId="2579AA24" w14:textId="77777777" w:rsidTr="00472A22">
        <w:trPr>
          <w:trHeight w:val="196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248700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GOF (</w:t>
            </w:r>
            <w:proofErr w:type="spellStart"/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COCl</w:t>
            </w:r>
            <w:proofErr w:type="spellEnd"/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5BD867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29.6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89B33F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0.0834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AE4AD5" w14:textId="77777777" w:rsidR="00284579" w:rsidRPr="00190A9B" w:rsidRDefault="00284579" w:rsidP="00472A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90A9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en-GB"/>
                <w14:ligatures w14:val="none"/>
              </w:rPr>
              <w:t>44.4984</w:t>
            </w:r>
          </w:p>
        </w:tc>
      </w:tr>
    </w:tbl>
    <w:p w14:paraId="657BB20A" w14:textId="77777777" w:rsidR="00284579" w:rsidRDefault="00284579" w:rsidP="0072059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6335FE1F" w14:textId="706E2ACE" w:rsidR="007B2F58" w:rsidRPr="007B2F58" w:rsidRDefault="007B2F58" w:rsidP="00907AFF">
      <w:pPr>
        <w:spacing w:after="0"/>
        <w:jc w:val="both"/>
        <w:rPr>
          <w:rFonts w:asciiTheme="majorBidi" w:hAnsiTheme="majorBidi" w:cstheme="majorBidi"/>
          <w:color w:val="000000" w:themeColor="text1"/>
          <w:lang w:bidi="ar-EG"/>
        </w:rPr>
      </w:pPr>
      <w:r w:rsidRPr="00E931D0">
        <w:rPr>
          <w:rFonts w:asciiTheme="majorBidi" w:hAnsiTheme="majorBidi" w:cstheme="majorBidi"/>
          <w:b/>
          <w:bCs/>
          <w:color w:val="000000" w:themeColor="text1"/>
          <w:lang w:bidi="ar-EG"/>
        </w:rPr>
        <w:t>Table S</w:t>
      </w:r>
      <w:r w:rsidR="00284579">
        <w:rPr>
          <w:rFonts w:asciiTheme="majorBidi" w:hAnsiTheme="majorBidi" w:cstheme="majorBidi"/>
          <w:b/>
          <w:bCs/>
          <w:color w:val="000000" w:themeColor="text1"/>
          <w:lang w:bidi="ar-EG"/>
        </w:rPr>
        <w:t>3</w:t>
      </w:r>
      <w:r w:rsidRPr="00E931D0">
        <w:rPr>
          <w:rFonts w:asciiTheme="majorBidi" w:hAnsiTheme="majorBidi" w:cstheme="majorBidi"/>
          <w:color w:val="000000" w:themeColor="text1"/>
          <w:lang w:bidi="ar-EG"/>
        </w:rPr>
        <w:t xml:space="preserve">. </w:t>
      </w:r>
      <w:r w:rsidR="008E29A4" w:rsidRPr="008E29A4">
        <w:rPr>
          <w:rFonts w:asciiTheme="majorBidi" w:hAnsiTheme="majorBidi" w:cstheme="majorBidi"/>
          <w:color w:val="000000" w:themeColor="text1"/>
          <w:lang w:bidi="ar-EG"/>
        </w:rPr>
        <w:t>Weight percentages (wt.%) of the constituent elements in the GOF-based samples determined from EDS analysis</w:t>
      </w:r>
      <w:r w:rsidR="00E931D0">
        <w:rPr>
          <w:rFonts w:asciiTheme="majorBidi" w:hAnsiTheme="majorBidi" w:cstheme="majorBidi"/>
          <w:color w:val="000000" w:themeColor="text1"/>
          <w:lang w:bidi="ar-EG"/>
        </w:rPr>
        <w:t>.</w:t>
      </w:r>
    </w:p>
    <w:p w14:paraId="3E6054D0" w14:textId="54CCA6F6" w:rsidR="00E52A6D" w:rsidRDefault="004D77AB" w:rsidP="00284579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  <w:r>
        <w:rPr>
          <w:rFonts w:ascii="Times New Roman" w:hAnsi="Times New Roman" w:cs="Times New Roman"/>
          <w:bCs/>
          <w:noProof/>
          <w:color w:val="000000" w:themeColor="text1"/>
          <w:lang w:val="en-US" w:bidi="ar-EG"/>
        </w:rPr>
        <w:drawing>
          <wp:inline distT="0" distB="0" distL="0" distR="0" wp14:anchorId="6FD3F5C0" wp14:editId="30C963D7">
            <wp:extent cx="5348696" cy="1291165"/>
            <wp:effectExtent l="0" t="0" r="4445" b="4445"/>
            <wp:docPr id="1688668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78" cy="1300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9002A4" w14:textId="77777777" w:rsidR="00907AFF" w:rsidRDefault="00907AFF" w:rsidP="00284579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 w:bidi="ar-EG"/>
        </w:rPr>
      </w:pPr>
    </w:p>
    <w:p w14:paraId="660736A8" w14:textId="039B63F1" w:rsidR="008159D9" w:rsidRPr="00387A1B" w:rsidRDefault="008159D9" w:rsidP="00907AFF">
      <w:pPr>
        <w:spacing w:after="0" w:line="360" w:lineRule="auto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  <w:b/>
          <w:bCs/>
        </w:rPr>
        <w:t xml:space="preserve">Table </w:t>
      </w:r>
      <w:r w:rsidR="008D29DE" w:rsidRPr="00E931D0">
        <w:rPr>
          <w:rFonts w:asciiTheme="majorBidi" w:hAnsiTheme="majorBidi" w:cstheme="majorBidi"/>
          <w:b/>
          <w:bCs/>
        </w:rPr>
        <w:t>S4</w:t>
      </w:r>
      <w:r w:rsidRPr="00E931D0">
        <w:rPr>
          <w:rFonts w:asciiTheme="majorBidi" w:hAnsiTheme="majorBidi" w:cstheme="majorBidi"/>
          <w:b/>
          <w:bCs/>
        </w:rPr>
        <w:t>.</w:t>
      </w:r>
      <w:r w:rsidRPr="00E931D0">
        <w:rPr>
          <w:rFonts w:asciiTheme="majorBidi" w:hAnsiTheme="majorBidi" w:cstheme="majorBidi"/>
        </w:rPr>
        <w:t xml:space="preserve"> DFT results of </w:t>
      </w:r>
      <w:r w:rsidR="009B129D" w:rsidRPr="00E931D0">
        <w:rPr>
          <w:rFonts w:asciiTheme="majorBidi" w:hAnsiTheme="majorBidi" w:cstheme="majorBidi"/>
        </w:rPr>
        <w:t>GO/PEI</w:t>
      </w:r>
      <w:r w:rsidRPr="00E931D0">
        <w:rPr>
          <w:rFonts w:asciiTheme="majorBidi" w:hAnsiTheme="majorBidi" w:cstheme="majorBidi"/>
        </w:rPr>
        <w:t xml:space="preserve"> and CO</w:t>
      </w:r>
      <w:r w:rsidRPr="00E931D0">
        <w:rPr>
          <w:rFonts w:asciiTheme="majorBidi" w:hAnsiTheme="majorBidi" w:cstheme="majorBidi"/>
          <w:vertAlign w:val="subscript"/>
        </w:rPr>
        <w:t>2</w:t>
      </w:r>
      <w:r w:rsidRPr="00E931D0">
        <w:rPr>
          <w:rFonts w:asciiTheme="majorBidi" w:hAnsiTheme="majorBidi" w:cstheme="majorBidi"/>
        </w:rPr>
        <w:t>@</w:t>
      </w:r>
      <w:r w:rsidR="009B129D" w:rsidRPr="00E931D0">
        <w:rPr>
          <w:rFonts w:asciiTheme="majorBidi" w:hAnsiTheme="majorBidi" w:cstheme="majorBidi"/>
        </w:rPr>
        <w:t xml:space="preserve">GO/PEI </w:t>
      </w:r>
      <w:r w:rsidRPr="00E931D0">
        <w:rPr>
          <w:rFonts w:asciiTheme="majorBidi" w:hAnsiTheme="majorBidi" w:cstheme="majorBidi"/>
        </w:rPr>
        <w:t>composites in different environments (Gas phase, EtOH, DMF, and H</w:t>
      </w:r>
      <w:r w:rsidRPr="00E931D0">
        <w:rPr>
          <w:rFonts w:asciiTheme="majorBidi" w:hAnsiTheme="majorBidi" w:cstheme="majorBidi"/>
          <w:vertAlign w:val="subscript"/>
        </w:rPr>
        <w:t>2</w:t>
      </w:r>
      <w:r w:rsidRPr="00E931D0">
        <w:rPr>
          <w:rFonts w:asciiTheme="majorBidi" w:hAnsiTheme="majorBidi" w:cstheme="majorBidi"/>
        </w:rPr>
        <w:t>O).</w:t>
      </w:r>
    </w:p>
    <w:p w14:paraId="23D1D8F2" w14:textId="34E2E083" w:rsidR="00F373D5" w:rsidRPr="00304C35" w:rsidRDefault="0009542D" w:rsidP="00F373D5">
      <w:pPr>
        <w:spacing w:line="360" w:lineRule="auto"/>
        <w:jc w:val="both"/>
        <w:rPr>
          <w:rFonts w:ascii="Times New Roman" w:eastAsia="Aptos" w:hAnsi="Times New Roman" w:cs="Times New Roman"/>
          <w:bCs/>
          <w:color w:val="000000" w:themeColor="text1"/>
          <w:lang w:val="en-US" w:eastAsia="en-US"/>
        </w:rPr>
      </w:pPr>
      <w:r>
        <w:rPr>
          <w:rFonts w:ascii="Times New Roman" w:eastAsia="Aptos" w:hAnsi="Times New Roman" w:cs="Times New Roman"/>
          <w:bCs/>
          <w:noProof/>
          <w:color w:val="000000" w:themeColor="text1"/>
          <w:lang w:val="en-US" w:eastAsia="en-US"/>
        </w:rPr>
        <w:drawing>
          <wp:inline distT="0" distB="0" distL="0" distR="0" wp14:anchorId="21626ACC" wp14:editId="3E79415E">
            <wp:extent cx="5361709" cy="1015427"/>
            <wp:effectExtent l="0" t="0" r="0" b="0"/>
            <wp:docPr id="15174415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717" cy="1023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8D4DB" w14:textId="77777777" w:rsidR="00E8402C" w:rsidRPr="00304C35" w:rsidRDefault="00E8402C" w:rsidP="006C2ECA">
      <w:pPr>
        <w:jc w:val="center"/>
        <w:rPr>
          <w:rFonts w:asciiTheme="majorBidi" w:hAnsiTheme="majorBidi" w:cstheme="majorBidi"/>
          <w:color w:val="000000" w:themeColor="text1"/>
          <w:lang w:val="en-US"/>
        </w:rPr>
      </w:pPr>
    </w:p>
    <w:p w14:paraId="7DA8F8FB" w14:textId="23B6EAEB" w:rsidR="00E36C42" w:rsidRPr="005D7C7B" w:rsidRDefault="00E36C42" w:rsidP="00E36C42">
      <w:pPr>
        <w:jc w:val="both"/>
        <w:rPr>
          <w:rFonts w:asciiTheme="majorBidi" w:hAnsiTheme="majorBidi" w:cstheme="majorBidi"/>
          <w:color w:val="000000" w:themeColor="text1"/>
        </w:rPr>
      </w:pPr>
      <w:r w:rsidRPr="005D7C7B">
        <w:rPr>
          <w:rFonts w:asciiTheme="majorBidi" w:hAnsiTheme="majorBidi" w:cstheme="majorBidi"/>
          <w:b/>
          <w:bCs/>
          <w:color w:val="000000" w:themeColor="text1"/>
        </w:rPr>
        <w:lastRenderedPageBreak/>
        <w:t>Table S</w:t>
      </w:r>
      <w:r w:rsidR="008D29DE">
        <w:rPr>
          <w:rFonts w:asciiTheme="majorBidi" w:hAnsiTheme="majorBidi" w:cstheme="majorBidi"/>
          <w:b/>
          <w:bCs/>
          <w:color w:val="000000" w:themeColor="text1"/>
        </w:rPr>
        <w:t>5</w:t>
      </w:r>
      <w:r w:rsidRPr="005D7C7B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 w:rsidRPr="005D7C7B">
        <w:rPr>
          <w:rFonts w:asciiTheme="majorBidi" w:hAnsiTheme="majorBidi" w:cstheme="majorBidi"/>
          <w:color w:val="000000" w:themeColor="text1"/>
        </w:rPr>
        <w:t xml:space="preserve">Comparison of </w:t>
      </w:r>
      <w:r w:rsidR="005D7C7B">
        <w:rPr>
          <w:rFonts w:asciiTheme="majorBidi" w:hAnsiTheme="majorBidi" w:cstheme="majorBidi"/>
          <w:color w:val="000000" w:themeColor="text1"/>
        </w:rPr>
        <w:t>CO</w:t>
      </w:r>
      <w:r w:rsidR="005D7C7B" w:rsidRPr="005D7C7B">
        <w:rPr>
          <w:rFonts w:asciiTheme="majorBidi" w:hAnsiTheme="majorBidi" w:cstheme="majorBidi"/>
          <w:color w:val="000000" w:themeColor="text1"/>
          <w:vertAlign w:val="subscript"/>
        </w:rPr>
        <w:t>2</w:t>
      </w:r>
      <w:r w:rsidR="005D7C7B">
        <w:rPr>
          <w:rFonts w:asciiTheme="majorBidi" w:hAnsiTheme="majorBidi" w:cstheme="majorBidi"/>
          <w:color w:val="000000" w:themeColor="text1"/>
        </w:rPr>
        <w:t xml:space="preserve"> capture</w:t>
      </w:r>
      <w:r w:rsidRPr="005D7C7B">
        <w:rPr>
          <w:rFonts w:asciiTheme="majorBidi" w:hAnsiTheme="majorBidi" w:cstheme="majorBidi"/>
          <w:color w:val="000000" w:themeColor="text1"/>
        </w:rPr>
        <w:t xml:space="preserve"> Performance: This Work vs. State-of-the-Art </w:t>
      </w:r>
      <w:r w:rsidR="005D7C7B">
        <w:rPr>
          <w:rFonts w:asciiTheme="majorBidi" w:hAnsiTheme="majorBidi" w:cstheme="majorBidi"/>
          <w:color w:val="000000" w:themeColor="text1"/>
        </w:rPr>
        <w:t>GO</w:t>
      </w:r>
      <w:r w:rsidRPr="005D7C7B">
        <w:rPr>
          <w:rFonts w:asciiTheme="majorBidi" w:hAnsiTheme="majorBidi" w:cstheme="majorBidi"/>
          <w:color w:val="000000" w:themeColor="text1"/>
        </w:rPr>
        <w:t xml:space="preserve"> Materials.</w:t>
      </w: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1975"/>
        <w:gridCol w:w="1350"/>
        <w:gridCol w:w="1170"/>
        <w:gridCol w:w="1350"/>
        <w:gridCol w:w="1170"/>
        <w:gridCol w:w="1281"/>
      </w:tblGrid>
      <w:tr w:rsidR="00937BAB" w:rsidRPr="001047A4" w14:paraId="79429B32" w14:textId="77777777" w:rsidTr="00266040">
        <w:trPr>
          <w:jc w:val="center"/>
        </w:trPr>
        <w:tc>
          <w:tcPr>
            <w:tcW w:w="1975" w:type="dxa"/>
          </w:tcPr>
          <w:p w14:paraId="2B73E052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Material</w:t>
            </w:r>
          </w:p>
        </w:tc>
        <w:tc>
          <w:tcPr>
            <w:tcW w:w="1350" w:type="dxa"/>
          </w:tcPr>
          <w:p w14:paraId="1771655C" w14:textId="5B7B3630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CO</w:t>
            </w:r>
            <w:r w:rsidRPr="00266040">
              <w:rPr>
                <w:rFonts w:asciiTheme="majorBidi" w:eastAsia="Aptos" w:hAnsiTheme="majorBidi" w:cstheme="majorBidi"/>
                <w:sz w:val="22"/>
                <w:szCs w:val="22"/>
                <w:vertAlign w:val="subscript"/>
                <w:lang w:eastAsia="en-US"/>
              </w:rPr>
              <w:t>2</w:t>
            </w: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 xml:space="preserve"> uptake (mmol/g)</w:t>
            </w:r>
          </w:p>
        </w:tc>
        <w:tc>
          <w:tcPr>
            <w:tcW w:w="1170" w:type="dxa"/>
          </w:tcPr>
          <w:p w14:paraId="744A3D68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Selectivity with N</w:t>
            </w:r>
            <w:r w:rsidRPr="008B6FB8">
              <w:rPr>
                <w:rFonts w:asciiTheme="majorBidi" w:eastAsia="Aptos" w:hAnsiTheme="majorBidi" w:cstheme="majorBidi"/>
                <w:sz w:val="22"/>
                <w:szCs w:val="22"/>
                <w:vertAlign w:val="subscript"/>
                <w:lang w:eastAsia="en-US"/>
              </w:rPr>
              <w:t>2</w:t>
            </w:r>
          </w:p>
        </w:tc>
        <w:tc>
          <w:tcPr>
            <w:tcW w:w="1350" w:type="dxa"/>
          </w:tcPr>
          <w:p w14:paraId="5F22A774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Temperature</w:t>
            </w:r>
          </w:p>
          <w:p w14:paraId="4F7F03E7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(k)</w:t>
            </w:r>
          </w:p>
        </w:tc>
        <w:tc>
          <w:tcPr>
            <w:tcW w:w="1170" w:type="dxa"/>
          </w:tcPr>
          <w:p w14:paraId="56C58AEF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Pressure</w:t>
            </w:r>
          </w:p>
          <w:p w14:paraId="736FE0BE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(bar)</w:t>
            </w:r>
          </w:p>
        </w:tc>
        <w:tc>
          <w:tcPr>
            <w:tcW w:w="1281" w:type="dxa"/>
          </w:tcPr>
          <w:p w14:paraId="260DC4C6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reference</w:t>
            </w:r>
          </w:p>
        </w:tc>
      </w:tr>
      <w:tr w:rsidR="00937BAB" w:rsidRPr="001047A4" w14:paraId="07B03FCF" w14:textId="77777777" w:rsidTr="00266040">
        <w:trPr>
          <w:jc w:val="center"/>
        </w:trPr>
        <w:tc>
          <w:tcPr>
            <w:tcW w:w="1975" w:type="dxa"/>
          </w:tcPr>
          <w:p w14:paraId="0B48C102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GO-CH</w:t>
            </w:r>
            <w:r w:rsidRPr="00D8699C">
              <w:rPr>
                <w:rFonts w:asciiTheme="majorBidi" w:eastAsia="Aptos" w:hAnsiTheme="majorBidi" w:cstheme="majorBidi"/>
                <w:sz w:val="20"/>
                <w:szCs w:val="20"/>
                <w:vertAlign w:val="subscript"/>
                <w:lang w:eastAsia="en-US"/>
              </w:rPr>
              <w:t>4</w:t>
            </w: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N</w:t>
            </w:r>
            <w:r w:rsidRPr="00D8699C">
              <w:rPr>
                <w:rFonts w:asciiTheme="majorBidi" w:eastAsia="Aptos" w:hAnsiTheme="majorBidi" w:cstheme="majorBidi"/>
                <w:sz w:val="20"/>
                <w:szCs w:val="20"/>
                <w:vertAlign w:val="subscript"/>
                <w:lang w:eastAsia="en-US"/>
              </w:rPr>
              <w:t>2</w:t>
            </w: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O</w:t>
            </w:r>
          </w:p>
        </w:tc>
        <w:tc>
          <w:tcPr>
            <w:tcW w:w="1350" w:type="dxa"/>
            <w:vAlign w:val="center"/>
          </w:tcPr>
          <w:p w14:paraId="01211650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1.70</w:t>
            </w:r>
          </w:p>
        </w:tc>
        <w:tc>
          <w:tcPr>
            <w:tcW w:w="1170" w:type="dxa"/>
            <w:vAlign w:val="center"/>
          </w:tcPr>
          <w:p w14:paraId="6D61B175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28.0</w:t>
            </w:r>
          </w:p>
        </w:tc>
        <w:tc>
          <w:tcPr>
            <w:tcW w:w="1350" w:type="dxa"/>
            <w:vAlign w:val="center"/>
          </w:tcPr>
          <w:p w14:paraId="57E1D0C3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val="en-US"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170" w:type="dxa"/>
            <w:vAlign w:val="center"/>
          </w:tcPr>
          <w:p w14:paraId="0D12A694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1F8D3829" w14:textId="14FFE79B" w:rsidR="00937BAB" w:rsidRPr="00AD16A3" w:rsidRDefault="00090FD1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&lt;EndNote&gt;&lt;Cite&gt;&lt;Author&gt;Deng&lt;/Author&gt;&lt;Year&gt;2025&lt;/Year&gt;&lt;RecNum&gt;1149&lt;/RecNum&gt;&lt;DisplayText&gt;[4]&lt;/DisplayText&gt;&lt;record&gt;&lt;rec-number&gt;1149&lt;/rec-number&gt;&lt;foreign-keys&gt;&lt;key app="EN" db-id="tv0zwewxazsxsne20wr55sp7vf9sstvtavfp" timestamp="1779144856"&gt;1149&lt;/key&gt;&lt;/foreign-keys&gt;&lt;ref-type name="Journal Article"&gt;17&lt;/ref-type&gt;&lt;contributors&gt;&lt;authors&gt;&lt;author&gt;Deng, Haoyue&lt;/author&gt;&lt;author&gt;Li, Tiehu&lt;/author&gt;&lt;author&gt;Li, Hao&lt;/author&gt;&lt;author&gt;Dang, Alei&lt;/author&gt;&lt;author&gt;Han, Yongkang&lt;/author&gt;&lt;/authors&gt;&lt;/contributors&gt;&lt;titles&gt;&lt;title&gt;Amine-modified graphene oxide: Reaction mechanism with functional groups and enhanced CO2 adsorption-separation performance&lt;/title&gt;&lt;secondary-title&gt;Journal of Solid State Chemistry&lt;/secondary-title&gt;&lt;/titles&gt;&lt;periodical&gt;&lt;full-title&gt;Journal of Solid State Chemistry&lt;/full-title&gt;&lt;/periodical&gt;&lt;pages&gt;125617&lt;/pages&gt;&lt;volume&gt;352&lt;/volume&gt;&lt;keywords&gt;&lt;keyword&gt;Graphene oxide&lt;/keyword&gt;&lt;keyword&gt;Amine groups&lt;/keyword&gt;&lt;keyword&gt;Polar groups&lt;/keyword&gt;&lt;keyword&gt;CO adsorption&lt;/keyword&gt;&lt;keyword&gt;Separation&lt;/keyword&gt;&lt;/keywords&gt;&lt;dates&gt;&lt;year&gt;2025&lt;/year&gt;&lt;pub-dates&gt;&lt;date&gt;2025/12/01/&lt;/date&gt;&lt;/pub-dates&gt;&lt;/dates&gt;&lt;isbn&gt;0022-4596&lt;/isbn&gt;&lt;urls&gt;&lt;related-urls&gt;&lt;url&gt;https://www.sciencedirect.com/science/article/pii/S0022459625004414&lt;/url&gt;&lt;/related-urls&gt;&lt;/urls&gt;&lt;electronic-resource-num&gt;https://doi.org/10.1016/j.jssc.2025.125617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[4]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276E9C5C" w14:textId="77777777" w:rsidTr="00266040">
        <w:trPr>
          <w:jc w:val="center"/>
        </w:trPr>
        <w:tc>
          <w:tcPr>
            <w:tcW w:w="1975" w:type="dxa"/>
          </w:tcPr>
          <w:p w14:paraId="0F8CA38C" w14:textId="77777777" w:rsidR="00937BAB" w:rsidRPr="00D8699C" w:rsidRDefault="00937BAB" w:rsidP="00E931D0">
            <w:pPr>
              <w:spacing w:line="276" w:lineRule="auto"/>
              <w:rPr>
                <w:rFonts w:asciiTheme="majorBidi" w:eastAsia="Aptos" w:hAnsiTheme="majorBidi" w:cstheme="majorBidi"/>
                <w:sz w:val="20"/>
                <w:szCs w:val="20"/>
                <w:lang w:val="en-US"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 xml:space="preserve">Diamino-functionalized </w:t>
            </w:r>
            <w:proofErr w:type="spellStart"/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silsesquioxane</w:t>
            </w:r>
            <w:proofErr w:type="spellEnd"/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 xml:space="preserve"> pillared GO</w:t>
            </w:r>
          </w:p>
        </w:tc>
        <w:tc>
          <w:tcPr>
            <w:tcW w:w="1350" w:type="dxa"/>
            <w:vAlign w:val="center"/>
          </w:tcPr>
          <w:p w14:paraId="216ADFF1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1.7</w:t>
            </w:r>
          </w:p>
        </w:tc>
        <w:tc>
          <w:tcPr>
            <w:tcW w:w="1170" w:type="dxa"/>
            <w:vAlign w:val="center"/>
          </w:tcPr>
          <w:p w14:paraId="1C1DEF3A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val="en-US"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436F5345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170" w:type="dxa"/>
            <w:vAlign w:val="center"/>
          </w:tcPr>
          <w:p w14:paraId="20DA57AF" w14:textId="77777777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val="en-US"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val="en-US" w:eastAsia="en-US"/>
              </w:rPr>
              <w:t xml:space="preserve"> (atm)</w:t>
            </w:r>
          </w:p>
        </w:tc>
        <w:tc>
          <w:tcPr>
            <w:tcW w:w="1281" w:type="dxa"/>
          </w:tcPr>
          <w:p w14:paraId="73629157" w14:textId="08592251" w:rsidR="00937BAB" w:rsidRPr="00AD16A3" w:rsidRDefault="0044263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&lt;EndNote&gt;&lt;Cite&gt;&lt;Author&gt;Thomou&lt;/Author&gt;&lt;Year&gt;2021&lt;/Year&gt;&lt;RecNum&gt;1151&lt;/RecNum&gt;&lt;DisplayText&gt;[5]&lt;/DisplayText&gt;&lt;record&gt;&lt;rec-number&gt;1151&lt;/rec-number&gt;&lt;foreign-keys&gt;&lt;key app="EN" db-id="tv0zwewxazsxsne20wr55sp7vf9sstvtavfp" timestamp="1779145007"&gt;1151&lt;/key&gt;&lt;/foreign-keys&gt;&lt;ref-type name="Journal Article"&gt;17&lt;/ref-type&gt;&lt;contributors&gt;&lt;authors&gt;&lt;author&gt;Thomou, Eleni&lt;/author&gt;&lt;author&gt;Sakavitsi, Viktoria&lt;/author&gt;&lt;author&gt;Angeli, Giasemi K.&lt;/author&gt;&lt;author&gt;Spyrou, Konstantinos&lt;/author&gt;&lt;author&gt;Froudas, Konstantinos G.&lt;/author&gt;&lt;author&gt;Diamanti, Evmorfia K.&lt;/author&gt;&lt;author&gt;Romanos, George E.&lt;/author&gt;&lt;author&gt;Karanikolos, Georgios N.&lt;/author&gt;&lt;author&gt;Trikalitis, Pantelis N.&lt;/author&gt;&lt;author&gt;Gournis, Dimitrios&lt;/author&gt;&lt;author&gt;Rudolf, Petra&lt;/author&gt;&lt;/authors&gt;&lt;/contributors&gt;&lt;titles&gt;&lt;title&gt;A diamino-functionalized silsesquioxane pillared graphene oxide for CO2 capture&lt;/title&gt;&lt;secondary-title&gt;RSC Advances&lt;/secondary-title&gt;&lt;/titles&gt;&lt;periodical&gt;&lt;full-title&gt;RSC Advances&lt;/full-title&gt;&lt;/periodical&gt;&lt;pages&gt;13743-13750&lt;/pages&gt;&lt;volume&gt;11&lt;/volume&gt;&lt;number&gt;23&lt;/number&gt;&lt;dates&gt;&lt;year&gt;2021&lt;/year&gt;&lt;/dates&gt;&lt;publisher&gt;The Royal Society of Chemistry&lt;/publisher&gt;&lt;work-type&gt;10.1039/D1RA00777G&lt;/work-type&gt;&lt;urls&gt;&lt;related-urls&gt;&lt;url&gt;http://dx.doi.org/10.1039/D1RA00777G&lt;/url&gt;&lt;/related-urls&gt;&lt;/urls&gt;&lt;electronic-resource-num&gt;10.1039/D1RA00777G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[5]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447B1BD7" w14:textId="77777777" w:rsidTr="00266040">
        <w:trPr>
          <w:jc w:val="center"/>
        </w:trPr>
        <w:tc>
          <w:tcPr>
            <w:tcW w:w="1975" w:type="dxa"/>
          </w:tcPr>
          <w:p w14:paraId="597142AC" w14:textId="77777777" w:rsidR="00937BAB" w:rsidRPr="00D8699C" w:rsidRDefault="00937BAB" w:rsidP="00E931D0">
            <w:pPr>
              <w:spacing w:line="276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 xml:space="preserve">Diamino-functionalized </w:t>
            </w:r>
            <w:proofErr w:type="spellStart"/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silsesquioxane</w:t>
            </w:r>
            <w:proofErr w:type="spellEnd"/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 xml:space="preserve"> pillared GO</w:t>
            </w:r>
          </w:p>
        </w:tc>
        <w:tc>
          <w:tcPr>
            <w:tcW w:w="1350" w:type="dxa"/>
            <w:vAlign w:val="center"/>
          </w:tcPr>
          <w:p w14:paraId="6917A4BC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1170" w:type="dxa"/>
            <w:vAlign w:val="center"/>
          </w:tcPr>
          <w:p w14:paraId="4B17C1D9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69747DD7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350CA368" w14:textId="77777777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 (</w:t>
            </w:r>
            <w:proofErr w:type="spellStart"/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atm</w:t>
            </w:r>
            <w:proofErr w:type="spellEnd"/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81" w:type="dxa"/>
          </w:tcPr>
          <w:p w14:paraId="40E5A1C0" w14:textId="41D57A12" w:rsidR="00937BAB" w:rsidRPr="00AD16A3" w:rsidRDefault="00242779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u w:val="single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u w:val="single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u w:val="single"/>
                <w:lang w:eastAsia="en-US"/>
              </w:rPr>
              <w:instrText xml:space="preserve"> ADDIN EN.CITE &lt;EndNote&gt;&lt;Cite&gt;&lt;Author&gt;Thomou&lt;/Author&gt;&lt;Year&gt;2021&lt;/Year&gt;&lt;RecNum&gt;1152&lt;/RecNum&gt;&lt;DisplayText&gt;[5]&lt;/DisplayText&gt;&lt;record&gt;&lt;rec-number&gt;1152&lt;/rec-number&gt;&lt;foreign-keys&gt;&lt;key app="EN" db-id="tv0zwewxazsxsne20wr55sp7vf9sstvtavfp" timestamp="1779145040"&gt;1152&lt;/key&gt;&lt;/foreign-keys&gt;&lt;ref-type name="Journal Article"&gt;17&lt;/ref-type&gt;&lt;contributors&gt;&lt;authors&gt;&lt;author&gt;Thomou, Eleni&lt;/author&gt;&lt;author&gt;Sakavitsi, Viktoria&lt;/author&gt;&lt;author&gt;Angeli, Giasemi K.&lt;/author&gt;&lt;author&gt;Spyrou, Konstantinos&lt;/author&gt;&lt;author&gt;Froudas, Konstantinos G.&lt;/author&gt;&lt;author&gt;Diamanti, Evmorfia K.&lt;/author&gt;&lt;author&gt;Romanos, George E.&lt;/author&gt;&lt;author&gt;Karanikolos, Georgios N.&lt;/author&gt;&lt;author&gt;Trikalitis, Pantelis N.&lt;/author&gt;&lt;author&gt;Gournis, Dimitrios&lt;/author&gt;&lt;author&gt;Rudolf, Petra&lt;/author&gt;&lt;/authors&gt;&lt;/contributors&gt;&lt;titles&gt;&lt;title&gt;A diamino-functionalized silsesquioxane pillared graphene oxide for CO2 capture&lt;/title&gt;&lt;secondary-title&gt;RSC Advances&lt;/secondary-title&gt;&lt;/titles&gt;&lt;periodical&gt;&lt;full-title&gt;RSC Advances&lt;/full-title&gt;&lt;/periodical&gt;&lt;pages&gt;13743-13750&lt;/pages&gt;&lt;volume&gt;11&lt;/volume&gt;&lt;number&gt;23&lt;/number&gt;&lt;dates&gt;&lt;year&gt;2021&lt;/year&gt;&lt;/dates&gt;&lt;publisher&gt;The Royal Society of Chemistry&lt;/publisher&gt;&lt;work-type&gt;10.1039/D1RA00777G&lt;/work-type&gt;&lt;urls&gt;&lt;related-urls&gt;&lt;url&gt;http://dx.doi.org/10.1039/D1RA00777G&lt;/url&gt;&lt;/related-urls&gt;&lt;/urls&gt;&lt;electronic-resource-num&gt;10.1039/D1RA00777G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u w:val="single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u w:val="single"/>
                <w:lang w:eastAsia="en-US"/>
              </w:rPr>
              <w:t>[5]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u w:val="single"/>
                <w:lang w:eastAsia="en-US"/>
              </w:rPr>
              <w:fldChar w:fldCharType="end"/>
            </w:r>
          </w:p>
        </w:tc>
      </w:tr>
      <w:tr w:rsidR="00937BAB" w:rsidRPr="001047A4" w14:paraId="32B6DC26" w14:textId="77777777" w:rsidTr="00266040">
        <w:trPr>
          <w:jc w:val="center"/>
        </w:trPr>
        <w:tc>
          <w:tcPr>
            <w:tcW w:w="1975" w:type="dxa"/>
          </w:tcPr>
          <w:p w14:paraId="41E7DFD2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val="en-US"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GOF-1</w:t>
            </w:r>
          </w:p>
        </w:tc>
        <w:tc>
          <w:tcPr>
            <w:tcW w:w="1350" w:type="dxa"/>
            <w:vAlign w:val="center"/>
          </w:tcPr>
          <w:p w14:paraId="77825786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1.10</w:t>
            </w:r>
          </w:p>
        </w:tc>
        <w:tc>
          <w:tcPr>
            <w:tcW w:w="1170" w:type="dxa"/>
            <w:vAlign w:val="center"/>
          </w:tcPr>
          <w:p w14:paraId="5E64A085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25.1</w:t>
            </w:r>
          </w:p>
        </w:tc>
        <w:tc>
          <w:tcPr>
            <w:tcW w:w="1350" w:type="dxa"/>
            <w:vAlign w:val="center"/>
          </w:tcPr>
          <w:p w14:paraId="556EFD6F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170" w:type="dxa"/>
            <w:vAlign w:val="center"/>
          </w:tcPr>
          <w:p w14:paraId="1DFD737A" w14:textId="77777777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0857FDF9" w14:textId="729BE89C" w:rsidR="00937BAB" w:rsidRPr="00AD16A3" w:rsidRDefault="0033525C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&lt;EndNote&gt;&lt;Cite&gt;&lt;Author&gt;Chen&lt;/Author&gt;&lt;Year&gt;2019&lt;/Year&gt;&lt;RecNum&gt;1153&lt;/RecNum&gt;&lt;DisplayText&gt;[6]&lt;/DisplayText&gt;&lt;record&gt;&lt;rec-number&gt;1153&lt;/rec-number&gt;&lt;foreign-keys&gt;&lt;key app="EN" db-id="tv0zwewxazsxsne20wr55sp7vf9sstvtavfp" timestamp="1779145072"&gt;1153&lt;/key&gt;&lt;/foreign-keys&gt;&lt;ref-type name="Journal Article"&gt;17&lt;/ref-type&gt;&lt;contributors&gt;&lt;authors&gt;&lt;author&gt;Chen, Leilei&lt;/author&gt;&lt;author&gt;Jiang, Xia&lt;/author&gt;&lt;author&gt;Qiu, Jianping&lt;/author&gt;&lt;author&gt;Ma, Dandan&lt;/author&gt;&lt;author&gt;Sun, Yan&lt;/author&gt;&lt;author&gt;Yang, Huayun&lt;/author&gt;&lt;author&gt;Liu, Qi&lt;/author&gt;&lt;author&gt;Cao, Yong&lt;/author&gt;&lt;author&gt;Li, Weidong&lt;/author&gt;&lt;/authors&gt;&lt;/contributors&gt;&lt;titles&gt;&lt;title&gt;Selective CO2 adsorption and H2 storage in two porous amine-pillared graphene oxide frameworks&lt;/title&gt;&lt;secondary-title&gt;Journal of Solid State Chemistry&lt;/secondary-title&gt;&lt;/titles&gt;&lt;periodical&gt;&lt;full-title&gt;Journal of Solid State Chemistry&lt;/full-title&gt;&lt;/periodical&gt;&lt;pages&gt;120980&lt;/pages&gt;&lt;volume&gt;279&lt;/volume&gt;&lt;keywords&gt;&lt;keyword&gt;Graphene oxide frameworks&lt;/keyword&gt;&lt;keyword&gt;H storage&lt;/keyword&gt;&lt;keyword&gt;Selective CO adsorption&lt;/keyword&gt;&lt;/keywords&gt;&lt;dates&gt;&lt;year&gt;2019&lt;/year&gt;&lt;pub-dates&gt;&lt;date&gt;2019/11/01/&lt;/date&gt;&lt;/pub-dates&gt;&lt;/dates&gt;&lt;isbn&gt;0022-4596&lt;/isbn&gt;&lt;urls&gt;&lt;related-urls&gt;&lt;url&gt;https://www.sciencedirect.com/science/article/pii/S0022459619304852&lt;/url&gt;&lt;/related-urls&gt;&lt;/urls&gt;&lt;electronic-resource-num&gt;https://doi.org/10.1016/j.jssc.2019.120980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[6]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06D80F3D" w14:textId="77777777" w:rsidTr="00266040">
        <w:trPr>
          <w:jc w:val="center"/>
        </w:trPr>
        <w:tc>
          <w:tcPr>
            <w:tcW w:w="1975" w:type="dxa"/>
          </w:tcPr>
          <w:p w14:paraId="2C287B77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proofErr w:type="gramStart"/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PEI(</w:t>
            </w:r>
            <w:proofErr w:type="gramEnd"/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60%)-GO</w:t>
            </w:r>
          </w:p>
        </w:tc>
        <w:tc>
          <w:tcPr>
            <w:tcW w:w="1350" w:type="dxa"/>
            <w:vAlign w:val="center"/>
          </w:tcPr>
          <w:p w14:paraId="28156005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0.74</w:t>
            </w:r>
          </w:p>
        </w:tc>
        <w:tc>
          <w:tcPr>
            <w:tcW w:w="1170" w:type="dxa"/>
            <w:vAlign w:val="center"/>
          </w:tcPr>
          <w:p w14:paraId="571166D9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37.17</w:t>
            </w:r>
          </w:p>
        </w:tc>
        <w:tc>
          <w:tcPr>
            <w:tcW w:w="1350" w:type="dxa"/>
            <w:vAlign w:val="center"/>
          </w:tcPr>
          <w:p w14:paraId="51A3742A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06AC473A" w14:textId="77777777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1A3538FD" w14:textId="3BC8D7F3" w:rsidR="00937BAB" w:rsidRPr="00AD16A3" w:rsidRDefault="00996744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&lt;EndNote&gt;&lt;Cite&gt;&lt;Author&gt;Hosseini&lt;/Author&gt;&lt;Year&gt;2021&lt;/Year&gt;&lt;RecNum&gt;1154&lt;/RecNum&gt;&lt;DisplayText&gt;[7]&lt;/DisplayText&gt;&lt;record&gt;&lt;rec-number&gt;1154&lt;/rec-number&gt;&lt;foreign-keys&gt;&lt;key app="EN" db-id="tv0zwewxazsxsne20wr55sp7vf9sstvtavfp" timestamp="1779145110"&gt;1154&lt;/key&gt;&lt;/foreign-keys&gt;&lt;ref-type name="Journal Article"&gt;17&lt;/ref-type&gt;&lt;contributors&gt;&lt;authors&gt;&lt;author&gt;Hosseini, Yasamin&lt;/author&gt;&lt;author&gt;Najafi, Mahsa&lt;/author&gt;&lt;author&gt;Khalili, Soodabeh&lt;/author&gt;&lt;author&gt;Jahanshahi, Mohsen&lt;/author&gt;&lt;author&gt;Peyravi, Majid&lt;/author&gt;&lt;/authors&gt;&lt;/contributors&gt;&lt;titles&gt;&lt;title&gt;Assembly of amine-functionalized graphene oxide for efficient and selective adsorption of CO2&lt;/title&gt;&lt;secondary-title&gt;Materials Chemistry and Physics&lt;/secondary-title&gt;&lt;/titles&gt;&lt;periodical&gt;&lt;full-title&gt;Materials Chemistry and Physics&lt;/full-title&gt;&lt;/periodical&gt;&lt;pages&gt;124788&lt;/pages&gt;&lt;volume&gt;270&lt;/volume&gt;&lt;keywords&gt;&lt;keyword&gt;CO adsorption&lt;/keyword&gt;&lt;keyword&gt;Graphene oxide&lt;/keyword&gt;&lt;keyword&gt;Amine functionalization&lt;/keyword&gt;&lt;keyword&gt;Selectivity&lt;/keyword&gt;&lt;/keywords&gt;&lt;dates&gt;&lt;year&gt;2021&lt;/year&gt;&lt;pub-dates&gt;&lt;date&gt;2021/09/15/&lt;/date&gt;&lt;/pub-dates&gt;&lt;/dates&gt;&lt;isbn&gt;0254-0584&lt;/isbn&gt;&lt;urls&gt;&lt;related-urls&gt;&lt;url&gt;https://www.sciencedirect.com/science/article/pii/S025405842100571X&lt;/url&gt;&lt;/related-urls&gt;&lt;/urls&gt;&lt;electronic-resource-num&gt;https://doi.org/10.1016/j.matchemphys.2021.124788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[7]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14844FF1" w14:textId="77777777" w:rsidTr="00266040">
        <w:trPr>
          <w:jc w:val="center"/>
        </w:trPr>
        <w:tc>
          <w:tcPr>
            <w:tcW w:w="1975" w:type="dxa"/>
          </w:tcPr>
          <w:p w14:paraId="29CD5C05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GO-MPD</w:t>
            </w:r>
          </w:p>
        </w:tc>
        <w:tc>
          <w:tcPr>
            <w:tcW w:w="1350" w:type="dxa"/>
            <w:vAlign w:val="center"/>
          </w:tcPr>
          <w:p w14:paraId="465002E2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0.91</w:t>
            </w:r>
          </w:p>
        </w:tc>
        <w:tc>
          <w:tcPr>
            <w:tcW w:w="1170" w:type="dxa"/>
            <w:vAlign w:val="center"/>
          </w:tcPr>
          <w:p w14:paraId="068B747E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val="en-US"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21.21</w:t>
            </w:r>
          </w:p>
        </w:tc>
        <w:tc>
          <w:tcPr>
            <w:tcW w:w="1350" w:type="dxa"/>
            <w:vAlign w:val="center"/>
          </w:tcPr>
          <w:p w14:paraId="2F00B7D4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49990061" w14:textId="77777777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4300E5FF" w14:textId="62030E01" w:rsidR="00937BAB" w:rsidRPr="00AD16A3" w:rsidRDefault="007221C2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&lt;EndNote&gt;&lt;Cite&gt;&lt;Author&gt;Hosseini&lt;/Author&gt;&lt;Year&gt;2021&lt;/Year&gt;&lt;RecNum&gt;1155&lt;/RecNum&gt;&lt;DisplayText&gt;[7]&lt;/DisplayText&gt;&lt;record&gt;&lt;rec-number&gt;1155&lt;/rec-number&gt;&lt;foreign-keys&gt;&lt;key app="EN" db-id="tv0zwewxazsxsne20wr55sp7vf9sstvtavfp" timestamp="1779145134"&gt;1155&lt;/key&gt;&lt;/foreign-keys&gt;&lt;ref-type name="Journal Article"&gt;17&lt;/ref-type&gt;&lt;contributors&gt;&lt;authors&gt;&lt;author&gt;Hosseini, Yasamin&lt;/author&gt;&lt;author&gt;Najafi, Mahsa&lt;/author&gt;&lt;author&gt;Khalili, Soodabeh&lt;/author&gt;&lt;author&gt;Jahanshahi, Mohsen&lt;/author&gt;&lt;author&gt;Peyravi, Majid&lt;/author&gt;&lt;/authors&gt;&lt;/contributors&gt;&lt;titles&gt;&lt;title&gt;Assembly of amine-functionalized graphene oxide for efficient and selective adsorption of CO2&lt;/title&gt;&lt;secondary-title&gt;Materials Chemistry and Physics&lt;/secondary-title&gt;&lt;/titles&gt;&lt;periodical&gt;&lt;full-title&gt;Materials Chemistry and Physics&lt;/full-title&gt;&lt;/periodical&gt;&lt;pages&gt;124788&lt;/pages&gt;&lt;volume&gt;270&lt;/volume&gt;&lt;keywords&gt;&lt;keyword&gt;CO adsorption&lt;/keyword&gt;&lt;keyword&gt;Graphene oxide&lt;/keyword&gt;&lt;keyword&gt;Amine functionalization&lt;/keyword&gt;&lt;keyword&gt;Selectivity&lt;/keyword&gt;&lt;/keywords&gt;&lt;dates&gt;&lt;year&gt;2021&lt;/year&gt;&lt;pub-dates&gt;&lt;date&gt;2021/09/15/&lt;/date&gt;&lt;/pub-dates&gt;&lt;/dates&gt;&lt;isbn&gt;0254-0584&lt;/isbn&gt;&lt;urls&gt;&lt;related-urls&gt;&lt;url&gt;https://www.sciencedirect.com/science/article/pii/S025405842100571X&lt;/url&gt;&lt;/related-urls&gt;&lt;/urls&gt;&lt;electronic-resource-num&gt;https://doi.org/10.1016/j.matchemphys.2021.124788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[7]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3A1BE0C7" w14:textId="77777777" w:rsidTr="00266040">
        <w:trPr>
          <w:jc w:val="center"/>
        </w:trPr>
        <w:tc>
          <w:tcPr>
            <w:tcW w:w="1975" w:type="dxa"/>
          </w:tcPr>
          <w:p w14:paraId="32FB7E09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MOF-200/GO</w:t>
            </w:r>
          </w:p>
        </w:tc>
        <w:tc>
          <w:tcPr>
            <w:tcW w:w="1350" w:type="dxa"/>
            <w:vAlign w:val="center"/>
          </w:tcPr>
          <w:p w14:paraId="751EDC8F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1.34</w:t>
            </w:r>
          </w:p>
        </w:tc>
        <w:tc>
          <w:tcPr>
            <w:tcW w:w="1170" w:type="dxa"/>
            <w:vAlign w:val="center"/>
          </w:tcPr>
          <w:p w14:paraId="3C004A1E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18.37</w:t>
            </w:r>
          </w:p>
        </w:tc>
        <w:tc>
          <w:tcPr>
            <w:tcW w:w="1350" w:type="dxa"/>
            <w:vAlign w:val="center"/>
          </w:tcPr>
          <w:p w14:paraId="72283796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0BE97BC4" w14:textId="57DC2C8F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val="en-US"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173DD4DD" w14:textId="74E8B567" w:rsidR="00937BAB" w:rsidRPr="00AD16A3" w:rsidRDefault="00793A25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&lt;EndNote&gt;&lt;Cite&gt;&lt;Author&gt;Hosseini&lt;/Author&gt;&lt;Year&gt;2021&lt;/Year&gt;&lt;RecNum&gt;1156&lt;/RecNum&gt;&lt;DisplayText&gt;[7]&lt;/DisplayText&gt;&lt;record&gt;&lt;rec-number&gt;1156&lt;/rec-number&gt;&lt;foreign-keys&gt;&lt;key app="EN" db-id="tv0zwewxazsxsne20wr55sp7vf9sstvtavfp" timestamp="1779145158"&gt;1156&lt;/key&gt;&lt;/foreign-keys&gt;&lt;ref-type name="Journal Article"&gt;17&lt;/ref-type&gt;&lt;contributors&gt;&lt;authors&gt;&lt;author&gt;Hosseini, Yasamin&lt;/author&gt;&lt;author&gt;Najafi, Mahsa&lt;/author&gt;&lt;author&gt;Khalili, Soodabeh&lt;/author&gt;&lt;author&gt;Jahanshahi, Mohsen&lt;/author&gt;&lt;author&gt;Peyravi, Majid&lt;/author&gt;&lt;/authors&gt;&lt;/contributors&gt;&lt;titles&gt;&lt;title&gt;Assembly of amine-functionalized graphene oxide for efficient and selective adsorption of CO2&lt;/title&gt;&lt;secondary-title&gt;Materials Chemistry and Physics&lt;/secondary-title&gt;&lt;/titles&gt;&lt;periodical&gt;&lt;full-title&gt;Materials Chemistry and Physics&lt;/full-title&gt;&lt;/periodical&gt;&lt;pages&gt;124788&lt;/pages&gt;&lt;volume&gt;270&lt;/volume&gt;&lt;keywords&gt;&lt;keyword&gt;CO adsorption&lt;/keyword&gt;&lt;keyword&gt;Graphene oxide&lt;/keyword&gt;&lt;keyword&gt;Amine functionalization&lt;/keyword&gt;&lt;keyword&gt;Selectivity&lt;/keyword&gt;&lt;/keywords&gt;&lt;dates&gt;&lt;year&gt;2021&lt;/year&gt;&lt;pub-dates&gt;&lt;date&gt;2021/09/15/&lt;/date&gt;&lt;/pub-dates&gt;&lt;/dates&gt;&lt;isbn&gt;0254-0584&lt;/isbn&gt;&lt;urls&gt;&lt;related-urls&gt;&lt;url&gt;https://www.sciencedirect.com/science/article/pii/S025405842100571X&lt;/url&gt;&lt;/related-urls&gt;&lt;/urls&gt;&lt;electronic-resource-num&gt;https://doi.org/10.1016/j.matchemphys.2021.124788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[7]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483FE2D3" w14:textId="77777777" w:rsidTr="00266040">
        <w:trPr>
          <w:jc w:val="center"/>
        </w:trPr>
        <w:tc>
          <w:tcPr>
            <w:tcW w:w="1975" w:type="dxa"/>
          </w:tcPr>
          <w:p w14:paraId="5A8AF880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GO-PEI1</w:t>
            </w:r>
          </w:p>
        </w:tc>
        <w:tc>
          <w:tcPr>
            <w:tcW w:w="1350" w:type="dxa"/>
            <w:vAlign w:val="center"/>
          </w:tcPr>
          <w:p w14:paraId="206C27E9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val="en-US"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0.69</w:t>
            </w:r>
          </w:p>
        </w:tc>
        <w:tc>
          <w:tcPr>
            <w:tcW w:w="1170" w:type="dxa"/>
            <w:vAlign w:val="center"/>
          </w:tcPr>
          <w:p w14:paraId="7043CE36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744AF323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7A5E79ED" w14:textId="77777777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 (</w:t>
            </w:r>
            <w:proofErr w:type="spellStart"/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atm</w:t>
            </w:r>
            <w:proofErr w:type="spellEnd"/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81" w:type="dxa"/>
          </w:tcPr>
          <w:p w14:paraId="15786ED0" w14:textId="664B915D" w:rsidR="00937BAB" w:rsidRPr="00AD16A3" w:rsidRDefault="004836FC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&lt;EndNote&gt;&lt;Cite&gt;&lt;Author&gt;González Barriuso&lt;/Author&gt;&lt;Year&gt;2019&lt;/Year&gt;&lt;RecNum&gt;1158&lt;/RecNum&gt;&lt;DisplayText&gt;[8]&lt;/DisplayText&gt;&lt;record&gt;&lt;rec-number&gt;1158&lt;/rec-number&gt;&lt;foreign-keys&gt;&lt;key app="EN" db-id="tv0zwewxazsxsne20wr55sp7vf9sstvtavfp" timestamp="1779145826"&gt;1158&lt;/key&gt;&lt;/foreign-keys&gt;&lt;ref-type name="Journal Article"&gt;17&lt;/ref-type&gt;&lt;contributors&gt;&lt;authors&gt;&lt;author&gt;González Barriuso, Marina&lt;/author&gt;&lt;author&gt;Pesquera González, Carmen&lt;/author&gt;&lt;author&gt;González Martínez, Fernando&lt;/author&gt;&lt;author&gt;Yedra Martínez, Ángel&lt;/author&gt;&lt;author&gt;Blanco Delgado, Carmen&lt;/author&gt;&lt;/authors&gt;&lt;/contributors&gt;&lt;titles&gt;&lt;title&gt;CO2 capture by amino-functionalized graphene oxide&lt;/title&gt;&lt;/titles&gt;&lt;dates&gt;&lt;year&gt;2019&lt;/year&gt;&lt;/dates&gt;&lt;isbn&gt;8895608720&lt;/isbn&gt;&lt;urls&gt;&lt;/urls&gt;&lt;/record&gt;&lt;/Cite&gt;&lt;/EndNote&gt;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[8]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0C2F0715" w14:textId="77777777" w:rsidTr="00266040">
        <w:trPr>
          <w:jc w:val="center"/>
        </w:trPr>
        <w:tc>
          <w:tcPr>
            <w:tcW w:w="1975" w:type="dxa"/>
          </w:tcPr>
          <w:p w14:paraId="55ED9A82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GO-APTMS1</w:t>
            </w:r>
          </w:p>
        </w:tc>
        <w:tc>
          <w:tcPr>
            <w:tcW w:w="1350" w:type="dxa"/>
            <w:vAlign w:val="center"/>
          </w:tcPr>
          <w:p w14:paraId="174D4F9C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1.71</w:t>
            </w:r>
          </w:p>
        </w:tc>
        <w:tc>
          <w:tcPr>
            <w:tcW w:w="1170" w:type="dxa"/>
            <w:vAlign w:val="center"/>
          </w:tcPr>
          <w:p w14:paraId="0BF3DA1C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25030DC2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01339E0D" w14:textId="77777777" w:rsidR="00937BAB" w:rsidRPr="008B6FB8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 (</w:t>
            </w:r>
            <w:proofErr w:type="spellStart"/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atm</w:t>
            </w:r>
            <w:proofErr w:type="spellEnd"/>
            <w:r w:rsidRPr="008B6FB8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81" w:type="dxa"/>
          </w:tcPr>
          <w:p w14:paraId="344312A5" w14:textId="5D35BBE4" w:rsidR="00937BAB" w:rsidRPr="00AD16A3" w:rsidRDefault="004836FC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&lt;EndNote&gt;&lt;Cite&gt;&lt;Author&gt;González Barriuso&lt;/Author&gt;&lt;Year&gt;2019&lt;/Year&gt;&lt;RecNum&gt;1158&lt;/RecNum&gt;&lt;DisplayText&gt;[8]&lt;/DisplayText&gt;&lt;record&gt;&lt;rec-number&gt;1158&lt;/rec-number&gt;&lt;foreign-keys&gt;&lt;key app="EN" db-id="tv0zwewxazsxsne20wr55sp7vf9sstvtavfp" timestamp="1779145826"&gt;1158&lt;/key&gt;&lt;/foreign-keys&gt;&lt;ref-type name="Journal Article"&gt;17&lt;/ref-type&gt;&lt;contributors&gt;&lt;authors&gt;&lt;author&gt;González Barriuso, Marina&lt;/author&gt;&lt;author&gt;Pesquera González, Carmen&lt;/author&gt;&lt;author&gt;González Martínez, Fernando&lt;/author&gt;&lt;author&gt;Yedra Martínez, Ángel&lt;/author&gt;&lt;author&gt;Blanco Delgado, Carmen&lt;/author&gt;&lt;/authors&gt;&lt;/contributors&gt;&lt;titles&gt;&lt;title&gt;CO2 capture by amino-functionalized graphene oxide&lt;/title&gt;&lt;/titles&gt;&lt;dates&gt;&lt;year&gt;2019&lt;/year&gt;&lt;/dates&gt;&lt;isbn&gt;8895608720&lt;/isbn&gt;&lt;urls&gt;&lt;/urls&gt;&lt;/record&gt;&lt;/Cite&gt;&lt;/EndNote&gt;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[8]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783FE8F7" w14:textId="77777777" w:rsidTr="00266040">
        <w:trPr>
          <w:jc w:val="center"/>
        </w:trPr>
        <w:tc>
          <w:tcPr>
            <w:tcW w:w="1975" w:type="dxa"/>
          </w:tcPr>
          <w:p w14:paraId="032F6605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Graphite oxide/EDA</w:t>
            </w:r>
          </w:p>
        </w:tc>
        <w:tc>
          <w:tcPr>
            <w:tcW w:w="1350" w:type="dxa"/>
            <w:vAlign w:val="center"/>
          </w:tcPr>
          <w:p w14:paraId="4C697E2F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1.22</w:t>
            </w:r>
          </w:p>
        </w:tc>
        <w:tc>
          <w:tcPr>
            <w:tcW w:w="1170" w:type="dxa"/>
            <w:vAlign w:val="center"/>
          </w:tcPr>
          <w:p w14:paraId="061AA14B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rtl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46AA5C43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170" w:type="dxa"/>
            <w:vAlign w:val="center"/>
          </w:tcPr>
          <w:p w14:paraId="10A26204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</w:p>
        </w:tc>
        <w:tc>
          <w:tcPr>
            <w:tcW w:w="1281" w:type="dxa"/>
          </w:tcPr>
          <w:p w14:paraId="4096E79A" w14:textId="5A0C46BA" w:rsidR="00937BAB" w:rsidRPr="00AD16A3" w:rsidRDefault="00897813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&lt;EndNote&gt;&lt;Cite&gt;&lt;Author&gt;Yunxia&lt;/Author&gt;&lt;Year&gt;2012&lt;/Year&gt;&lt;RecNum&gt;1157&lt;/RecNum&gt;&lt;DisplayText&gt;[9]&lt;/DisplayText&gt;&lt;record&gt;&lt;rec-number&gt;1157&lt;/rec-number&gt;&lt;foreign-keys&gt;&lt;key app="EN" db-id="tv0zwewxazsxsne20wr55sp7vf9sstvtavfp" timestamp="1779145770"&gt;1157&lt;/key&gt;&lt;/foreign-keys&gt;&lt;ref-type name="Journal Article"&gt;17&lt;/ref-type&gt;&lt;contributors&gt;&lt;authors&gt;&lt;author&gt;Yunxia, Zhao&lt;/author&gt;&lt;author&gt;Huiling, Ding&lt;/author&gt;&lt;author&gt;Qin, Zhong&lt;/author&gt;&lt;/authors&gt;&lt;/contributors&gt;&lt;titles&gt;&lt;title&gt;Preparation and characterization of aminated graphite oxide for CO2 capture&lt;/title&gt;&lt;/titles&gt;&lt;dates&gt;&lt;year&gt;2012&lt;/year&gt;&lt;/dates&gt;&lt;isbn&gt;0169-4332&lt;/isbn&gt;&lt;urls&gt;&lt;/urls&gt;&lt;/record&gt;&lt;/Cite&gt;&lt;/EndNote&gt;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[9]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54DFD3FD" w14:textId="77777777" w:rsidTr="00266040">
        <w:trPr>
          <w:jc w:val="center"/>
        </w:trPr>
        <w:tc>
          <w:tcPr>
            <w:tcW w:w="1975" w:type="dxa"/>
          </w:tcPr>
          <w:p w14:paraId="46D94CC2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CGO</w:t>
            </w:r>
          </w:p>
        </w:tc>
        <w:tc>
          <w:tcPr>
            <w:tcW w:w="1350" w:type="dxa"/>
            <w:vAlign w:val="center"/>
          </w:tcPr>
          <w:p w14:paraId="1962803A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0.5</w:t>
            </w:r>
          </w:p>
        </w:tc>
        <w:tc>
          <w:tcPr>
            <w:tcW w:w="1170" w:type="dxa"/>
            <w:vAlign w:val="center"/>
          </w:tcPr>
          <w:p w14:paraId="72DDEB10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350" w:type="dxa"/>
            <w:vAlign w:val="center"/>
          </w:tcPr>
          <w:p w14:paraId="468FB548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122A575D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7D6633D8" w14:textId="1C0DFF3A" w:rsidR="00937BAB" w:rsidRPr="00AD16A3" w:rsidRDefault="00C65E64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val="en-US"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val="en-US"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val="en-US" w:eastAsia="en-US"/>
              </w:rPr>
              <w:instrText xml:space="preserve"> ADDIN EN.CITE &lt;EndNote&gt;&lt;Cite&gt;&lt;Author&gt;Jerome&lt;/Author&gt;&lt;Year&gt;2025&lt;/Year&gt;&lt;RecNum&gt;1159&lt;/RecNum&gt;&lt;DisplayText&gt;[10]&lt;/DisplayText&gt;&lt;record&gt;&lt;rec-number&gt;1159&lt;/rec-number&gt;&lt;foreign-keys&gt;&lt;key app="EN" db-id="tv0zwewxazsxsne20wr55sp7vf9sstvtavfp" timestamp="1779145916"&gt;1159&lt;/key&gt;&lt;/foreign-keys&gt;&lt;ref-type name="Journal Article"&gt;17&lt;/ref-type&gt;&lt;contributors&gt;&lt;authors&gt;&lt;author&gt;Jerome, Marcellin Premila&lt;/author&gt;&lt;author&gt;Mathai Varghese, Anish&lt;/author&gt;&lt;author&gt;Kuppireddy, Suresh&lt;/author&gt;&lt;author&gt;Karanikolos, Georgios N.&lt;/author&gt;&lt;author&gt;Alamoodi, Nahla&lt;/author&gt;&lt;/authors&gt;&lt;/contributors&gt;&lt;titles&gt;&lt;title&gt;Upcycling paper waste into aminosilane-functionalized cellulose-graphene oxide composite aerogel adsorbents for low-pressure CO2 capture&lt;/title&gt;&lt;secondary-title&gt;Separation and Purification Technology&lt;/secondary-title&gt;&lt;/titles&gt;&lt;periodical&gt;&lt;full-title&gt;Separation and Purification Technology&lt;/full-title&gt;&lt;/periodical&gt;&lt;pages&gt;131089&lt;/pages&gt;&lt;volume&gt;360&lt;/volume&gt;&lt;keywords&gt;&lt;keyword&gt;Carbon capture adsorbents&lt;/keyword&gt;&lt;keyword&gt;Paper waste upcycling&lt;/keyword&gt;&lt;keyword&gt;Cellulose-graphene oxide composite&lt;/keyword&gt;&lt;keyword&gt;APTES grafting&lt;/keyword&gt;&lt;keyword&gt;CCS &amp;amp; CCUS&lt;/keyword&gt;&lt;keyword&gt;Adsorption&lt;/keyword&gt;&lt;keyword&gt;Waste valorization&lt;/keyword&gt;&lt;/keywords&gt;&lt;dates&gt;&lt;year&gt;2025&lt;/year&gt;&lt;pub-dates&gt;&lt;date&gt;2025/07/08/&lt;/date&gt;&lt;/pub-dates&gt;&lt;/dates&gt;&lt;isbn&gt;1383-5866&lt;/isbn&gt;&lt;urls&gt;&lt;related-urls&gt;&lt;url&gt;https://www.sciencedirect.com/science/article/pii/S1383586624048287&lt;/url&gt;&lt;/related-urls&gt;&lt;/urls&gt;&lt;electronic-resource-num&gt;https://doi.org/10.1016/j.seppur.2024.131089&lt;/electronic-resource-num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val="en-US"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val="en-US" w:eastAsia="en-US"/>
              </w:rPr>
              <w:t>[10]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val="en-US" w:eastAsia="en-US"/>
              </w:rPr>
              <w:fldChar w:fldCharType="end"/>
            </w:r>
          </w:p>
        </w:tc>
      </w:tr>
      <w:tr w:rsidR="00937BAB" w:rsidRPr="001047A4" w14:paraId="12CF6EF8" w14:textId="77777777" w:rsidTr="00266040">
        <w:trPr>
          <w:jc w:val="center"/>
        </w:trPr>
        <w:tc>
          <w:tcPr>
            <w:tcW w:w="1975" w:type="dxa"/>
          </w:tcPr>
          <w:p w14:paraId="29D467C1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CGO-1.5APTES</w:t>
            </w:r>
          </w:p>
        </w:tc>
        <w:tc>
          <w:tcPr>
            <w:tcW w:w="1350" w:type="dxa"/>
            <w:vAlign w:val="center"/>
          </w:tcPr>
          <w:p w14:paraId="549D1E98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1170" w:type="dxa"/>
            <w:vAlign w:val="center"/>
          </w:tcPr>
          <w:p w14:paraId="2AAB9200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159.2</w:t>
            </w:r>
          </w:p>
        </w:tc>
        <w:tc>
          <w:tcPr>
            <w:tcW w:w="1350" w:type="dxa"/>
            <w:vAlign w:val="center"/>
          </w:tcPr>
          <w:p w14:paraId="130CC93E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6C910EB0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13ED5480" w14:textId="4B55A365" w:rsidR="00937BAB" w:rsidRPr="00AD16A3" w:rsidRDefault="0028344D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&lt;EndNote&gt;&lt;Cite&gt;&lt;Author&gt;Jerome&lt;/Author&gt;&lt;Year&gt;2025&lt;/Year&gt;&lt;RecNum&gt;1160&lt;/RecNum&gt;&lt;DisplayText&gt;[11]&lt;/DisplayText&gt;&lt;record&gt;&lt;rec-number&gt;1160&lt;/rec-number&gt;&lt;foreign-keys&gt;&lt;key app="EN" db-id="tv0zwewxazsxsne20wr55sp7vf9sstvtavfp" timestamp="1779145995"&gt;1160&lt;/key&gt;&lt;/foreign-keys&gt;&lt;ref-type name="Journal Article"&gt;17&lt;/ref-type&gt;&lt;contributors&gt;&lt;authors&gt;&lt;author&gt;Jerome, Marcellin Premila&lt;/author&gt;&lt;author&gt;Varghese, Anish Mathai&lt;/author&gt;&lt;author&gt;Kuppireddy, Suresh&lt;/author&gt;&lt;author&gt;Karanikolos, Georgios N&lt;/author&gt;&lt;author&gt;Alamoodi, Nahla %J Separation&lt;/author&gt;&lt;author&gt;Purification Technology&lt;/author&gt;&lt;/authors&gt;&lt;/contributors&gt;&lt;titles&gt;&lt;title&gt;Upcycling paper waste into aminosilane-functionalized cellulose-graphene oxide composite aerogel adsorbents for low-pressure CO2 capture&lt;/title&gt;&lt;/titles&gt;&lt;pages&gt;131089&lt;/pages&gt;&lt;volume&gt;360&lt;/volume&gt;&lt;dates&gt;&lt;year&gt;2025&lt;/year&gt;&lt;/dates&gt;&lt;isbn&gt;1383-5866&lt;/isbn&gt;&lt;urls&gt;&lt;/urls&gt;&lt;/record&gt;&lt;/Cite&gt;&lt;/EndNote&gt;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[11]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1BC4BFB0" w14:textId="77777777" w:rsidTr="00266040">
        <w:trPr>
          <w:jc w:val="center"/>
        </w:trPr>
        <w:tc>
          <w:tcPr>
            <w:tcW w:w="1975" w:type="dxa"/>
          </w:tcPr>
          <w:p w14:paraId="3AE0E9F9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GO-TEHA</w:t>
            </w:r>
          </w:p>
        </w:tc>
        <w:tc>
          <w:tcPr>
            <w:tcW w:w="1350" w:type="dxa"/>
            <w:vAlign w:val="center"/>
          </w:tcPr>
          <w:p w14:paraId="617CD30A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0.74</w:t>
            </w:r>
          </w:p>
        </w:tc>
        <w:tc>
          <w:tcPr>
            <w:tcW w:w="1170" w:type="dxa"/>
            <w:vAlign w:val="center"/>
          </w:tcPr>
          <w:p w14:paraId="0CB921D2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16.37</w:t>
            </w:r>
          </w:p>
        </w:tc>
        <w:tc>
          <w:tcPr>
            <w:tcW w:w="1350" w:type="dxa"/>
            <w:vAlign w:val="center"/>
          </w:tcPr>
          <w:p w14:paraId="35531A14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501C5239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698B3031" w14:textId="338728EF" w:rsidR="00937BAB" w:rsidRPr="00AD16A3" w:rsidRDefault="00D5735C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&lt;EndNote&gt;&lt;Cite&gt;&lt;Author&gt;Hosseini&lt;/Author&gt;&lt;Year&gt;2021&lt;/Year&gt;&lt;RecNum&gt;1161&lt;/RecNum&gt;&lt;DisplayText&gt;[12]&lt;/DisplayText&gt;&lt;record&gt;&lt;rec-number&gt;1161&lt;/rec-number&gt;&lt;foreign-keys&gt;&lt;key app="EN" db-id="tv0zwewxazsxsne20wr55sp7vf9sstvtavfp" timestamp="1779146033"&gt;1161&lt;/key&gt;&lt;/foreign-keys&gt;&lt;ref-type name="Journal Article"&gt;17&lt;/ref-type&gt;&lt;contributors&gt;&lt;authors&gt;&lt;author&gt;Hosseini, Yasamin&lt;/author&gt;&lt;author&gt;Najafi, Mahsa&lt;/author&gt;&lt;author&gt;Khalili, Soodabeh&lt;/author&gt;&lt;author&gt;Jahanshahi, Mohsen&lt;/author&gt;&lt;author&gt;Peyravi, Majid %J Materials Chemistry&lt;/author&gt;&lt;author&gt;Physics&lt;/author&gt;&lt;/authors&gt;&lt;/contributors&gt;&lt;titles&gt;&lt;title&gt;Assembly of amine-functionalized graphene oxide for efficient and selective adsorption of CO2&lt;/title&gt;&lt;/titles&gt;&lt;pages&gt;124788&lt;/pages&gt;&lt;volume&gt;270&lt;/volume&gt;&lt;dates&gt;&lt;year&gt;2021&lt;/year&gt;&lt;/dates&gt;&lt;isbn&gt;0254-0584&lt;/isbn&gt;&lt;urls&gt;&lt;/urls&gt;&lt;/record&gt;&lt;/Cite&gt;&lt;/EndNote&gt;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[12]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7880EA05" w14:textId="77777777" w:rsidTr="00266040">
        <w:trPr>
          <w:jc w:val="center"/>
        </w:trPr>
        <w:tc>
          <w:tcPr>
            <w:tcW w:w="1975" w:type="dxa"/>
          </w:tcPr>
          <w:p w14:paraId="65FA8E63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sz w:val="20"/>
                <w:szCs w:val="20"/>
                <w:lang w:eastAsia="en-US"/>
              </w:rPr>
              <w:t>GO-EDA</w:t>
            </w:r>
          </w:p>
        </w:tc>
        <w:tc>
          <w:tcPr>
            <w:tcW w:w="1350" w:type="dxa"/>
            <w:vAlign w:val="center"/>
          </w:tcPr>
          <w:p w14:paraId="583568CB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1.18</w:t>
            </w:r>
          </w:p>
        </w:tc>
        <w:tc>
          <w:tcPr>
            <w:tcW w:w="1170" w:type="dxa"/>
            <w:vAlign w:val="center"/>
          </w:tcPr>
          <w:p w14:paraId="1402251E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31569C8F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170" w:type="dxa"/>
            <w:vAlign w:val="center"/>
          </w:tcPr>
          <w:p w14:paraId="62C0D750" w14:textId="77777777" w:rsidR="00937BAB" w:rsidRPr="001047A4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</w:pPr>
            <w:r w:rsidRPr="001047A4">
              <w:rPr>
                <w:rFonts w:asciiTheme="majorBidi" w:eastAsia="Aptos" w:hAnsiTheme="majorBidi" w:cstheme="maj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1B110F33" w14:textId="64C1E719" w:rsidR="00937BAB" w:rsidRPr="00AD16A3" w:rsidRDefault="001047A4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</w:pP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begin"/>
            </w:r>
            <w:r w:rsidR="00013311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instrText xml:space="preserve"> ADDIN EN.CITE &lt;EndNote&gt;&lt;Cite&gt;&lt;Author&gt;Pruna&lt;/Author&gt;&lt;Year&gt;2019&lt;/Year&gt;&lt;RecNum&gt;1162&lt;/RecNum&gt;&lt;DisplayText&gt;[13]&lt;/DisplayText&gt;&lt;record&gt;&lt;rec-number&gt;1162&lt;/rec-number&gt;&lt;foreign-keys&gt;&lt;key app="EN" db-id="tv0zwewxazsxsne20wr55sp7vf9sstvtavfp" timestamp="1779146073"&gt;1162&lt;/key&gt;&lt;/foreign-keys&gt;&lt;ref-type name="Journal Article"&gt;17&lt;/ref-type&gt;&lt;contributors&gt;&lt;authors&gt;&lt;author&gt;Pruna, A&lt;/author&gt;&lt;author&gt;Cárcel, Alfonso Cristóbal&lt;/author&gt;&lt;author&gt;Benedito, A&lt;/author&gt;&lt;author&gt;Giménez, EJASS %J Applied Surface Science&lt;/author&gt;&lt;/authors&gt;&lt;/contributors&gt;&lt;titles&gt;&lt;title&gt;Effect of synthesis conditions on CO2 capture of ethylenediamine-modified graphene aerogels&lt;/title&gt;&lt;/titles&gt;&lt;pages&gt;228-235&lt;/pages&gt;&lt;volume&gt;487&lt;/volume&gt;&lt;dates&gt;&lt;year&gt;2019&lt;/year&gt;&lt;/dates&gt;&lt;isbn&gt;0169-4332&lt;/isbn&gt;&lt;urls&gt;&lt;/urls&gt;&lt;/record&gt;&lt;/Cite&gt;&lt;/EndNote&gt;</w:instrTex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013311">
              <w:rPr>
                <w:rFonts w:asciiTheme="majorBidi" w:eastAsia="Aptos" w:hAnsiTheme="majorBidi" w:cstheme="majorBidi"/>
                <w:noProof/>
                <w:color w:val="000000" w:themeColor="text1"/>
                <w:sz w:val="22"/>
                <w:szCs w:val="22"/>
                <w:lang w:eastAsia="en-US"/>
              </w:rPr>
              <w:t>[13]</w:t>
            </w:r>
            <w:r w:rsidRPr="00AD16A3">
              <w:rPr>
                <w:rFonts w:asciiTheme="majorBidi" w:eastAsia="Aptos" w:hAnsiTheme="majorBidi" w:cstheme="majorBidi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937BAB" w:rsidRPr="001047A4" w14:paraId="0B71E5F1" w14:textId="77777777" w:rsidTr="00266040">
        <w:trPr>
          <w:jc w:val="center"/>
        </w:trPr>
        <w:tc>
          <w:tcPr>
            <w:tcW w:w="1975" w:type="dxa"/>
          </w:tcPr>
          <w:p w14:paraId="049EC180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val="en-US"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GO</w:t>
            </w:r>
          </w:p>
        </w:tc>
        <w:tc>
          <w:tcPr>
            <w:tcW w:w="1350" w:type="dxa"/>
            <w:vAlign w:val="center"/>
          </w:tcPr>
          <w:p w14:paraId="5971EC64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val="en-US"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0.26</w:t>
            </w:r>
          </w:p>
        </w:tc>
        <w:tc>
          <w:tcPr>
            <w:tcW w:w="1170" w:type="dxa"/>
            <w:vAlign w:val="center"/>
          </w:tcPr>
          <w:p w14:paraId="0286AE92" w14:textId="60DA90D3" w:rsidR="00937BAB" w:rsidRPr="00D8699C" w:rsidRDefault="00266040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03E3BC48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170" w:type="dxa"/>
            <w:vAlign w:val="center"/>
          </w:tcPr>
          <w:p w14:paraId="52BAD433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646B8248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This work</w:t>
            </w:r>
          </w:p>
        </w:tc>
      </w:tr>
      <w:tr w:rsidR="00937BAB" w:rsidRPr="001047A4" w14:paraId="58C6AE2C" w14:textId="77777777" w:rsidTr="00266040">
        <w:trPr>
          <w:jc w:val="center"/>
        </w:trPr>
        <w:tc>
          <w:tcPr>
            <w:tcW w:w="1975" w:type="dxa"/>
          </w:tcPr>
          <w:p w14:paraId="2B8F039A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GOF (</w:t>
            </w:r>
            <w:proofErr w:type="spellStart"/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COCl</w:t>
            </w:r>
            <w:proofErr w:type="spellEnd"/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2889F580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0.56</w:t>
            </w:r>
          </w:p>
        </w:tc>
        <w:tc>
          <w:tcPr>
            <w:tcW w:w="1170" w:type="dxa"/>
            <w:vAlign w:val="center"/>
          </w:tcPr>
          <w:p w14:paraId="4F9BFF13" w14:textId="3BF2D6A7" w:rsidR="00937BAB" w:rsidRPr="00D8699C" w:rsidRDefault="00266040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  <w:vAlign w:val="center"/>
          </w:tcPr>
          <w:p w14:paraId="2E9551FF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170" w:type="dxa"/>
            <w:vAlign w:val="center"/>
          </w:tcPr>
          <w:p w14:paraId="3177722A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4E637685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This work</w:t>
            </w:r>
          </w:p>
        </w:tc>
      </w:tr>
      <w:tr w:rsidR="00937BAB" w:rsidRPr="001047A4" w14:paraId="279C413E" w14:textId="77777777" w:rsidTr="00266040">
        <w:trPr>
          <w:jc w:val="center"/>
        </w:trPr>
        <w:tc>
          <w:tcPr>
            <w:tcW w:w="1975" w:type="dxa"/>
          </w:tcPr>
          <w:p w14:paraId="5914B05D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GOF (E)</w:t>
            </w:r>
          </w:p>
        </w:tc>
        <w:tc>
          <w:tcPr>
            <w:tcW w:w="1350" w:type="dxa"/>
          </w:tcPr>
          <w:p w14:paraId="09BECC96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1.00</w:t>
            </w:r>
          </w:p>
        </w:tc>
        <w:tc>
          <w:tcPr>
            <w:tcW w:w="1170" w:type="dxa"/>
          </w:tcPr>
          <w:p w14:paraId="77BB4013" w14:textId="6E21A300" w:rsidR="00937BAB" w:rsidRPr="00D8699C" w:rsidRDefault="00266040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50" w:type="dxa"/>
          </w:tcPr>
          <w:p w14:paraId="659611D6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170" w:type="dxa"/>
          </w:tcPr>
          <w:p w14:paraId="49371F2D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62B3D26B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This work</w:t>
            </w:r>
          </w:p>
        </w:tc>
      </w:tr>
      <w:tr w:rsidR="00937BAB" w:rsidRPr="001047A4" w14:paraId="23531745" w14:textId="77777777" w:rsidTr="00266040">
        <w:trPr>
          <w:jc w:val="center"/>
        </w:trPr>
        <w:tc>
          <w:tcPr>
            <w:tcW w:w="1975" w:type="dxa"/>
          </w:tcPr>
          <w:p w14:paraId="307FB05B" w14:textId="77777777" w:rsidR="00937BAB" w:rsidRPr="00D8699C" w:rsidRDefault="00937BAB" w:rsidP="00D8699C">
            <w:pPr>
              <w:spacing w:line="480" w:lineRule="auto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GOF (W)</w:t>
            </w:r>
          </w:p>
        </w:tc>
        <w:tc>
          <w:tcPr>
            <w:tcW w:w="1350" w:type="dxa"/>
          </w:tcPr>
          <w:p w14:paraId="2D9D5BD1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1.56</w:t>
            </w:r>
          </w:p>
        </w:tc>
        <w:tc>
          <w:tcPr>
            <w:tcW w:w="1170" w:type="dxa"/>
          </w:tcPr>
          <w:p w14:paraId="08D822B7" w14:textId="5B26215B" w:rsidR="00937BAB" w:rsidRPr="00D8699C" w:rsidRDefault="00266040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&gt;10</w:t>
            </w: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vertAlign w:val="superscript"/>
                <w:lang w:eastAsia="en-US"/>
              </w:rPr>
              <w:t>6</w:t>
            </w:r>
          </w:p>
        </w:tc>
        <w:tc>
          <w:tcPr>
            <w:tcW w:w="1350" w:type="dxa"/>
          </w:tcPr>
          <w:p w14:paraId="66B88C63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170" w:type="dxa"/>
          </w:tcPr>
          <w:p w14:paraId="50EE9DDC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1" w:type="dxa"/>
          </w:tcPr>
          <w:p w14:paraId="6D2AF056" w14:textId="77777777" w:rsidR="00937BAB" w:rsidRPr="00D8699C" w:rsidRDefault="00937BAB" w:rsidP="00D8699C">
            <w:pPr>
              <w:spacing w:line="480" w:lineRule="auto"/>
              <w:jc w:val="center"/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</w:pPr>
            <w:r w:rsidRPr="00D8699C">
              <w:rPr>
                <w:rFonts w:asciiTheme="majorBidi" w:eastAsia="Aptos" w:hAnsiTheme="majorBidi" w:cstheme="majorBidi"/>
                <w:color w:val="EE0000"/>
                <w:sz w:val="22"/>
                <w:szCs w:val="22"/>
                <w:lang w:eastAsia="en-US"/>
              </w:rPr>
              <w:t>This work</w:t>
            </w:r>
          </w:p>
        </w:tc>
      </w:tr>
    </w:tbl>
    <w:p w14:paraId="188CA77B" w14:textId="77777777" w:rsidR="00E931D0" w:rsidRDefault="00E931D0" w:rsidP="001021A6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4D16D952" w14:textId="77777777" w:rsidR="00E931D0" w:rsidRDefault="00E931D0" w:rsidP="001021A6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63E0905" w14:textId="77777777" w:rsidR="00611655" w:rsidRDefault="00611655" w:rsidP="001021A6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326533D2" w14:textId="77777777" w:rsidR="00611655" w:rsidRDefault="00611655" w:rsidP="001021A6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DA9888A" w14:textId="66CD2988" w:rsidR="00090FD1" w:rsidRDefault="00953FA2" w:rsidP="00E931D0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304C35">
        <w:rPr>
          <w:rFonts w:asciiTheme="majorBidi" w:hAnsiTheme="majorBidi" w:cstheme="majorBidi"/>
          <w:b/>
          <w:bCs/>
          <w:color w:val="000000" w:themeColor="text1"/>
        </w:rPr>
        <w:lastRenderedPageBreak/>
        <w:t>References</w:t>
      </w:r>
    </w:p>
    <w:p w14:paraId="063E6419" w14:textId="77777777" w:rsidR="00013311" w:rsidRPr="00E931D0" w:rsidRDefault="00090FD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  <w:b/>
          <w:bCs/>
          <w:color w:val="000000" w:themeColor="text1"/>
        </w:rPr>
        <w:fldChar w:fldCharType="begin"/>
      </w:r>
      <w:r w:rsidRPr="00E931D0">
        <w:rPr>
          <w:rFonts w:asciiTheme="majorBidi" w:hAnsiTheme="majorBidi" w:cstheme="majorBidi"/>
          <w:b/>
          <w:bCs/>
          <w:color w:val="000000" w:themeColor="text1"/>
        </w:rPr>
        <w:instrText xml:space="preserve"> ADDIN EN.REFLIST </w:instrText>
      </w:r>
      <w:r w:rsidRPr="00E931D0">
        <w:rPr>
          <w:rFonts w:asciiTheme="majorBidi" w:hAnsiTheme="majorBidi" w:cstheme="majorBidi"/>
          <w:b/>
          <w:bCs/>
          <w:color w:val="000000" w:themeColor="text1"/>
        </w:rPr>
        <w:fldChar w:fldCharType="separate"/>
      </w:r>
      <w:r w:rsidR="00013311" w:rsidRPr="00E931D0">
        <w:rPr>
          <w:rFonts w:asciiTheme="majorBidi" w:hAnsiTheme="majorBidi" w:cstheme="majorBidi"/>
        </w:rPr>
        <w:t>1.</w:t>
      </w:r>
      <w:r w:rsidR="00013311" w:rsidRPr="00E931D0">
        <w:rPr>
          <w:rFonts w:asciiTheme="majorBidi" w:hAnsiTheme="majorBidi" w:cstheme="majorBidi"/>
        </w:rPr>
        <w:tab/>
        <w:t xml:space="preserve">Gong, Z., et al., </w:t>
      </w:r>
      <w:r w:rsidR="00013311" w:rsidRPr="00E931D0">
        <w:rPr>
          <w:rFonts w:asciiTheme="majorBidi" w:hAnsiTheme="majorBidi" w:cstheme="majorBidi"/>
          <w:i/>
        </w:rPr>
        <w:t>Mechanistic insights into the role of alkali metal activation in CO2 adsorption by nitrogen-doped coal-based carbon materials.</w:t>
      </w:r>
      <w:r w:rsidR="00013311" w:rsidRPr="00E931D0">
        <w:rPr>
          <w:rFonts w:asciiTheme="majorBidi" w:hAnsiTheme="majorBidi" w:cstheme="majorBidi"/>
        </w:rPr>
        <w:t xml:space="preserve"> RSC Advances, 2025. </w:t>
      </w:r>
      <w:r w:rsidR="00013311" w:rsidRPr="00E931D0">
        <w:rPr>
          <w:rFonts w:asciiTheme="majorBidi" w:hAnsiTheme="majorBidi" w:cstheme="majorBidi"/>
          <w:b/>
        </w:rPr>
        <w:t>15</w:t>
      </w:r>
      <w:r w:rsidR="00013311" w:rsidRPr="00E931D0">
        <w:rPr>
          <w:rFonts w:asciiTheme="majorBidi" w:hAnsiTheme="majorBidi" w:cstheme="majorBidi"/>
        </w:rPr>
        <w:t>(52): p. 44883-44892.</w:t>
      </w:r>
    </w:p>
    <w:p w14:paraId="66A312EB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2.</w:t>
      </w:r>
      <w:r w:rsidRPr="00E931D0">
        <w:rPr>
          <w:rFonts w:asciiTheme="majorBidi" w:hAnsiTheme="majorBidi" w:cstheme="majorBidi"/>
        </w:rPr>
        <w:tab/>
        <w:t xml:space="preserve">Lu, T. and F. Chen, </w:t>
      </w:r>
      <w:r w:rsidRPr="00E931D0">
        <w:rPr>
          <w:rFonts w:asciiTheme="majorBidi" w:hAnsiTheme="majorBidi" w:cstheme="majorBidi"/>
          <w:i/>
        </w:rPr>
        <w:t>Multiwfn: A multifunctional wavefunction analyzer.</w:t>
      </w:r>
      <w:r w:rsidRPr="00E931D0">
        <w:rPr>
          <w:rFonts w:asciiTheme="majorBidi" w:hAnsiTheme="majorBidi" w:cstheme="majorBidi"/>
        </w:rPr>
        <w:t xml:space="preserve"> Journal of Computational Chemistry, 2012. </w:t>
      </w:r>
      <w:r w:rsidRPr="00E931D0">
        <w:rPr>
          <w:rFonts w:asciiTheme="majorBidi" w:hAnsiTheme="majorBidi" w:cstheme="majorBidi"/>
          <w:b/>
        </w:rPr>
        <w:t>33</w:t>
      </w:r>
      <w:r w:rsidRPr="00E931D0">
        <w:rPr>
          <w:rFonts w:asciiTheme="majorBidi" w:hAnsiTheme="majorBidi" w:cstheme="majorBidi"/>
        </w:rPr>
        <w:t>(5): p. 580-592.</w:t>
      </w:r>
    </w:p>
    <w:p w14:paraId="02233EDB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3.</w:t>
      </w:r>
      <w:r w:rsidRPr="00E931D0">
        <w:rPr>
          <w:rFonts w:asciiTheme="majorBidi" w:hAnsiTheme="majorBidi" w:cstheme="majorBidi"/>
        </w:rPr>
        <w:tab/>
        <w:t xml:space="preserve">Pastorczak, E. and C. Corminboeuf, </w:t>
      </w:r>
      <w:r w:rsidRPr="00E931D0">
        <w:rPr>
          <w:rFonts w:asciiTheme="majorBidi" w:hAnsiTheme="majorBidi" w:cstheme="majorBidi"/>
          <w:i/>
        </w:rPr>
        <w:t>Perspective: Found in translation: Quantum chemical tools for grasping non-covalent interactions.</w:t>
      </w:r>
      <w:r w:rsidRPr="00E931D0">
        <w:rPr>
          <w:rFonts w:asciiTheme="majorBidi" w:hAnsiTheme="majorBidi" w:cstheme="majorBidi"/>
        </w:rPr>
        <w:t xml:space="preserve"> The Journal of Chemical Physics, 2017. </w:t>
      </w:r>
      <w:r w:rsidRPr="00E931D0">
        <w:rPr>
          <w:rFonts w:asciiTheme="majorBidi" w:hAnsiTheme="majorBidi" w:cstheme="majorBidi"/>
          <w:b/>
        </w:rPr>
        <w:t>146</w:t>
      </w:r>
      <w:r w:rsidRPr="00E931D0">
        <w:rPr>
          <w:rFonts w:asciiTheme="majorBidi" w:hAnsiTheme="majorBidi" w:cstheme="majorBidi"/>
        </w:rPr>
        <w:t>(12).</w:t>
      </w:r>
    </w:p>
    <w:p w14:paraId="316B0293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4.</w:t>
      </w:r>
      <w:r w:rsidRPr="00E931D0">
        <w:rPr>
          <w:rFonts w:asciiTheme="majorBidi" w:hAnsiTheme="majorBidi" w:cstheme="majorBidi"/>
        </w:rPr>
        <w:tab/>
        <w:t xml:space="preserve">Deng, H., et al., </w:t>
      </w:r>
      <w:r w:rsidRPr="00E931D0">
        <w:rPr>
          <w:rFonts w:asciiTheme="majorBidi" w:hAnsiTheme="majorBidi" w:cstheme="majorBidi"/>
          <w:i/>
        </w:rPr>
        <w:t>Amine-modified graphene oxide: Reaction mechanism with functional groups and enhanced CO2 adsorption-separation performance.</w:t>
      </w:r>
      <w:r w:rsidRPr="00E931D0">
        <w:rPr>
          <w:rFonts w:asciiTheme="majorBidi" w:hAnsiTheme="majorBidi" w:cstheme="majorBidi"/>
        </w:rPr>
        <w:t xml:space="preserve"> Journal of Solid State Chemistry, 2025. </w:t>
      </w:r>
      <w:r w:rsidRPr="00E931D0">
        <w:rPr>
          <w:rFonts w:asciiTheme="majorBidi" w:hAnsiTheme="majorBidi" w:cstheme="majorBidi"/>
          <w:b/>
        </w:rPr>
        <w:t>352</w:t>
      </w:r>
      <w:r w:rsidRPr="00E931D0">
        <w:rPr>
          <w:rFonts w:asciiTheme="majorBidi" w:hAnsiTheme="majorBidi" w:cstheme="majorBidi"/>
        </w:rPr>
        <w:t>: p. 125617.</w:t>
      </w:r>
    </w:p>
    <w:p w14:paraId="570DE083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5.</w:t>
      </w:r>
      <w:r w:rsidRPr="00E931D0">
        <w:rPr>
          <w:rFonts w:asciiTheme="majorBidi" w:hAnsiTheme="majorBidi" w:cstheme="majorBidi"/>
        </w:rPr>
        <w:tab/>
        <w:t xml:space="preserve">Thomou, E., et al., </w:t>
      </w:r>
      <w:r w:rsidRPr="00E931D0">
        <w:rPr>
          <w:rFonts w:asciiTheme="majorBidi" w:hAnsiTheme="majorBidi" w:cstheme="majorBidi"/>
          <w:i/>
        </w:rPr>
        <w:t>A diamino-functionalized silsesquioxane pillared graphene oxide for CO2 capture.</w:t>
      </w:r>
      <w:r w:rsidRPr="00E931D0">
        <w:rPr>
          <w:rFonts w:asciiTheme="majorBidi" w:hAnsiTheme="majorBidi" w:cstheme="majorBidi"/>
        </w:rPr>
        <w:t xml:space="preserve"> RSC Advances, 2021. </w:t>
      </w:r>
      <w:r w:rsidRPr="00E931D0">
        <w:rPr>
          <w:rFonts w:asciiTheme="majorBidi" w:hAnsiTheme="majorBidi" w:cstheme="majorBidi"/>
          <w:b/>
        </w:rPr>
        <w:t>11</w:t>
      </w:r>
      <w:r w:rsidRPr="00E931D0">
        <w:rPr>
          <w:rFonts w:asciiTheme="majorBidi" w:hAnsiTheme="majorBidi" w:cstheme="majorBidi"/>
        </w:rPr>
        <w:t>(23): p. 13743-13750.</w:t>
      </w:r>
    </w:p>
    <w:p w14:paraId="301A02EE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6.</w:t>
      </w:r>
      <w:r w:rsidRPr="00E931D0">
        <w:rPr>
          <w:rFonts w:asciiTheme="majorBidi" w:hAnsiTheme="majorBidi" w:cstheme="majorBidi"/>
        </w:rPr>
        <w:tab/>
        <w:t xml:space="preserve">Chen, L., et al., </w:t>
      </w:r>
      <w:r w:rsidRPr="00E931D0">
        <w:rPr>
          <w:rFonts w:asciiTheme="majorBidi" w:hAnsiTheme="majorBidi" w:cstheme="majorBidi"/>
          <w:i/>
        </w:rPr>
        <w:t>Selective CO2 adsorption and H2 storage in two porous amine-pillared graphene oxide frameworks.</w:t>
      </w:r>
      <w:r w:rsidRPr="00E931D0">
        <w:rPr>
          <w:rFonts w:asciiTheme="majorBidi" w:hAnsiTheme="majorBidi" w:cstheme="majorBidi"/>
        </w:rPr>
        <w:t xml:space="preserve"> Journal of Solid State Chemistry, 2019. </w:t>
      </w:r>
      <w:r w:rsidRPr="00E931D0">
        <w:rPr>
          <w:rFonts w:asciiTheme="majorBidi" w:hAnsiTheme="majorBidi" w:cstheme="majorBidi"/>
          <w:b/>
        </w:rPr>
        <w:t>279</w:t>
      </w:r>
      <w:r w:rsidRPr="00E931D0">
        <w:rPr>
          <w:rFonts w:asciiTheme="majorBidi" w:hAnsiTheme="majorBidi" w:cstheme="majorBidi"/>
        </w:rPr>
        <w:t>: p. 120980.</w:t>
      </w:r>
    </w:p>
    <w:p w14:paraId="2424D96F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7.</w:t>
      </w:r>
      <w:r w:rsidRPr="00E931D0">
        <w:rPr>
          <w:rFonts w:asciiTheme="majorBidi" w:hAnsiTheme="majorBidi" w:cstheme="majorBidi"/>
        </w:rPr>
        <w:tab/>
        <w:t xml:space="preserve">Hosseini, Y., et al., </w:t>
      </w:r>
      <w:r w:rsidRPr="00E931D0">
        <w:rPr>
          <w:rFonts w:asciiTheme="majorBidi" w:hAnsiTheme="majorBidi" w:cstheme="majorBidi"/>
          <w:i/>
        </w:rPr>
        <w:t>Assembly of amine-functionalized graphene oxide for efficient and selective adsorption of CO2.</w:t>
      </w:r>
      <w:r w:rsidRPr="00E931D0">
        <w:rPr>
          <w:rFonts w:asciiTheme="majorBidi" w:hAnsiTheme="majorBidi" w:cstheme="majorBidi"/>
        </w:rPr>
        <w:t xml:space="preserve"> Materials Chemistry and Physics, 2021. </w:t>
      </w:r>
      <w:r w:rsidRPr="00E931D0">
        <w:rPr>
          <w:rFonts w:asciiTheme="majorBidi" w:hAnsiTheme="majorBidi" w:cstheme="majorBidi"/>
          <w:b/>
        </w:rPr>
        <w:t>270</w:t>
      </w:r>
      <w:r w:rsidRPr="00E931D0">
        <w:rPr>
          <w:rFonts w:asciiTheme="majorBidi" w:hAnsiTheme="majorBidi" w:cstheme="majorBidi"/>
        </w:rPr>
        <w:t>: p. 124788.</w:t>
      </w:r>
    </w:p>
    <w:p w14:paraId="27D2F078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8.</w:t>
      </w:r>
      <w:r w:rsidRPr="00E931D0">
        <w:rPr>
          <w:rFonts w:asciiTheme="majorBidi" w:hAnsiTheme="majorBidi" w:cstheme="majorBidi"/>
        </w:rPr>
        <w:tab/>
        <w:t xml:space="preserve">González Barriuso, M., et al., </w:t>
      </w:r>
      <w:r w:rsidRPr="00E931D0">
        <w:rPr>
          <w:rFonts w:asciiTheme="majorBidi" w:hAnsiTheme="majorBidi" w:cstheme="majorBidi"/>
          <w:i/>
        </w:rPr>
        <w:t>CO2 capture by amino-functionalized graphene oxide.</w:t>
      </w:r>
      <w:r w:rsidRPr="00E931D0">
        <w:rPr>
          <w:rFonts w:asciiTheme="majorBidi" w:hAnsiTheme="majorBidi" w:cstheme="majorBidi"/>
        </w:rPr>
        <w:t xml:space="preserve"> 2019.</w:t>
      </w:r>
    </w:p>
    <w:p w14:paraId="165EC049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9.</w:t>
      </w:r>
      <w:r w:rsidRPr="00E931D0">
        <w:rPr>
          <w:rFonts w:asciiTheme="majorBidi" w:hAnsiTheme="majorBidi" w:cstheme="majorBidi"/>
        </w:rPr>
        <w:tab/>
        <w:t xml:space="preserve">Yunxia, Z., D. Huiling, and Z. Qin, </w:t>
      </w:r>
      <w:r w:rsidRPr="00E931D0">
        <w:rPr>
          <w:rFonts w:asciiTheme="majorBidi" w:hAnsiTheme="majorBidi" w:cstheme="majorBidi"/>
          <w:i/>
        </w:rPr>
        <w:t>Preparation and characterization of aminated graphite oxide for CO2 capture.</w:t>
      </w:r>
      <w:r w:rsidRPr="00E931D0">
        <w:rPr>
          <w:rFonts w:asciiTheme="majorBidi" w:hAnsiTheme="majorBidi" w:cstheme="majorBidi"/>
        </w:rPr>
        <w:t xml:space="preserve"> 2012.</w:t>
      </w:r>
    </w:p>
    <w:p w14:paraId="69B6E475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10.</w:t>
      </w:r>
      <w:r w:rsidRPr="00E931D0">
        <w:rPr>
          <w:rFonts w:asciiTheme="majorBidi" w:hAnsiTheme="majorBidi" w:cstheme="majorBidi"/>
        </w:rPr>
        <w:tab/>
        <w:t xml:space="preserve">Jerome, M.P., et al., </w:t>
      </w:r>
      <w:r w:rsidRPr="00E931D0">
        <w:rPr>
          <w:rFonts w:asciiTheme="majorBidi" w:hAnsiTheme="majorBidi" w:cstheme="majorBidi"/>
          <w:i/>
        </w:rPr>
        <w:t>Upcycling paper waste into aminosilane-functionalized cellulose-graphene oxide composite aerogel adsorbents for low-pressure CO2 capture.</w:t>
      </w:r>
      <w:r w:rsidRPr="00E931D0">
        <w:rPr>
          <w:rFonts w:asciiTheme="majorBidi" w:hAnsiTheme="majorBidi" w:cstheme="majorBidi"/>
        </w:rPr>
        <w:t xml:space="preserve"> Separation and Purification Technology, 2025. </w:t>
      </w:r>
      <w:r w:rsidRPr="00E931D0">
        <w:rPr>
          <w:rFonts w:asciiTheme="majorBidi" w:hAnsiTheme="majorBidi" w:cstheme="majorBidi"/>
          <w:b/>
        </w:rPr>
        <w:t>360</w:t>
      </w:r>
      <w:r w:rsidRPr="00E931D0">
        <w:rPr>
          <w:rFonts w:asciiTheme="majorBidi" w:hAnsiTheme="majorBidi" w:cstheme="majorBidi"/>
        </w:rPr>
        <w:t>: p. 131089.</w:t>
      </w:r>
    </w:p>
    <w:p w14:paraId="2E1259BD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11.</w:t>
      </w:r>
      <w:r w:rsidRPr="00E931D0">
        <w:rPr>
          <w:rFonts w:asciiTheme="majorBidi" w:hAnsiTheme="majorBidi" w:cstheme="majorBidi"/>
        </w:rPr>
        <w:tab/>
        <w:t xml:space="preserve">Jerome, M.P., et al., </w:t>
      </w:r>
      <w:r w:rsidRPr="00E931D0">
        <w:rPr>
          <w:rFonts w:asciiTheme="majorBidi" w:hAnsiTheme="majorBidi" w:cstheme="majorBidi"/>
          <w:i/>
        </w:rPr>
        <w:t>Upcycling paper waste into aminosilane-functionalized cellulose-graphene oxide composite aerogel adsorbents for low-pressure CO2 capture.</w:t>
      </w:r>
      <w:r w:rsidRPr="00E931D0">
        <w:rPr>
          <w:rFonts w:asciiTheme="majorBidi" w:hAnsiTheme="majorBidi" w:cstheme="majorBidi"/>
        </w:rPr>
        <w:t xml:space="preserve"> 2025. </w:t>
      </w:r>
      <w:r w:rsidRPr="00E931D0">
        <w:rPr>
          <w:rFonts w:asciiTheme="majorBidi" w:hAnsiTheme="majorBidi" w:cstheme="majorBidi"/>
          <w:b/>
        </w:rPr>
        <w:t>360</w:t>
      </w:r>
      <w:r w:rsidRPr="00E931D0">
        <w:rPr>
          <w:rFonts w:asciiTheme="majorBidi" w:hAnsiTheme="majorBidi" w:cstheme="majorBidi"/>
        </w:rPr>
        <w:t>: p. 131089.</w:t>
      </w:r>
    </w:p>
    <w:p w14:paraId="32165B91" w14:textId="77777777" w:rsidR="00013311" w:rsidRPr="00E931D0" w:rsidRDefault="00013311" w:rsidP="00E931D0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12.</w:t>
      </w:r>
      <w:r w:rsidRPr="00E931D0">
        <w:rPr>
          <w:rFonts w:asciiTheme="majorBidi" w:hAnsiTheme="majorBidi" w:cstheme="majorBidi"/>
        </w:rPr>
        <w:tab/>
        <w:t xml:space="preserve">Hosseini, Y., et al., </w:t>
      </w:r>
      <w:r w:rsidRPr="00E931D0">
        <w:rPr>
          <w:rFonts w:asciiTheme="majorBidi" w:hAnsiTheme="majorBidi" w:cstheme="majorBidi"/>
          <w:i/>
        </w:rPr>
        <w:t>Assembly of amine-functionalized graphene oxide for efficient and selective adsorption of CO2.</w:t>
      </w:r>
      <w:r w:rsidRPr="00E931D0">
        <w:rPr>
          <w:rFonts w:asciiTheme="majorBidi" w:hAnsiTheme="majorBidi" w:cstheme="majorBidi"/>
        </w:rPr>
        <w:t xml:space="preserve"> 2021. </w:t>
      </w:r>
      <w:r w:rsidRPr="00E931D0">
        <w:rPr>
          <w:rFonts w:asciiTheme="majorBidi" w:hAnsiTheme="majorBidi" w:cstheme="majorBidi"/>
          <w:b/>
        </w:rPr>
        <w:t>270</w:t>
      </w:r>
      <w:r w:rsidRPr="00E931D0">
        <w:rPr>
          <w:rFonts w:asciiTheme="majorBidi" w:hAnsiTheme="majorBidi" w:cstheme="majorBidi"/>
        </w:rPr>
        <w:t>: p. 124788.</w:t>
      </w:r>
    </w:p>
    <w:p w14:paraId="368BD47C" w14:textId="77777777" w:rsidR="00013311" w:rsidRPr="00E931D0" w:rsidRDefault="00013311" w:rsidP="00E931D0">
      <w:pPr>
        <w:pStyle w:val="EndNoteBibliography"/>
        <w:ind w:left="720" w:hanging="720"/>
        <w:jc w:val="both"/>
        <w:rPr>
          <w:rFonts w:asciiTheme="majorBidi" w:hAnsiTheme="majorBidi" w:cstheme="majorBidi"/>
        </w:rPr>
      </w:pPr>
      <w:r w:rsidRPr="00E931D0">
        <w:rPr>
          <w:rFonts w:asciiTheme="majorBidi" w:hAnsiTheme="majorBidi" w:cstheme="majorBidi"/>
        </w:rPr>
        <w:t>13.</w:t>
      </w:r>
      <w:r w:rsidRPr="00E931D0">
        <w:rPr>
          <w:rFonts w:asciiTheme="majorBidi" w:hAnsiTheme="majorBidi" w:cstheme="majorBidi"/>
        </w:rPr>
        <w:tab/>
        <w:t xml:space="preserve">Pruna, A., et al., </w:t>
      </w:r>
      <w:r w:rsidRPr="00E931D0">
        <w:rPr>
          <w:rFonts w:asciiTheme="majorBidi" w:hAnsiTheme="majorBidi" w:cstheme="majorBidi"/>
          <w:i/>
        </w:rPr>
        <w:t>Effect of synthesis conditions on CO2 capture of ethylenediamine-modified graphene aerogels.</w:t>
      </w:r>
      <w:r w:rsidRPr="00E931D0">
        <w:rPr>
          <w:rFonts w:asciiTheme="majorBidi" w:hAnsiTheme="majorBidi" w:cstheme="majorBidi"/>
        </w:rPr>
        <w:t xml:space="preserve"> 2019. </w:t>
      </w:r>
      <w:r w:rsidRPr="00E931D0">
        <w:rPr>
          <w:rFonts w:asciiTheme="majorBidi" w:hAnsiTheme="majorBidi" w:cstheme="majorBidi"/>
          <w:b/>
        </w:rPr>
        <w:t>487</w:t>
      </w:r>
      <w:r w:rsidRPr="00E931D0">
        <w:rPr>
          <w:rFonts w:asciiTheme="majorBidi" w:hAnsiTheme="majorBidi" w:cstheme="majorBidi"/>
        </w:rPr>
        <w:t>: p. 228-235.</w:t>
      </w:r>
    </w:p>
    <w:p w14:paraId="4E761704" w14:textId="4DFB2373" w:rsidR="00E36C42" w:rsidRPr="00D8699C" w:rsidRDefault="00090FD1" w:rsidP="00E931D0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E931D0">
        <w:rPr>
          <w:rFonts w:asciiTheme="majorBidi" w:hAnsiTheme="majorBidi" w:cstheme="majorBidi"/>
          <w:b/>
          <w:bCs/>
          <w:color w:val="000000" w:themeColor="text1"/>
        </w:rPr>
        <w:fldChar w:fldCharType="end"/>
      </w:r>
    </w:p>
    <w:sectPr w:rsidR="00E36C42" w:rsidRPr="00D8699C" w:rsidSect="00924C39">
      <w:headerReference w:type="default" r:id="rId23"/>
      <w:footerReference w:type="default" r:id="rId2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96A5" w14:textId="77777777" w:rsidR="001B7BE9" w:rsidRDefault="001B7BE9" w:rsidP="00490A7E">
      <w:pPr>
        <w:spacing w:after="0" w:line="240" w:lineRule="auto"/>
      </w:pPr>
      <w:r>
        <w:separator/>
      </w:r>
    </w:p>
  </w:endnote>
  <w:endnote w:type="continuationSeparator" w:id="0">
    <w:p w14:paraId="2744621F" w14:textId="77777777" w:rsidR="001B7BE9" w:rsidRDefault="001B7BE9" w:rsidP="00490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8603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12F5D7" w14:textId="2EE30B55" w:rsidR="007F501B" w:rsidRDefault="007F50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5CD123" w14:textId="77777777" w:rsidR="007F501B" w:rsidRDefault="007F50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A1A29" w14:textId="77777777" w:rsidR="001B7BE9" w:rsidRDefault="001B7BE9" w:rsidP="00490A7E">
      <w:pPr>
        <w:spacing w:after="0" w:line="240" w:lineRule="auto"/>
      </w:pPr>
      <w:r>
        <w:separator/>
      </w:r>
    </w:p>
  </w:footnote>
  <w:footnote w:type="continuationSeparator" w:id="0">
    <w:p w14:paraId="5F978072" w14:textId="77777777" w:rsidR="001B7BE9" w:rsidRDefault="001B7BE9" w:rsidP="00490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32151" w14:textId="433DDC18" w:rsidR="00BA11DE" w:rsidRDefault="00BA11DE">
    <w:pPr>
      <w:pStyle w:val="Header"/>
    </w:pPr>
    <w:r w:rsidRPr="00BA11DE">
      <w:t>Supporting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B82"/>
    <w:multiLevelType w:val="multilevel"/>
    <w:tmpl w:val="4A2286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Theme="majorBidi" w:eastAsia="Times New Roman" w:hAnsiTheme="majorBidi" w:cstheme="majorBidi"/>
        <w:b/>
        <w:bCs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28A04208"/>
    <w:multiLevelType w:val="multilevel"/>
    <w:tmpl w:val="7ED0968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DA74ACE"/>
    <w:multiLevelType w:val="multilevel"/>
    <w:tmpl w:val="732CD0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49C7F7B"/>
    <w:multiLevelType w:val="hybridMultilevel"/>
    <w:tmpl w:val="651652F4"/>
    <w:lvl w:ilvl="0" w:tplc="647A0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7231F"/>
    <w:multiLevelType w:val="hybridMultilevel"/>
    <w:tmpl w:val="19540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9176009">
    <w:abstractNumId w:val="1"/>
  </w:num>
  <w:num w:numId="2" w16cid:durableId="291442868">
    <w:abstractNumId w:val="4"/>
  </w:num>
  <w:num w:numId="3" w16cid:durableId="1486509179">
    <w:abstractNumId w:val="3"/>
  </w:num>
  <w:num w:numId="4" w16cid:durableId="2020081907">
    <w:abstractNumId w:val="0"/>
  </w:num>
  <w:num w:numId="5" w16cid:durableId="75175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w9sxtxhw5a0jef22lxwpafwsd9ewxas5pf&quot;&gt;My EndNote Library&lt;record-ids&gt;&lt;item&gt;56&lt;/item&gt;&lt;item&gt;57&lt;/item&gt;&lt;item&gt;58&lt;/item&gt;&lt;/record-ids&gt;&lt;/item&gt;&lt;/Libraries&gt;"/>
  </w:docVars>
  <w:rsids>
    <w:rsidRoot w:val="00A57804"/>
    <w:rsid w:val="00000943"/>
    <w:rsid w:val="00004B2A"/>
    <w:rsid w:val="00007F69"/>
    <w:rsid w:val="00010074"/>
    <w:rsid w:val="00013311"/>
    <w:rsid w:val="000317BF"/>
    <w:rsid w:val="00046288"/>
    <w:rsid w:val="00057469"/>
    <w:rsid w:val="0008566A"/>
    <w:rsid w:val="00085D2E"/>
    <w:rsid w:val="00090FD1"/>
    <w:rsid w:val="0009542D"/>
    <w:rsid w:val="000A1C40"/>
    <w:rsid w:val="000B3ECD"/>
    <w:rsid w:val="000C1249"/>
    <w:rsid w:val="000E1F4C"/>
    <w:rsid w:val="000E59E9"/>
    <w:rsid w:val="000F360B"/>
    <w:rsid w:val="001021A6"/>
    <w:rsid w:val="001047A4"/>
    <w:rsid w:val="00107934"/>
    <w:rsid w:val="0011054A"/>
    <w:rsid w:val="00112438"/>
    <w:rsid w:val="00115BF5"/>
    <w:rsid w:val="00127D7F"/>
    <w:rsid w:val="001320CF"/>
    <w:rsid w:val="001439AA"/>
    <w:rsid w:val="00154882"/>
    <w:rsid w:val="00161395"/>
    <w:rsid w:val="00166C9F"/>
    <w:rsid w:val="00166FF6"/>
    <w:rsid w:val="00173264"/>
    <w:rsid w:val="0019097D"/>
    <w:rsid w:val="00190A9B"/>
    <w:rsid w:val="00193ED5"/>
    <w:rsid w:val="001A2E56"/>
    <w:rsid w:val="001B38BD"/>
    <w:rsid w:val="001B7BE9"/>
    <w:rsid w:val="001C0200"/>
    <w:rsid w:val="001C3B28"/>
    <w:rsid w:val="001D3B24"/>
    <w:rsid w:val="001D7585"/>
    <w:rsid w:val="001E53F2"/>
    <w:rsid w:val="001F3842"/>
    <w:rsid w:val="00204271"/>
    <w:rsid w:val="002128C5"/>
    <w:rsid w:val="002153D8"/>
    <w:rsid w:val="0023044C"/>
    <w:rsid w:val="00234DE1"/>
    <w:rsid w:val="00242779"/>
    <w:rsid w:val="002461B3"/>
    <w:rsid w:val="0025417B"/>
    <w:rsid w:val="00262DCD"/>
    <w:rsid w:val="00266040"/>
    <w:rsid w:val="00272EBE"/>
    <w:rsid w:val="00273FAF"/>
    <w:rsid w:val="0028008D"/>
    <w:rsid w:val="002812F5"/>
    <w:rsid w:val="0028344D"/>
    <w:rsid w:val="00284579"/>
    <w:rsid w:val="0028497F"/>
    <w:rsid w:val="002A21E2"/>
    <w:rsid w:val="002B1CD2"/>
    <w:rsid w:val="002B3414"/>
    <w:rsid w:val="002D287D"/>
    <w:rsid w:val="002D5793"/>
    <w:rsid w:val="002E777E"/>
    <w:rsid w:val="002F297A"/>
    <w:rsid w:val="002F742C"/>
    <w:rsid w:val="00304C35"/>
    <w:rsid w:val="00305C08"/>
    <w:rsid w:val="00313113"/>
    <w:rsid w:val="00324BB2"/>
    <w:rsid w:val="0032505A"/>
    <w:rsid w:val="00332BBC"/>
    <w:rsid w:val="0033464E"/>
    <w:rsid w:val="0033525C"/>
    <w:rsid w:val="00380BFE"/>
    <w:rsid w:val="003877B8"/>
    <w:rsid w:val="003954B2"/>
    <w:rsid w:val="003A205F"/>
    <w:rsid w:val="003A7754"/>
    <w:rsid w:val="003B19AF"/>
    <w:rsid w:val="003B209D"/>
    <w:rsid w:val="003C1BD4"/>
    <w:rsid w:val="003C6FED"/>
    <w:rsid w:val="003D5CDF"/>
    <w:rsid w:val="003E137A"/>
    <w:rsid w:val="003F641D"/>
    <w:rsid w:val="00402ACD"/>
    <w:rsid w:val="00413B8B"/>
    <w:rsid w:val="004356D7"/>
    <w:rsid w:val="0044263B"/>
    <w:rsid w:val="00447EFF"/>
    <w:rsid w:val="00460052"/>
    <w:rsid w:val="0046118B"/>
    <w:rsid w:val="00466A96"/>
    <w:rsid w:val="004671FA"/>
    <w:rsid w:val="004836FC"/>
    <w:rsid w:val="00490A7E"/>
    <w:rsid w:val="004A20D3"/>
    <w:rsid w:val="004A28A8"/>
    <w:rsid w:val="004B102E"/>
    <w:rsid w:val="004C0DBE"/>
    <w:rsid w:val="004C0DD5"/>
    <w:rsid w:val="004C0E89"/>
    <w:rsid w:val="004C2D98"/>
    <w:rsid w:val="004D77AB"/>
    <w:rsid w:val="004F654F"/>
    <w:rsid w:val="004F7C7B"/>
    <w:rsid w:val="005005E6"/>
    <w:rsid w:val="00512E45"/>
    <w:rsid w:val="005366C4"/>
    <w:rsid w:val="005479CE"/>
    <w:rsid w:val="0055058A"/>
    <w:rsid w:val="00555760"/>
    <w:rsid w:val="005735AC"/>
    <w:rsid w:val="00585039"/>
    <w:rsid w:val="00594AC8"/>
    <w:rsid w:val="005A04B0"/>
    <w:rsid w:val="005A2A85"/>
    <w:rsid w:val="005A30F2"/>
    <w:rsid w:val="005D7C7B"/>
    <w:rsid w:val="005E7E05"/>
    <w:rsid w:val="00611655"/>
    <w:rsid w:val="00612484"/>
    <w:rsid w:val="00616148"/>
    <w:rsid w:val="00621963"/>
    <w:rsid w:val="00646A09"/>
    <w:rsid w:val="0068008E"/>
    <w:rsid w:val="006B5CA7"/>
    <w:rsid w:val="006B79C3"/>
    <w:rsid w:val="006C2681"/>
    <w:rsid w:val="006C2ECA"/>
    <w:rsid w:val="006D1C63"/>
    <w:rsid w:val="006D723B"/>
    <w:rsid w:val="00713F8B"/>
    <w:rsid w:val="00716F10"/>
    <w:rsid w:val="00720598"/>
    <w:rsid w:val="007221C2"/>
    <w:rsid w:val="00731C39"/>
    <w:rsid w:val="00742590"/>
    <w:rsid w:val="007528E8"/>
    <w:rsid w:val="00752CD8"/>
    <w:rsid w:val="0077701D"/>
    <w:rsid w:val="00780895"/>
    <w:rsid w:val="00793A25"/>
    <w:rsid w:val="00794333"/>
    <w:rsid w:val="007A42B3"/>
    <w:rsid w:val="007B2F58"/>
    <w:rsid w:val="007C3EA0"/>
    <w:rsid w:val="007F501B"/>
    <w:rsid w:val="00801D61"/>
    <w:rsid w:val="00811268"/>
    <w:rsid w:val="008127DA"/>
    <w:rsid w:val="008159D9"/>
    <w:rsid w:val="00853165"/>
    <w:rsid w:val="00867932"/>
    <w:rsid w:val="00870FAF"/>
    <w:rsid w:val="00882DA1"/>
    <w:rsid w:val="00897813"/>
    <w:rsid w:val="008A334B"/>
    <w:rsid w:val="008A7551"/>
    <w:rsid w:val="008B0272"/>
    <w:rsid w:val="008B095A"/>
    <w:rsid w:val="008B6FB8"/>
    <w:rsid w:val="008D1E14"/>
    <w:rsid w:val="008D29DE"/>
    <w:rsid w:val="008E1D9F"/>
    <w:rsid w:val="008E29A4"/>
    <w:rsid w:val="008E4076"/>
    <w:rsid w:val="008E52B1"/>
    <w:rsid w:val="00907349"/>
    <w:rsid w:val="00907AFF"/>
    <w:rsid w:val="00924C39"/>
    <w:rsid w:val="00931261"/>
    <w:rsid w:val="00937BAB"/>
    <w:rsid w:val="00937F99"/>
    <w:rsid w:val="00953FA2"/>
    <w:rsid w:val="0099081E"/>
    <w:rsid w:val="00990941"/>
    <w:rsid w:val="009954E3"/>
    <w:rsid w:val="00996744"/>
    <w:rsid w:val="009A4BFD"/>
    <w:rsid w:val="009A6DB9"/>
    <w:rsid w:val="009A7DBE"/>
    <w:rsid w:val="009B129D"/>
    <w:rsid w:val="009C6104"/>
    <w:rsid w:val="009F39E3"/>
    <w:rsid w:val="00A0498A"/>
    <w:rsid w:val="00A04BDA"/>
    <w:rsid w:val="00A228C1"/>
    <w:rsid w:val="00A36E14"/>
    <w:rsid w:val="00A463CC"/>
    <w:rsid w:val="00A52C36"/>
    <w:rsid w:val="00A531C6"/>
    <w:rsid w:val="00A57804"/>
    <w:rsid w:val="00A65751"/>
    <w:rsid w:val="00A7006C"/>
    <w:rsid w:val="00A70E1B"/>
    <w:rsid w:val="00A7582A"/>
    <w:rsid w:val="00A7593B"/>
    <w:rsid w:val="00A87A27"/>
    <w:rsid w:val="00AC03C6"/>
    <w:rsid w:val="00AD16A3"/>
    <w:rsid w:val="00AD3229"/>
    <w:rsid w:val="00AD35BD"/>
    <w:rsid w:val="00AE24B7"/>
    <w:rsid w:val="00AF1912"/>
    <w:rsid w:val="00B01D2E"/>
    <w:rsid w:val="00B27F8F"/>
    <w:rsid w:val="00B456BA"/>
    <w:rsid w:val="00B674CE"/>
    <w:rsid w:val="00B721AB"/>
    <w:rsid w:val="00B769FD"/>
    <w:rsid w:val="00B836AE"/>
    <w:rsid w:val="00B87341"/>
    <w:rsid w:val="00B92711"/>
    <w:rsid w:val="00B92FE0"/>
    <w:rsid w:val="00B97623"/>
    <w:rsid w:val="00BA11DE"/>
    <w:rsid w:val="00BB15C3"/>
    <w:rsid w:val="00BB367E"/>
    <w:rsid w:val="00BC2694"/>
    <w:rsid w:val="00BC389D"/>
    <w:rsid w:val="00BC41B0"/>
    <w:rsid w:val="00BE4540"/>
    <w:rsid w:val="00C1335C"/>
    <w:rsid w:val="00C15A9A"/>
    <w:rsid w:val="00C17DCC"/>
    <w:rsid w:val="00C2101C"/>
    <w:rsid w:val="00C227AE"/>
    <w:rsid w:val="00C25617"/>
    <w:rsid w:val="00C43EEE"/>
    <w:rsid w:val="00C4681A"/>
    <w:rsid w:val="00C62B68"/>
    <w:rsid w:val="00C6388C"/>
    <w:rsid w:val="00C65E64"/>
    <w:rsid w:val="00C72615"/>
    <w:rsid w:val="00C75881"/>
    <w:rsid w:val="00C763F4"/>
    <w:rsid w:val="00C76692"/>
    <w:rsid w:val="00C772F4"/>
    <w:rsid w:val="00C90600"/>
    <w:rsid w:val="00CA15B4"/>
    <w:rsid w:val="00CA586C"/>
    <w:rsid w:val="00CB1BF6"/>
    <w:rsid w:val="00CC7FC7"/>
    <w:rsid w:val="00CD4569"/>
    <w:rsid w:val="00CE2DCC"/>
    <w:rsid w:val="00CE70C8"/>
    <w:rsid w:val="00D10C5D"/>
    <w:rsid w:val="00D215AF"/>
    <w:rsid w:val="00D322A0"/>
    <w:rsid w:val="00D40A15"/>
    <w:rsid w:val="00D5735C"/>
    <w:rsid w:val="00D70879"/>
    <w:rsid w:val="00D77139"/>
    <w:rsid w:val="00D81A92"/>
    <w:rsid w:val="00D8699C"/>
    <w:rsid w:val="00DA00B2"/>
    <w:rsid w:val="00DA5048"/>
    <w:rsid w:val="00DD4841"/>
    <w:rsid w:val="00DD64D7"/>
    <w:rsid w:val="00DE462B"/>
    <w:rsid w:val="00DE729B"/>
    <w:rsid w:val="00DE7A5B"/>
    <w:rsid w:val="00DF2C99"/>
    <w:rsid w:val="00DF3E0A"/>
    <w:rsid w:val="00DF753A"/>
    <w:rsid w:val="00E0381F"/>
    <w:rsid w:val="00E13F06"/>
    <w:rsid w:val="00E2575B"/>
    <w:rsid w:val="00E26FA6"/>
    <w:rsid w:val="00E2708A"/>
    <w:rsid w:val="00E271BF"/>
    <w:rsid w:val="00E36C42"/>
    <w:rsid w:val="00E52A6D"/>
    <w:rsid w:val="00E52D0E"/>
    <w:rsid w:val="00E556A4"/>
    <w:rsid w:val="00E57BC7"/>
    <w:rsid w:val="00E617D5"/>
    <w:rsid w:val="00E666F2"/>
    <w:rsid w:val="00E7408E"/>
    <w:rsid w:val="00E83D35"/>
    <w:rsid w:val="00E8402C"/>
    <w:rsid w:val="00E907C8"/>
    <w:rsid w:val="00E931D0"/>
    <w:rsid w:val="00EA50F2"/>
    <w:rsid w:val="00EA571E"/>
    <w:rsid w:val="00EC5771"/>
    <w:rsid w:val="00ED1913"/>
    <w:rsid w:val="00ED64CD"/>
    <w:rsid w:val="00EF1781"/>
    <w:rsid w:val="00EF3308"/>
    <w:rsid w:val="00EF44AB"/>
    <w:rsid w:val="00F02ECA"/>
    <w:rsid w:val="00F04A24"/>
    <w:rsid w:val="00F235DE"/>
    <w:rsid w:val="00F34F3C"/>
    <w:rsid w:val="00F373D5"/>
    <w:rsid w:val="00F41F7F"/>
    <w:rsid w:val="00F55B10"/>
    <w:rsid w:val="00F61F27"/>
    <w:rsid w:val="00F900AC"/>
    <w:rsid w:val="00FA0B79"/>
    <w:rsid w:val="00FA31C6"/>
    <w:rsid w:val="00FB00FD"/>
    <w:rsid w:val="00FB1114"/>
    <w:rsid w:val="00FE1771"/>
    <w:rsid w:val="00FF00B6"/>
    <w:rsid w:val="00FF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CC639"/>
  <w15:chartTrackingRefBased/>
  <w15:docId w15:val="{FD7D322F-777B-4816-9A52-EA96A378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804"/>
    <w:pPr>
      <w:spacing w:line="278" w:lineRule="auto"/>
    </w:pPr>
    <w:rPr>
      <w:rFonts w:eastAsiaTheme="minorEastAsia"/>
      <w:sz w:val="24"/>
      <w:szCs w:val="24"/>
      <w:lang w:val="en-GB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804"/>
    <w:pPr>
      <w:keepNext/>
      <w:keepLines/>
      <w:bidi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04"/>
    <w:pPr>
      <w:keepNext/>
      <w:keepLines/>
      <w:bidi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04"/>
    <w:pPr>
      <w:keepNext/>
      <w:keepLines/>
      <w:bidi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04"/>
    <w:pPr>
      <w:keepNext/>
      <w:keepLines/>
      <w:bidi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04"/>
    <w:pPr>
      <w:keepNext/>
      <w:keepLines/>
      <w:bidi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04"/>
    <w:pPr>
      <w:keepNext/>
      <w:keepLines/>
      <w:bidi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04"/>
    <w:pPr>
      <w:keepNext/>
      <w:keepLines/>
      <w:bidi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04"/>
    <w:pPr>
      <w:keepNext/>
      <w:keepLines/>
      <w:bidi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04"/>
    <w:pPr>
      <w:keepNext/>
      <w:keepLines/>
      <w:bidi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04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57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04"/>
    <w:pPr>
      <w:numPr>
        <w:ilvl w:val="1"/>
      </w:numPr>
      <w:bidi/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57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804"/>
    <w:pPr>
      <w:bidi/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A57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04"/>
    <w:pPr>
      <w:bidi/>
      <w:spacing w:line="259" w:lineRule="auto"/>
      <w:ind w:left="720"/>
      <w:contextualSpacing/>
    </w:pPr>
    <w:rPr>
      <w:rFonts w:eastAsiaTheme="minorHAnsi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A578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0A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A7E"/>
    <w:rPr>
      <w:rFonts w:eastAsiaTheme="minorEastAsia"/>
      <w:sz w:val="24"/>
      <w:szCs w:val="24"/>
      <w:lang w:val="en-GB" w:eastAsia="zh-TW"/>
    </w:rPr>
  </w:style>
  <w:style w:type="paragraph" w:styleId="Footer">
    <w:name w:val="footer"/>
    <w:basedOn w:val="Normal"/>
    <w:link w:val="FooterChar"/>
    <w:uiPriority w:val="99"/>
    <w:unhideWhenUsed/>
    <w:rsid w:val="00490A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A7E"/>
    <w:rPr>
      <w:rFonts w:eastAsiaTheme="minorEastAsia"/>
      <w:sz w:val="24"/>
      <w:szCs w:val="24"/>
      <w:lang w:val="en-GB" w:eastAsia="zh-TW"/>
    </w:rPr>
  </w:style>
  <w:style w:type="table" w:styleId="TableGrid">
    <w:name w:val="Table Grid"/>
    <w:basedOn w:val="TableNormal"/>
    <w:uiPriority w:val="39"/>
    <w:rsid w:val="00161395"/>
    <w:pPr>
      <w:spacing w:after="0" w:line="240" w:lineRule="auto"/>
    </w:pPr>
    <w:rPr>
      <w:rFonts w:eastAsiaTheme="minorEastAsia"/>
      <w:kern w:val="0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36C42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36C42"/>
    <w:rPr>
      <w:rFonts w:ascii="Aptos" w:eastAsiaTheme="minorEastAsia" w:hAnsi="Aptos"/>
      <w:noProof/>
      <w:sz w:val="24"/>
      <w:szCs w:val="24"/>
      <w:lang w:val="en-GB" w:eastAsia="zh-TW"/>
    </w:rPr>
  </w:style>
  <w:style w:type="paragraph" w:customStyle="1" w:styleId="EndNoteBibliography">
    <w:name w:val="EndNote Bibliography"/>
    <w:basedOn w:val="Normal"/>
    <w:link w:val="EndNoteBibliographyChar"/>
    <w:rsid w:val="00E36C42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36C42"/>
    <w:rPr>
      <w:rFonts w:ascii="Aptos" w:eastAsiaTheme="minorEastAsia" w:hAnsi="Aptos"/>
      <w:noProof/>
      <w:sz w:val="24"/>
      <w:szCs w:val="24"/>
      <w:lang w:val="en-GB" w:eastAsia="zh-TW"/>
    </w:rPr>
  </w:style>
  <w:style w:type="table" w:customStyle="1" w:styleId="TableGrid1">
    <w:name w:val="Table Grid1"/>
    <w:basedOn w:val="TableNormal"/>
    <w:next w:val="TableGrid"/>
    <w:uiPriority w:val="39"/>
    <w:rsid w:val="006C2ECA"/>
    <w:pPr>
      <w:spacing w:after="0" w:line="240" w:lineRule="auto"/>
    </w:pPr>
    <w:rPr>
      <w:rFonts w:ascii="Aptos" w:eastAsia="Aptos" w:hAnsi="Aptos" w:cs="Arial"/>
      <w:kern w:val="0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7B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BC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A3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937BAB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moudm@kfupm.edu.sa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mailto:Mohamed.ahmed.2@kfupm.edu.sa" TargetMode="Externa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11</Pages>
  <Words>4650</Words>
  <Characters>26511</Characters>
  <Application>Microsoft Office Word</Application>
  <DocSecurity>0</DocSecurity>
  <Lines>220</Lines>
  <Paragraphs>62</Paragraphs>
  <ScaleCrop>false</ScaleCrop>
  <Company/>
  <LinksUpToDate>false</LinksUpToDate>
  <CharactersWithSpaces>31099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Abdullah Al-Qahtani</dc:creator>
  <cp:keywords/>
  <dc:description/>
  <cp:lastModifiedBy>Mohamed Hammad Elsayed Ahmed</cp:lastModifiedBy>
  <cp:revision>267</cp:revision>
  <dcterms:created xsi:type="dcterms:W3CDTF">2025-05-24T18:19:00Z</dcterms:created>
  <dcterms:modified xsi:type="dcterms:W3CDTF">2026-08-26T14:25:00Z</dcterms:modified>
</cp:coreProperties>
</file>