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298" w:rsidRPr="00077095" w:rsidRDefault="003D2E3A">
      <w:pPr>
        <w:spacing w:after="80"/>
        <w:jc w:val="center"/>
        <w:rPr>
          <w:rFonts w:ascii="Times New Roman" w:hAnsi="Times New Roman" w:cs="Times New Roman"/>
        </w:rPr>
      </w:pPr>
      <w:r w:rsidRPr="00077095">
        <w:rPr>
          <w:rFonts w:ascii="Times New Roman" w:hAnsi="Times New Roman" w:cs="Times New Roman"/>
          <w:b/>
          <w:color w:val="1B365D"/>
          <w:sz w:val="44"/>
        </w:rPr>
        <w:t>TRIPOD CHECKLIST</w:t>
      </w:r>
    </w:p>
    <w:p w:rsidR="00FF1298" w:rsidRPr="00077095" w:rsidRDefault="003D2E3A">
      <w:pPr>
        <w:spacing w:after="240"/>
        <w:jc w:val="center"/>
        <w:rPr>
          <w:rFonts w:ascii="Times New Roman" w:hAnsi="Times New Roman" w:cs="Times New Roman"/>
        </w:rPr>
      </w:pPr>
      <w:r w:rsidRPr="00077095">
        <w:rPr>
          <w:rFonts w:ascii="Times New Roman" w:hAnsi="Times New Roman" w:cs="Times New Roman"/>
          <w:color w:val="4A5568"/>
        </w:rPr>
        <w:t>Transparent Reporting of a Multivariable Prediction Model for Individual Prognosis or Diagnosis (TRIPOD</w:t>
      </w:r>
      <w:proofErr w:type="gramStart"/>
      <w:r w:rsidRPr="00077095">
        <w:rPr>
          <w:rFonts w:ascii="Times New Roman" w:hAnsi="Times New Roman" w:cs="Times New Roman"/>
          <w:color w:val="4A5568"/>
        </w:rPr>
        <w:t>)</w:t>
      </w:r>
      <w:proofErr w:type="gramEnd"/>
      <w:r w:rsidRPr="00077095">
        <w:rPr>
          <w:rFonts w:ascii="Times New Roman" w:hAnsi="Times New Roman" w:cs="Times New Roman"/>
          <w:color w:val="4A5568"/>
        </w:rPr>
        <w:br/>
        <w:t>Reportin</w:t>
      </w:r>
      <w:bookmarkStart w:id="0" w:name="_GoBack"/>
      <w:bookmarkEnd w:id="0"/>
      <w:r w:rsidRPr="00077095">
        <w:rPr>
          <w:rFonts w:ascii="Times New Roman" w:hAnsi="Times New Roman" w:cs="Times New Roman"/>
          <w:color w:val="4A5568"/>
        </w:rPr>
        <w:t>g Checklist for Manuscript Evaluation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FF1298" w:rsidRPr="00077095">
        <w:trPr>
          <w:jc w:val="center"/>
        </w:trPr>
        <w:tc>
          <w:tcPr>
            <w:tcW w:w="9360" w:type="dxa"/>
            <w:shd w:val="clear" w:color="auto" w:fill="F7FAFC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FF1298" w:rsidRPr="00077095" w:rsidRDefault="003D2E3A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770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Manuscript Title: </w:t>
            </w:r>
            <w:r w:rsidRPr="00077095">
              <w:rPr>
                <w:rFonts w:ascii="Times New Roman" w:hAnsi="Times New Roman" w:cs="Times New Roman"/>
                <w:sz w:val="24"/>
                <w:szCs w:val="24"/>
              </w:rPr>
              <w:t xml:space="preserve">Development and Internal Validation of a Multivariable Clinical Risk </w:t>
            </w:r>
            <w:r w:rsidRPr="00077095">
              <w:rPr>
                <w:rFonts w:ascii="Times New Roman" w:hAnsi="Times New Roman" w:cs="Times New Roman"/>
                <w:sz w:val="24"/>
                <w:szCs w:val="24"/>
              </w:rPr>
              <w:t>Score for Adult Hypertension among Non-Pregnant Women: A Biomarker Analysis of the 2024/25 EDHS from Ethiopia</w:t>
            </w:r>
          </w:p>
        </w:tc>
      </w:tr>
      <w:tr w:rsidR="00FF1298" w:rsidRPr="00077095">
        <w:trPr>
          <w:jc w:val="center"/>
        </w:trPr>
        <w:tc>
          <w:tcPr>
            <w:tcW w:w="9360" w:type="dxa"/>
            <w:shd w:val="clear" w:color="auto" w:fill="F7FAFC"/>
            <w:tcMar>
              <w:top w:w="0" w:type="dxa"/>
              <w:left w:w="200" w:type="dxa"/>
              <w:bottom w:w="140" w:type="dxa"/>
              <w:right w:w="200" w:type="dxa"/>
            </w:tcMar>
          </w:tcPr>
          <w:p w:rsidR="00FF1298" w:rsidRPr="00077095" w:rsidRDefault="003D2E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70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Authors: </w:t>
            </w:r>
            <w:r w:rsidRPr="00077095">
              <w:rPr>
                <w:rFonts w:ascii="Times New Roman" w:hAnsi="Times New Roman" w:cs="Times New Roman"/>
                <w:sz w:val="24"/>
                <w:szCs w:val="24"/>
              </w:rPr>
              <w:t>Ashebir Mamay Gebiru, Abrham Maru Moges, Serku Abate Mihret, Yenehun Demelash Gelaw, Yimer Mamaye</w:t>
            </w:r>
          </w:p>
        </w:tc>
      </w:tr>
    </w:tbl>
    <w:p w:rsidR="00FF1298" w:rsidRPr="00077095" w:rsidRDefault="00FF1298" w:rsidP="00077095">
      <w:pPr>
        <w:spacing w:after="240" w:line="360" w:lineRule="auto"/>
        <w:rPr>
          <w:rFonts w:ascii="Times New Roman" w:hAnsi="Times New Roman" w:cs="Times New Roman"/>
          <w:sz w:val="24"/>
          <w:szCs w:val="24"/>
        </w:rPr>
      </w:pPr>
    </w:p>
    <w:p w:rsidR="00FF1298" w:rsidRPr="00077095" w:rsidRDefault="003D2E3A" w:rsidP="00077095">
      <w:pPr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 w:rsidRPr="00077095">
        <w:rPr>
          <w:rFonts w:ascii="Times New Roman" w:hAnsi="Times New Roman" w:cs="Times New Roman"/>
          <w:color w:val="2D3748"/>
          <w:sz w:val="24"/>
          <w:szCs w:val="24"/>
        </w:rPr>
        <w:t xml:space="preserve">This document provides the complete </w:t>
      </w:r>
      <w:r w:rsidRPr="00077095">
        <w:rPr>
          <w:rFonts w:ascii="Times New Roman" w:hAnsi="Times New Roman" w:cs="Times New Roman"/>
          <w:color w:val="2D3748"/>
          <w:sz w:val="24"/>
          <w:szCs w:val="24"/>
        </w:rPr>
        <w:t>Transparent Reporting of a Multivariable Prediction Model for Individual Prognosis or Diagnosis (TRIPOD) checklist mapped directly against the rep</w:t>
      </w:r>
      <w:r w:rsidR="00077095">
        <w:rPr>
          <w:rFonts w:ascii="Times New Roman" w:hAnsi="Times New Roman" w:cs="Times New Roman"/>
          <w:color w:val="2D3748"/>
          <w:sz w:val="24"/>
          <w:szCs w:val="24"/>
        </w:rPr>
        <w:t>orted sections, tables, figures</w:t>
      </w:r>
      <w:r w:rsidRPr="00077095">
        <w:rPr>
          <w:rFonts w:ascii="Times New Roman" w:hAnsi="Times New Roman" w:cs="Times New Roman"/>
          <w:color w:val="2D3748"/>
          <w:sz w:val="24"/>
          <w:szCs w:val="24"/>
        </w:rPr>
        <w:t xml:space="preserve"> and methodological frameworks of the manuscript. The checklist ensures absolu</w:t>
      </w:r>
      <w:r w:rsidRPr="00077095">
        <w:rPr>
          <w:rFonts w:ascii="Times New Roman" w:hAnsi="Times New Roman" w:cs="Times New Roman"/>
          <w:color w:val="2D3748"/>
          <w:sz w:val="24"/>
          <w:szCs w:val="24"/>
        </w:rPr>
        <w:t>t</w:t>
      </w:r>
      <w:r w:rsidR="00077095">
        <w:rPr>
          <w:rFonts w:ascii="Times New Roman" w:hAnsi="Times New Roman" w:cs="Times New Roman"/>
          <w:color w:val="2D3748"/>
          <w:sz w:val="24"/>
          <w:szCs w:val="24"/>
        </w:rPr>
        <w:t>e transparency, reproducibility</w:t>
      </w:r>
      <w:r w:rsidRPr="00077095">
        <w:rPr>
          <w:rFonts w:ascii="Times New Roman" w:hAnsi="Times New Roman" w:cs="Times New Roman"/>
          <w:color w:val="2D3748"/>
          <w:sz w:val="24"/>
          <w:szCs w:val="24"/>
        </w:rPr>
        <w:t xml:space="preserve"> and rigorous methodological adherence across all 22 standard TRIPOD reporting items.</w:t>
      </w:r>
    </w:p>
    <w:tbl>
      <w:tblPr>
        <w:tblW w:w="10044" w:type="dxa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061"/>
        <w:gridCol w:w="1743"/>
        <w:gridCol w:w="3374"/>
        <w:gridCol w:w="2866"/>
      </w:tblGrid>
      <w:tr w:rsidR="00FF1298" w:rsidRPr="00077095" w:rsidTr="00077095">
        <w:trPr>
          <w:cantSplit/>
          <w:tblHeader/>
          <w:jc w:val="center"/>
        </w:trPr>
        <w:tc>
          <w:tcPr>
            <w:tcW w:w="2061" w:type="dxa"/>
            <w:shd w:val="clear" w:color="auto" w:fill="FFFFFF" w:themeFill="background1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</w:rPr>
              <w:t>Section / Item</w:t>
            </w:r>
          </w:p>
        </w:tc>
        <w:tc>
          <w:tcPr>
            <w:tcW w:w="1743" w:type="dxa"/>
            <w:shd w:val="clear" w:color="auto" w:fill="FFFFFF" w:themeFill="background1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</w:rPr>
              <w:t>Tripod Item</w:t>
            </w:r>
          </w:p>
        </w:tc>
        <w:tc>
          <w:tcPr>
            <w:tcW w:w="3374" w:type="dxa"/>
            <w:shd w:val="clear" w:color="auto" w:fill="FFFFFF" w:themeFill="background1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</w:rPr>
              <w:t>Recommendation / Checklist Requirement</w:t>
            </w:r>
          </w:p>
        </w:tc>
        <w:tc>
          <w:tcPr>
            <w:tcW w:w="2866" w:type="dxa"/>
            <w:shd w:val="clear" w:color="auto" w:fill="FFFFFF" w:themeFill="background1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</w:rPr>
              <w:t>Manuscript Status &amp; Location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TITLE &amp; ABSTRACT</w:t>
            </w:r>
          </w:p>
        </w:tc>
        <w:tc>
          <w:tcPr>
            <w:tcW w:w="1743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1. Title</w:t>
            </w:r>
          </w:p>
        </w:tc>
        <w:tc>
          <w:tcPr>
            <w:tcW w:w="337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 xml:space="preserve">Identify the </w:t>
            </w:r>
            <w:r w:rsidRPr="00077095">
              <w:rPr>
                <w:rFonts w:ascii="Times New Roman" w:hAnsi="Times New Roman" w:cs="Times New Roman"/>
                <w:color w:val="2D3748"/>
              </w:rPr>
              <w:t>study as developing and/or validating a multivariable prediction model, the target population, and outcome.</w:t>
            </w:r>
          </w:p>
        </w:tc>
        <w:tc>
          <w:tcPr>
            <w:tcW w:w="286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Fully Addressed. Title clearly indicates 'Development and Internal Validation of a Multivariable Clinical Risk Score for Adult Hypertension among No</w:t>
            </w:r>
            <w:r w:rsidRPr="00077095">
              <w:rPr>
                <w:rFonts w:ascii="Times New Roman" w:hAnsi="Times New Roman" w:cs="Times New Roman"/>
                <w:color w:val="2D3748"/>
              </w:rPr>
              <w:t>n-Pregnant Women...'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TITLE &amp; ABSTRACT</w:t>
            </w:r>
          </w:p>
        </w:tc>
        <w:tc>
          <w:tcPr>
            <w:tcW w:w="1743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2. Abstract</w:t>
            </w:r>
          </w:p>
        </w:tc>
        <w:tc>
          <w:tcPr>
            <w:tcW w:w="3374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Provide a structured summary of study design, setting, participants, predictors, sample size, outcome, results, and conclusions.</w:t>
            </w:r>
          </w:p>
        </w:tc>
        <w:tc>
          <w:tcPr>
            <w:tcW w:w="2866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Fully Addressed. Structured Abstract presents Background, Methods (n=12,850;</w:t>
            </w:r>
            <w:r w:rsidRPr="00077095">
              <w:rPr>
                <w:rFonts w:ascii="Times New Roman" w:hAnsi="Times New Roman" w:cs="Times New Roman"/>
                <w:color w:val="2D3748"/>
              </w:rPr>
              <w:t xml:space="preserve"> 80/20 split), Results (AUROC 0.818), and Conclusions.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lastRenderedPageBreak/>
              <w:t>INTRODUCTION</w:t>
            </w:r>
          </w:p>
        </w:tc>
        <w:tc>
          <w:tcPr>
            <w:tcW w:w="1743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3a. Background &amp; Objectives</w:t>
            </w:r>
          </w:p>
        </w:tc>
        <w:tc>
          <w:tcPr>
            <w:tcW w:w="337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State the medical context (including clinical relevance) and rationale for developing or validating the multivariable prediction model.</w:t>
            </w:r>
          </w:p>
        </w:tc>
        <w:tc>
          <w:tcPr>
            <w:tcW w:w="286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 xml:space="preserve">Fully Addressed. </w:t>
            </w:r>
            <w:r w:rsidRPr="00077095">
              <w:rPr>
                <w:rFonts w:ascii="Times New Roman" w:hAnsi="Times New Roman" w:cs="Times New Roman"/>
                <w:color w:val="2D3748"/>
              </w:rPr>
              <w:t>Introduction details Sub-Saharan Africa's NCD epidemic, hypertension prevalence in Ethiopia, diagnostic gaps, and the lack of laboratory-free rural screening tools.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INTRODUCTION</w:t>
            </w:r>
          </w:p>
        </w:tc>
        <w:tc>
          <w:tcPr>
            <w:tcW w:w="1743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3b. Objectives</w:t>
            </w:r>
          </w:p>
        </w:tc>
        <w:tc>
          <w:tcPr>
            <w:tcW w:w="3374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 xml:space="preserve">State the primary objectives, including specifying whether it </w:t>
            </w:r>
            <w:r w:rsidRPr="00077095">
              <w:rPr>
                <w:rFonts w:ascii="Times New Roman" w:hAnsi="Times New Roman" w:cs="Times New Roman"/>
                <w:color w:val="2D3748"/>
              </w:rPr>
              <w:t>is development, external validation, or both, and any updating.</w:t>
            </w:r>
          </w:p>
        </w:tc>
        <w:tc>
          <w:tcPr>
            <w:tcW w:w="2866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Fully Addressed. Explicitly stated objectives to determine national weighted prevalence, develop a non-laboratory multivariable prediction model, convert to an integer point score, and interna</w:t>
            </w:r>
            <w:r w:rsidRPr="00077095">
              <w:rPr>
                <w:rFonts w:ascii="Times New Roman" w:hAnsi="Times New Roman" w:cs="Times New Roman"/>
                <w:color w:val="2D3748"/>
              </w:rPr>
              <w:t>lly validate using TRIPOD guidelines.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METHODS</w:t>
            </w:r>
          </w:p>
        </w:tc>
        <w:tc>
          <w:tcPr>
            <w:tcW w:w="1743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4a. Study Design</w:t>
            </w:r>
          </w:p>
        </w:tc>
        <w:tc>
          <w:tcPr>
            <w:tcW w:w="337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The study design or source of data (e.g., randomized trial, cohort, or cross-sectional data) and key study dates.</w:t>
            </w:r>
          </w:p>
        </w:tc>
        <w:tc>
          <w:tcPr>
            <w:tcW w:w="286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 xml:space="preserve">Fully Addressed. Methods section details secondary analysis of nationally </w:t>
            </w:r>
            <w:r w:rsidRPr="00077095">
              <w:rPr>
                <w:rFonts w:ascii="Times New Roman" w:hAnsi="Times New Roman" w:cs="Times New Roman"/>
                <w:color w:val="2D3748"/>
              </w:rPr>
              <w:t>representative biomarker and household data from the 2024/25 Ethiopian Demographic and Health Survey (EDHS).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METHODS</w:t>
            </w:r>
          </w:p>
        </w:tc>
        <w:tc>
          <w:tcPr>
            <w:tcW w:w="1743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4b. Setting</w:t>
            </w:r>
          </w:p>
        </w:tc>
        <w:tc>
          <w:tcPr>
            <w:tcW w:w="3374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Specify the setting, location, and relevant dates of the study, including participant recruitment periods.</w:t>
            </w:r>
          </w:p>
        </w:tc>
        <w:tc>
          <w:tcPr>
            <w:tcW w:w="2866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 xml:space="preserve">Fully Addressed. </w:t>
            </w:r>
            <w:r w:rsidRPr="00077095">
              <w:rPr>
                <w:rFonts w:ascii="Times New Roman" w:hAnsi="Times New Roman" w:cs="Times New Roman"/>
                <w:color w:val="2D3748"/>
              </w:rPr>
              <w:t>Details EDHS execution by EPHI, CSA, and FMoH across national administrative regions and chartered cities using two-stage stratified cluster sampling.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lastRenderedPageBreak/>
              <w:t>METHODS</w:t>
            </w:r>
          </w:p>
        </w:tc>
        <w:tc>
          <w:tcPr>
            <w:tcW w:w="1743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5a. Participants</w:t>
            </w:r>
          </w:p>
        </w:tc>
        <w:tc>
          <w:tcPr>
            <w:tcW w:w="337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 xml:space="preserve">Describe the eligibility criteria for participants (derivation and validation </w:t>
            </w:r>
            <w:r w:rsidRPr="00077095">
              <w:rPr>
                <w:rFonts w:ascii="Times New Roman" w:hAnsi="Times New Roman" w:cs="Times New Roman"/>
                <w:color w:val="2D3748"/>
              </w:rPr>
              <w:t>cohorts).</w:t>
            </w:r>
          </w:p>
        </w:tc>
        <w:tc>
          <w:tcPr>
            <w:tcW w:w="286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Fully Addressed. Defined inclusion criteria (non-pregnant women aged 15-49 years with complete BP and anthropometry) and exclusions (pregnancy, missing data). Illustrated in Figure 1.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METHODS</w:t>
            </w:r>
          </w:p>
        </w:tc>
        <w:tc>
          <w:tcPr>
            <w:tcW w:w="1743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5b. Participants</w:t>
            </w:r>
          </w:p>
        </w:tc>
        <w:tc>
          <w:tcPr>
            <w:tcW w:w="3374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 xml:space="preserve">Provide details of treatments </w:t>
            </w:r>
            <w:r w:rsidRPr="00077095">
              <w:rPr>
                <w:rFonts w:ascii="Times New Roman" w:hAnsi="Times New Roman" w:cs="Times New Roman"/>
                <w:color w:val="2D3748"/>
              </w:rPr>
              <w:t>received, if relevant.</w:t>
            </w:r>
          </w:p>
        </w:tc>
        <w:tc>
          <w:tcPr>
            <w:tcW w:w="2866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Not Applicable. Observational community-based cross-sectional survey analysis without clinical interventions or treatments.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METHODS</w:t>
            </w:r>
          </w:p>
        </w:tc>
        <w:tc>
          <w:tcPr>
            <w:tcW w:w="1743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6a. Outcome</w:t>
            </w:r>
          </w:p>
        </w:tc>
        <w:tc>
          <w:tcPr>
            <w:tcW w:w="337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 xml:space="preserve">Clearly define the outcome that is predicted by the model, including how and when </w:t>
            </w:r>
            <w:r w:rsidRPr="00077095">
              <w:rPr>
                <w:rFonts w:ascii="Times New Roman" w:hAnsi="Times New Roman" w:cs="Times New Roman"/>
                <w:color w:val="2D3748"/>
              </w:rPr>
              <w:t>assessed.</w:t>
            </w:r>
          </w:p>
        </w:tc>
        <w:tc>
          <w:tcPr>
            <w:tcW w:w="286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Fully Addressed. Hypertension defined by JNC-7 / WHO criteria: Mean SBP ≥140 mmHg OR Mean DBP ≥90 mmHg OR self-reported antihypertensive medication use, based on the mean of standardized 2nd and 3rd automated readings.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METHODS</w:t>
            </w:r>
          </w:p>
        </w:tc>
        <w:tc>
          <w:tcPr>
            <w:tcW w:w="1743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6b. Outcome</w:t>
            </w:r>
          </w:p>
        </w:tc>
        <w:tc>
          <w:tcPr>
            <w:tcW w:w="3374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Provide any actions to blind assessment of the outcome to predictors.</w:t>
            </w:r>
          </w:p>
        </w:tc>
        <w:tc>
          <w:tcPr>
            <w:tcW w:w="2866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Fully Addressed. Standardized field biomarker protocols utilized automated digital upper-arm monitors with standardized 10-15 minute rest intervals and reading averaging by trained techn</w:t>
            </w:r>
            <w:r w:rsidRPr="00077095">
              <w:rPr>
                <w:rFonts w:ascii="Times New Roman" w:hAnsi="Times New Roman" w:cs="Times New Roman"/>
                <w:color w:val="2D3748"/>
              </w:rPr>
              <w:t>icians.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METHODS</w:t>
            </w:r>
          </w:p>
        </w:tc>
        <w:tc>
          <w:tcPr>
            <w:tcW w:w="1743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7. Predictors</w:t>
            </w:r>
          </w:p>
        </w:tc>
        <w:tc>
          <w:tcPr>
            <w:tcW w:w="337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Clearly define all predictors used in developing or validating the multivariable prediction model, including how and when assessed.</w:t>
            </w:r>
          </w:p>
        </w:tc>
        <w:tc>
          <w:tcPr>
            <w:tcW w:w="286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 xml:space="preserve">Fully Addressed. Evaluated non-laboratory features including age, BMI, residence, wealth </w:t>
            </w:r>
            <w:r w:rsidRPr="00077095">
              <w:rPr>
                <w:rFonts w:ascii="Times New Roman" w:hAnsi="Times New Roman" w:cs="Times New Roman"/>
                <w:color w:val="2D3748"/>
              </w:rPr>
              <w:t>quintile, tobacco use, cooking fuel, and parity with DHS codes specified in Table 1.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lastRenderedPageBreak/>
              <w:t>METHODS</w:t>
            </w:r>
          </w:p>
        </w:tc>
        <w:tc>
          <w:tcPr>
            <w:tcW w:w="1743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8. Sample Size</w:t>
            </w:r>
          </w:p>
        </w:tc>
        <w:tc>
          <w:tcPr>
            <w:tcW w:w="3374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Explain how the study size was arrived at.</w:t>
            </w:r>
          </w:p>
        </w:tc>
        <w:tc>
          <w:tcPr>
            <w:tcW w:w="2866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 xml:space="preserve">Fully Addressed. Utilized the complete available national analytical sample of N=12,850 non-pregnant </w:t>
            </w:r>
            <w:r w:rsidRPr="00077095">
              <w:rPr>
                <w:rFonts w:ascii="Times New Roman" w:hAnsi="Times New Roman" w:cs="Times New Roman"/>
                <w:color w:val="2D3748"/>
              </w:rPr>
              <w:t>women (10,280 derivation cohort; 2,570 validation cohort), satisfying robust sample size requirements for multivariable logistic prediction.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METHODS</w:t>
            </w:r>
          </w:p>
        </w:tc>
        <w:tc>
          <w:tcPr>
            <w:tcW w:w="1743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9. Missing Data</w:t>
            </w:r>
          </w:p>
        </w:tc>
        <w:tc>
          <w:tcPr>
            <w:tcW w:w="337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 xml:space="preserve">Describe how missing data were handled (e.g., complete-case analysis, single imputation, </w:t>
            </w:r>
            <w:r w:rsidRPr="00077095">
              <w:rPr>
                <w:rFonts w:ascii="Times New Roman" w:hAnsi="Times New Roman" w:cs="Times New Roman"/>
                <w:color w:val="2D3748"/>
              </w:rPr>
              <w:t xml:space="preserve">multiple </w:t>
            </w:r>
            <w:proofErr w:type="gramStart"/>
            <w:r w:rsidRPr="00077095">
              <w:rPr>
                <w:rFonts w:ascii="Times New Roman" w:hAnsi="Times New Roman" w:cs="Times New Roman"/>
                <w:color w:val="2D3748"/>
              </w:rPr>
              <w:t>imputation</w:t>
            </w:r>
            <w:proofErr w:type="gramEnd"/>
            <w:r w:rsidRPr="00077095">
              <w:rPr>
                <w:rFonts w:ascii="Times New Roman" w:hAnsi="Times New Roman" w:cs="Times New Roman"/>
                <w:color w:val="2D3748"/>
              </w:rPr>
              <w:t>).</w:t>
            </w:r>
          </w:p>
        </w:tc>
        <w:tc>
          <w:tcPr>
            <w:tcW w:w="286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Fully Addressed. Primary analysis utilized complete-case analytical sample (N=12,850). Sensitivity analysis via multiple imputation by chained equations (M=20) confirmed negligible coefficient variance.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METHODS</w:t>
            </w:r>
          </w:p>
        </w:tc>
        <w:tc>
          <w:tcPr>
            <w:tcW w:w="1743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 xml:space="preserve">10. Statistical </w:t>
            </w:r>
            <w:r w:rsidRPr="00077095">
              <w:rPr>
                <w:rFonts w:ascii="Times New Roman" w:hAnsi="Times New Roman" w:cs="Times New Roman"/>
                <w:b/>
                <w:color w:val="2D3748"/>
              </w:rPr>
              <w:t>Analysis Methods</w:t>
            </w:r>
          </w:p>
        </w:tc>
        <w:tc>
          <w:tcPr>
            <w:tcW w:w="3374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Describe how predictors were handled in the analyses.</w:t>
            </w:r>
          </w:p>
        </w:tc>
        <w:tc>
          <w:tcPr>
            <w:tcW w:w="2866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Fully Addressed. Categorical and ordinal variables coded with reference categories. Bivariable screening (p&lt;0.20) followed by backward stepwise multivariable logistic regression based o</w:t>
            </w:r>
            <w:r w:rsidRPr="00077095">
              <w:rPr>
                <w:rFonts w:ascii="Times New Roman" w:hAnsi="Times New Roman" w:cs="Times New Roman"/>
                <w:color w:val="2D3748"/>
              </w:rPr>
              <w:t>n AIC.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METHODS</w:t>
            </w:r>
          </w:p>
        </w:tc>
        <w:tc>
          <w:tcPr>
            <w:tcW w:w="1743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11. Statistical Analysis Methods</w:t>
            </w:r>
          </w:p>
        </w:tc>
        <w:tc>
          <w:tcPr>
            <w:tcW w:w="337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Specify type of model, all model building steps, and internal validation.</w:t>
            </w:r>
          </w:p>
        </w:tc>
        <w:tc>
          <w:tcPr>
            <w:tcW w:w="286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 xml:space="preserve">Fully Addressed. Details multivariable logistic regression, Framingham point-scoring conversion formula (Pij = </w:t>
            </w:r>
            <w:proofErr w:type="gramStart"/>
            <w:r w:rsidRPr="00077095">
              <w:rPr>
                <w:rFonts w:ascii="Times New Roman" w:hAnsi="Times New Roman" w:cs="Times New Roman"/>
                <w:color w:val="2D3748"/>
              </w:rPr>
              <w:t>ROUND(</w:t>
            </w:r>
            <w:proofErr w:type="gramEnd"/>
            <w:r w:rsidRPr="00077095">
              <w:rPr>
                <w:rFonts w:ascii="Times New Roman" w:hAnsi="Times New Roman" w:cs="Times New Roman"/>
                <w:color w:val="2D3748"/>
              </w:rPr>
              <w:t xml:space="preserve">βij / B)), 1000 </w:t>
            </w:r>
            <w:r w:rsidRPr="00077095">
              <w:rPr>
                <w:rFonts w:ascii="Times New Roman" w:hAnsi="Times New Roman" w:cs="Times New Roman"/>
                <w:color w:val="2D3748"/>
              </w:rPr>
              <w:t>bootstrap resamples for optimism correction, C-statistic, calibration curves, Brier score, and DCA.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lastRenderedPageBreak/>
              <w:t>RESULTS</w:t>
            </w:r>
          </w:p>
        </w:tc>
        <w:tc>
          <w:tcPr>
            <w:tcW w:w="1743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13a. Participants</w:t>
            </w:r>
          </w:p>
        </w:tc>
        <w:tc>
          <w:tcPr>
            <w:tcW w:w="3374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Describe study flow (flow diagram recommended) including number of participants screened, evaluated, and analyzed.</w:t>
            </w:r>
          </w:p>
        </w:tc>
        <w:tc>
          <w:tcPr>
            <w:tcW w:w="2866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 xml:space="preserve">Fully </w:t>
            </w:r>
            <w:r w:rsidRPr="00077095">
              <w:rPr>
                <w:rFonts w:ascii="Times New Roman" w:hAnsi="Times New Roman" w:cs="Times New Roman"/>
                <w:color w:val="2D3748"/>
              </w:rPr>
              <w:t>Addressed. Detailed participant flow included in Figure 1 (Total N=16,583; pregnant excluded n=1,215; missing BP/anthropometry excluded n=2,518; final analytical sample N=12,850 split 80/20).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RESULTS</w:t>
            </w:r>
          </w:p>
        </w:tc>
        <w:tc>
          <w:tcPr>
            <w:tcW w:w="1743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13b. Participants</w:t>
            </w:r>
          </w:p>
        </w:tc>
        <w:tc>
          <w:tcPr>
            <w:tcW w:w="337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 xml:space="preserve">Describe baseline demographic and </w:t>
            </w:r>
            <w:r w:rsidRPr="00077095">
              <w:rPr>
                <w:rFonts w:ascii="Times New Roman" w:hAnsi="Times New Roman" w:cs="Times New Roman"/>
                <w:color w:val="2D3748"/>
              </w:rPr>
              <w:t>clinical characteristics of study participants.</w:t>
            </w:r>
          </w:p>
        </w:tc>
        <w:tc>
          <w:tcPr>
            <w:tcW w:w="286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Fully Addressed. Comprehensive baseline characteristics presented in Table 2, comparing normotensive and hypertensive participants across derivation and validation cohorts.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RESULTS</w:t>
            </w:r>
          </w:p>
        </w:tc>
        <w:tc>
          <w:tcPr>
            <w:tcW w:w="1743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14. Model Development</w:t>
            </w:r>
          </w:p>
        </w:tc>
        <w:tc>
          <w:tcPr>
            <w:tcW w:w="3374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Specify the number of participants and outcome events in each analysis.</w:t>
            </w:r>
          </w:p>
        </w:tc>
        <w:tc>
          <w:tcPr>
            <w:tcW w:w="2866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Fully Addressed. Derivation cohort n=10,280 (1,614 hypertensive events, 15.7%); Validation cohort n=2,570 (416 hypertensive events). National weighted prevalence 15.8%.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RESULTS</w:t>
            </w:r>
          </w:p>
        </w:tc>
        <w:tc>
          <w:tcPr>
            <w:tcW w:w="1743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 xml:space="preserve">15. </w:t>
            </w:r>
            <w:r w:rsidRPr="00077095">
              <w:rPr>
                <w:rFonts w:ascii="Times New Roman" w:hAnsi="Times New Roman" w:cs="Times New Roman"/>
                <w:b/>
                <w:color w:val="2D3748"/>
              </w:rPr>
              <w:t>Model Specification</w:t>
            </w:r>
          </w:p>
        </w:tc>
        <w:tc>
          <w:tcPr>
            <w:tcW w:w="337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Present the full prediction model (regression equation or point score) for clinical use.</w:t>
            </w:r>
          </w:p>
        </w:tc>
        <w:tc>
          <w:tcPr>
            <w:tcW w:w="286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Fully Addressed. Presented in Table 3 (coefficients and odds ratios) and Table 2 (Clinical Risk Nomogram and Score Calculation Tool with 0-18 point</w:t>
            </w:r>
            <w:r w:rsidRPr="00077095">
              <w:rPr>
                <w:rFonts w:ascii="Times New Roman" w:hAnsi="Times New Roman" w:cs="Times New Roman"/>
                <w:color w:val="2D3748"/>
              </w:rPr>
              <w:t xml:space="preserve"> system and risk stratification tiers).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RESULTS</w:t>
            </w:r>
          </w:p>
        </w:tc>
        <w:tc>
          <w:tcPr>
            <w:tcW w:w="1743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16. Model Performance</w:t>
            </w:r>
          </w:p>
        </w:tc>
        <w:tc>
          <w:tcPr>
            <w:tcW w:w="3374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Report performance measures (e.g., discrimination, calibration) and their confidence intervals.</w:t>
            </w:r>
          </w:p>
        </w:tc>
        <w:tc>
          <w:tcPr>
            <w:tcW w:w="2866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 xml:space="preserve">Fully Addressed. Derivation AUROC 0.824; Independent Validation AUROC 0.818 (95% CI: </w:t>
            </w:r>
            <w:r w:rsidRPr="00077095">
              <w:rPr>
                <w:rFonts w:ascii="Times New Roman" w:hAnsi="Times New Roman" w:cs="Times New Roman"/>
                <w:color w:val="2D3748"/>
              </w:rPr>
              <w:t>0.801–0.835); Hosmer-Lemeshow p=0.428; Brier score = 0.091; optimism-corrected AUROC = 0.818.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lastRenderedPageBreak/>
              <w:t>DISCUSSION</w:t>
            </w:r>
          </w:p>
        </w:tc>
        <w:tc>
          <w:tcPr>
            <w:tcW w:w="1743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17. Limitations</w:t>
            </w:r>
          </w:p>
        </w:tc>
        <w:tc>
          <w:tcPr>
            <w:tcW w:w="337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Discuss limitations, including non-representative sample, missing data, and risk of overfitting.</w:t>
            </w:r>
          </w:p>
        </w:tc>
        <w:tc>
          <w:tcPr>
            <w:tcW w:w="286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 xml:space="preserve">Fully Addressed. Discussed </w:t>
            </w:r>
            <w:r w:rsidRPr="00077095">
              <w:rPr>
                <w:rFonts w:ascii="Times New Roman" w:hAnsi="Times New Roman" w:cs="Times New Roman"/>
                <w:color w:val="2D3748"/>
              </w:rPr>
              <w:t>cross-sectional design limitations, lack of dietary sodium/potassium biomarkers, and need for external validation across other Sub-Saharan African populations.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DISCUSSION</w:t>
            </w:r>
          </w:p>
        </w:tc>
        <w:tc>
          <w:tcPr>
            <w:tcW w:w="1743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18. Interpretation</w:t>
            </w:r>
          </w:p>
        </w:tc>
        <w:tc>
          <w:tcPr>
            <w:tcW w:w="3374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 xml:space="preserve">Give a cautious overall interpretation of results, considering </w:t>
            </w:r>
            <w:r w:rsidRPr="00077095">
              <w:rPr>
                <w:rFonts w:ascii="Times New Roman" w:hAnsi="Times New Roman" w:cs="Times New Roman"/>
                <w:color w:val="2D3748"/>
              </w:rPr>
              <w:t>objectives, limitations, and implications.</w:t>
            </w:r>
          </w:p>
        </w:tc>
        <w:tc>
          <w:tcPr>
            <w:tcW w:w="2866" w:type="dxa"/>
            <w:shd w:val="clear" w:color="auto" w:fill="F7FAF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Fully Addressed. Highlighted the public health importance of deploying a non-laboratory risk score for HEWs and primary care nurses to triage high-risk women in rural Ethiopia.</w:t>
            </w:r>
          </w:p>
        </w:tc>
      </w:tr>
      <w:tr w:rsidR="00FF1298" w:rsidRPr="00077095" w:rsidTr="00077095">
        <w:trPr>
          <w:cantSplit/>
          <w:jc w:val="center"/>
        </w:trPr>
        <w:tc>
          <w:tcPr>
            <w:tcW w:w="2061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OTHER INFORMATION</w:t>
            </w:r>
          </w:p>
        </w:tc>
        <w:tc>
          <w:tcPr>
            <w:tcW w:w="1743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b/>
                <w:color w:val="2D3748"/>
              </w:rPr>
              <w:t>19. Supplementary</w:t>
            </w:r>
            <w:r w:rsidRPr="00077095">
              <w:rPr>
                <w:rFonts w:ascii="Times New Roman" w:hAnsi="Times New Roman" w:cs="Times New Roman"/>
                <w:b/>
                <w:color w:val="2D3748"/>
              </w:rPr>
              <w:t xml:space="preserve"> Information</w:t>
            </w:r>
          </w:p>
        </w:tc>
        <w:tc>
          <w:tcPr>
            <w:tcW w:w="337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Provide information on availability of supplementary resources, data, and code.</w:t>
            </w:r>
          </w:p>
        </w:tc>
        <w:tc>
          <w:tcPr>
            <w:tcW w:w="2866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:rsidR="00FF1298" w:rsidRPr="00077095" w:rsidRDefault="003D2E3A">
            <w:pPr>
              <w:spacing w:after="0" w:line="264" w:lineRule="auto"/>
              <w:rPr>
                <w:rFonts w:ascii="Times New Roman" w:hAnsi="Times New Roman" w:cs="Times New Roman"/>
              </w:rPr>
            </w:pPr>
            <w:r w:rsidRPr="00077095">
              <w:rPr>
                <w:rFonts w:ascii="Times New Roman" w:hAnsi="Times New Roman" w:cs="Times New Roman"/>
                <w:color w:val="2D3748"/>
              </w:rPr>
              <w:t>Fully Addressed. Declarations section provides DHS Program data repository access link, ethics approvals, funding statements (none), and competing interest disclos</w:t>
            </w:r>
            <w:r w:rsidRPr="00077095">
              <w:rPr>
                <w:rFonts w:ascii="Times New Roman" w:hAnsi="Times New Roman" w:cs="Times New Roman"/>
                <w:color w:val="2D3748"/>
              </w:rPr>
              <w:t>ures.</w:t>
            </w:r>
          </w:p>
        </w:tc>
      </w:tr>
    </w:tbl>
    <w:p w:rsidR="003D2E3A" w:rsidRPr="00077095" w:rsidRDefault="003D2E3A">
      <w:pPr>
        <w:rPr>
          <w:rFonts w:ascii="Times New Roman" w:hAnsi="Times New Roman" w:cs="Times New Roman"/>
        </w:rPr>
      </w:pPr>
    </w:p>
    <w:sectPr w:rsidR="003D2E3A" w:rsidRPr="00077095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7095"/>
    <w:rsid w:val="0015074B"/>
    <w:rsid w:val="0029639D"/>
    <w:rsid w:val="00326F90"/>
    <w:rsid w:val="003D2E3A"/>
    <w:rsid w:val="00AA1D8D"/>
    <w:rsid w:val="00B47730"/>
    <w:rsid w:val="00CB0664"/>
    <w:rsid w:val="00FC693F"/>
    <w:rsid w:val="00FF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173D4C-6283-4DD7-A28D-E2502F7F9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1211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8101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Ashu.D</cp:lastModifiedBy>
  <cp:revision>2</cp:revision>
  <dcterms:created xsi:type="dcterms:W3CDTF">2013-12-23T23:15:00Z</dcterms:created>
  <dcterms:modified xsi:type="dcterms:W3CDTF">2026-08-26T12:55:00Z</dcterms:modified>
  <cp:category/>
</cp:coreProperties>
</file>