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8F8C4">
      <w:pPr>
        <w:rPr>
          <w:rFonts w:hint="eastAsia" w:ascii="Times New Roman" w:hAnsi="Times New Roman" w:cs="Times New Roman"/>
          <w:b/>
          <w:sz w:val="24"/>
          <w:lang w:eastAsia="zh-CN"/>
        </w:rPr>
      </w:pPr>
      <w:r>
        <w:rPr>
          <w:rFonts w:hint="eastAsia" w:ascii="Times New Roman" w:hAnsi="Times New Roman" w:cs="Times New Roman"/>
          <w:b/>
          <w:sz w:val="24"/>
          <w:lang w:eastAsia="zh-CN"/>
        </w:rPr>
        <w:t>Supplementary Table 3. LASSO Regression Coefficients for Candidate Variables</w:t>
      </w:r>
    </w:p>
    <w:p w14:paraId="25FFEC5B">
      <w:pPr>
        <w:rPr>
          <w:rFonts w:hint="eastAsia" w:ascii="Times New Roman" w:hAnsi="Times New Roman" w:cs="Times New Roman"/>
          <w:b/>
          <w:sz w:val="24"/>
          <w:lang w:eastAsia="zh-CN"/>
        </w:rPr>
      </w:pPr>
    </w:p>
    <w:p w14:paraId="73F06DE0">
      <w:pPr>
        <w:rPr>
          <w:rFonts w:hint="eastAsia" w:ascii="Times New Roman" w:hAnsi="Times New Roman" w:cs="Times New Roman"/>
          <w:b w:val="0"/>
          <w:sz w:val="18"/>
          <w:lang w:eastAsia="zh-CN"/>
        </w:rPr>
      </w:pPr>
      <w:r>
        <w:rPr>
          <w:rFonts w:hint="eastAsia" w:ascii="Times New Roman" w:hAnsi="Times New Roman" w:cs="Times New Roman"/>
          <w:b w:val="0"/>
          <w:sz w:val="18"/>
          <w:lang w:eastAsia="zh-CN"/>
        </w:rPr>
        <w:t>Abbreviations: LASSO, least absolute shrinkage and selection operator; NA, coefficient shrunk to zero (variable not selected).</w:t>
      </w:r>
      <w:bookmarkStart w:id="0" w:name="_GoBack"/>
      <w:bookmarkEnd w:id="0"/>
    </w:p>
    <w:p w14:paraId="422EE39E">
      <w:pPr>
        <w:rPr>
          <w:rFonts w:hint="eastAsia" w:ascii="Times New Roman" w:hAnsi="Times New Roman" w:cs="Times New Roman"/>
          <w:b w:val="0"/>
          <w:sz w:val="18"/>
          <w:lang w:eastAsia="zh-CN"/>
        </w:r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20FBE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0" w:space="0"/>
              <w:bottom w:val="single" w:color="auto" w:sz="4" w:space="0"/>
            </w:tcBorders>
          </w:tcPr>
          <w:p w14:paraId="473259A8">
            <w:pPr>
              <w:jc w:val="left"/>
              <w:rPr>
                <w:rFonts w:hint="default" w:ascii="Times New Roman" w:hAnsi="Times New Roman" w:cs="Times New Roman"/>
                <w:b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vertAlign w:val="baseline"/>
                <w:lang w:eastAsia="zh-CN"/>
              </w:rPr>
              <w:t>Variable</w:t>
            </w:r>
          </w:p>
        </w:tc>
        <w:tc>
          <w:tcPr>
            <w:tcW w:w="2841" w:type="dxa"/>
            <w:tcBorders>
              <w:top w:val="single" w:color="auto" w:sz="0" w:space="0"/>
              <w:bottom w:val="single" w:color="auto" w:sz="4" w:space="0"/>
            </w:tcBorders>
          </w:tcPr>
          <w:p w14:paraId="3C6C6577">
            <w:pPr>
              <w:jc w:val="left"/>
              <w:rPr>
                <w:rFonts w:hint="default" w:ascii="Times New Roman" w:hAnsi="Times New Roman" w:cs="Times New Roman"/>
                <w:b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vertAlign w:val="baseline"/>
                <w:lang w:eastAsia="zh-CN"/>
              </w:rPr>
              <w:t>Coefficient (lambda.min)</w:t>
            </w:r>
          </w:p>
        </w:tc>
        <w:tc>
          <w:tcPr>
            <w:tcW w:w="2841" w:type="dxa"/>
            <w:tcBorders>
              <w:top w:val="single" w:color="auto" w:sz="0" w:space="0"/>
              <w:bottom w:val="single" w:color="auto" w:sz="4" w:space="0"/>
            </w:tcBorders>
          </w:tcPr>
          <w:p w14:paraId="3A800775">
            <w:pPr>
              <w:jc w:val="left"/>
              <w:rPr>
                <w:rFonts w:hint="default" w:ascii="Times New Roman" w:hAnsi="Times New Roman" w:cs="Times New Roman"/>
                <w:b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vertAlign w:val="baseline"/>
                <w:lang w:eastAsia="zh-CN"/>
              </w:rPr>
              <w:t>Coefficient (lambda.1se)</w:t>
            </w:r>
          </w:p>
        </w:tc>
      </w:tr>
      <w:tr w14:paraId="032E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</w:tcBorders>
          </w:tcPr>
          <w:p w14:paraId="1B7749E5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ASA classification</w:t>
            </w:r>
          </w:p>
        </w:tc>
        <w:tc>
          <w:tcPr>
            <w:tcW w:w="2841" w:type="dxa"/>
            <w:tcBorders>
              <w:top w:val="single" w:color="auto" w:sz="4" w:space="0"/>
            </w:tcBorders>
          </w:tcPr>
          <w:p w14:paraId="3742E3A6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  <w:tc>
          <w:tcPr>
            <w:tcW w:w="2841" w:type="dxa"/>
            <w:tcBorders>
              <w:top w:val="single" w:color="auto" w:sz="4" w:space="0"/>
            </w:tcBorders>
          </w:tcPr>
          <w:p w14:paraId="3CF15957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  <w:tr w14:paraId="1B45D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37CAB22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BMI</w:t>
            </w:r>
          </w:p>
        </w:tc>
        <w:tc>
          <w:tcPr>
            <w:tcW w:w="2841" w:type="dxa"/>
          </w:tcPr>
          <w:p w14:paraId="68E7D589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0.007</w:t>
            </w:r>
          </w:p>
        </w:tc>
        <w:tc>
          <w:tcPr>
            <w:tcW w:w="2841" w:type="dxa"/>
          </w:tcPr>
          <w:p w14:paraId="1B5C0A8B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  <w:tr w14:paraId="11137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E7080CE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Age</w:t>
            </w:r>
          </w:p>
        </w:tc>
        <w:tc>
          <w:tcPr>
            <w:tcW w:w="2841" w:type="dxa"/>
          </w:tcPr>
          <w:p w14:paraId="162F9921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0.016</w:t>
            </w:r>
          </w:p>
        </w:tc>
        <w:tc>
          <w:tcPr>
            <w:tcW w:w="2841" w:type="dxa"/>
          </w:tcPr>
          <w:p w14:paraId="7F0E7B79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0.007</w:t>
            </w:r>
          </w:p>
        </w:tc>
      </w:tr>
      <w:tr w14:paraId="322E5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B476203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Duration from surgery to discharge, day</w:t>
            </w:r>
          </w:p>
        </w:tc>
        <w:tc>
          <w:tcPr>
            <w:tcW w:w="2841" w:type="dxa"/>
          </w:tcPr>
          <w:p w14:paraId="3692F388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0.031</w:t>
            </w:r>
          </w:p>
        </w:tc>
        <w:tc>
          <w:tcPr>
            <w:tcW w:w="2841" w:type="dxa"/>
          </w:tcPr>
          <w:p w14:paraId="2626B891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0.016</w:t>
            </w:r>
          </w:p>
        </w:tc>
      </w:tr>
      <w:tr w14:paraId="3CC32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9CEC463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Comorbidity</w:t>
            </w:r>
          </w:p>
        </w:tc>
        <w:tc>
          <w:tcPr>
            <w:tcW w:w="2841" w:type="dxa"/>
          </w:tcPr>
          <w:p w14:paraId="36E3FF01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0.291</w:t>
            </w:r>
          </w:p>
        </w:tc>
        <w:tc>
          <w:tcPr>
            <w:tcW w:w="2841" w:type="dxa"/>
          </w:tcPr>
          <w:p w14:paraId="67D4621A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0.025</w:t>
            </w:r>
          </w:p>
        </w:tc>
      </w:tr>
      <w:tr w14:paraId="6538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EF17C55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Anesthesia type</w:t>
            </w:r>
          </w:p>
        </w:tc>
        <w:tc>
          <w:tcPr>
            <w:tcW w:w="2841" w:type="dxa"/>
          </w:tcPr>
          <w:p w14:paraId="236251A5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-0.060</w:t>
            </w:r>
          </w:p>
        </w:tc>
        <w:tc>
          <w:tcPr>
            <w:tcW w:w="2841" w:type="dxa"/>
          </w:tcPr>
          <w:p w14:paraId="007FC182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  <w:tr w14:paraId="4F20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6060217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Duration of surgery, min</w:t>
            </w:r>
          </w:p>
        </w:tc>
        <w:tc>
          <w:tcPr>
            <w:tcW w:w="2841" w:type="dxa"/>
          </w:tcPr>
          <w:p w14:paraId="4A20FC5B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  <w:tc>
          <w:tcPr>
            <w:tcW w:w="2841" w:type="dxa"/>
          </w:tcPr>
          <w:p w14:paraId="78CF5617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  <w:tr w14:paraId="67DBB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1F7D406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Anesthesia time, min</w:t>
            </w:r>
          </w:p>
        </w:tc>
        <w:tc>
          <w:tcPr>
            <w:tcW w:w="2841" w:type="dxa"/>
          </w:tcPr>
          <w:p w14:paraId="196AECDF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  <w:tc>
          <w:tcPr>
            <w:tcW w:w="2841" w:type="dxa"/>
          </w:tcPr>
          <w:p w14:paraId="5C960C6D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  <w:tr w14:paraId="27877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3E4FC7E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Bleeding, mL</w:t>
            </w:r>
          </w:p>
        </w:tc>
        <w:tc>
          <w:tcPr>
            <w:tcW w:w="2841" w:type="dxa"/>
          </w:tcPr>
          <w:p w14:paraId="45D42433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</w:t>
            </w:r>
          </w:p>
        </w:tc>
        <w:tc>
          <w:tcPr>
            <w:tcW w:w="2841" w:type="dxa"/>
          </w:tcPr>
          <w:p w14:paraId="2F8AA605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</w:t>
            </w:r>
          </w:p>
        </w:tc>
      </w:tr>
      <w:tr w14:paraId="1FD6A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E650197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Blood transfusion</w:t>
            </w:r>
          </w:p>
        </w:tc>
        <w:tc>
          <w:tcPr>
            <w:tcW w:w="2841" w:type="dxa"/>
          </w:tcPr>
          <w:p w14:paraId="2333F2A1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0.253</w:t>
            </w:r>
          </w:p>
        </w:tc>
        <w:tc>
          <w:tcPr>
            <w:tcW w:w="2841" w:type="dxa"/>
          </w:tcPr>
          <w:p w14:paraId="137386B1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0.086</w:t>
            </w:r>
          </w:p>
        </w:tc>
      </w:tr>
      <w:tr w14:paraId="7F965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A7A03CE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Crystalloid, mL</w:t>
            </w:r>
          </w:p>
        </w:tc>
        <w:tc>
          <w:tcPr>
            <w:tcW w:w="2841" w:type="dxa"/>
          </w:tcPr>
          <w:p w14:paraId="33A000AF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  <w:tc>
          <w:tcPr>
            <w:tcW w:w="2841" w:type="dxa"/>
          </w:tcPr>
          <w:p w14:paraId="679D70F4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  <w:tr w14:paraId="48DD9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E8C9344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Colloid (&gt;1000 mg)</w:t>
            </w:r>
          </w:p>
        </w:tc>
        <w:tc>
          <w:tcPr>
            <w:tcW w:w="2841" w:type="dxa"/>
          </w:tcPr>
          <w:p w14:paraId="55E33A90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  <w:tc>
          <w:tcPr>
            <w:tcW w:w="2841" w:type="dxa"/>
          </w:tcPr>
          <w:p w14:paraId="46A25284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  <w:tr w14:paraId="767B9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3096911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Sufentanil, ug</w:t>
            </w:r>
          </w:p>
        </w:tc>
        <w:tc>
          <w:tcPr>
            <w:tcW w:w="2841" w:type="dxa"/>
          </w:tcPr>
          <w:p w14:paraId="16FAE59E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0.030</w:t>
            </w:r>
          </w:p>
        </w:tc>
        <w:tc>
          <w:tcPr>
            <w:tcW w:w="2841" w:type="dxa"/>
          </w:tcPr>
          <w:p w14:paraId="5C78FFB8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0.026</w:t>
            </w:r>
          </w:p>
        </w:tc>
      </w:tr>
      <w:tr w14:paraId="79D61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28BB270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Remifentanil, ug</w:t>
            </w:r>
          </w:p>
        </w:tc>
        <w:tc>
          <w:tcPr>
            <w:tcW w:w="2841" w:type="dxa"/>
          </w:tcPr>
          <w:p w14:paraId="545C97C5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</w:t>
            </w:r>
          </w:p>
        </w:tc>
        <w:tc>
          <w:tcPr>
            <w:tcW w:w="2841" w:type="dxa"/>
          </w:tcPr>
          <w:p w14:paraId="124C4A57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</w:t>
            </w:r>
          </w:p>
        </w:tc>
      </w:tr>
      <w:tr w14:paraId="6E041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074DAF0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Propofol, mg</w:t>
            </w:r>
          </w:p>
        </w:tc>
        <w:tc>
          <w:tcPr>
            <w:tcW w:w="2841" w:type="dxa"/>
          </w:tcPr>
          <w:p w14:paraId="62751EF5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0.001</w:t>
            </w:r>
          </w:p>
        </w:tc>
        <w:tc>
          <w:tcPr>
            <w:tcW w:w="2841" w:type="dxa"/>
          </w:tcPr>
          <w:p w14:paraId="523D7782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0.001</w:t>
            </w:r>
          </w:p>
        </w:tc>
      </w:tr>
      <w:tr w14:paraId="40FD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bottom w:val="single" w:color="auto" w:sz="0" w:space="0"/>
            </w:tcBorders>
          </w:tcPr>
          <w:p w14:paraId="590872BB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Etomidate, mg</w:t>
            </w:r>
          </w:p>
        </w:tc>
        <w:tc>
          <w:tcPr>
            <w:tcW w:w="2841" w:type="dxa"/>
            <w:tcBorders>
              <w:bottom w:val="single" w:color="auto" w:sz="0" w:space="0"/>
            </w:tcBorders>
          </w:tcPr>
          <w:p w14:paraId="26FEB70D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  <w:tc>
          <w:tcPr>
            <w:tcW w:w="2841" w:type="dxa"/>
            <w:tcBorders>
              <w:bottom w:val="single" w:color="auto" w:sz="0" w:space="0"/>
            </w:tcBorders>
          </w:tcPr>
          <w:p w14:paraId="53FA177B">
            <w:pPr>
              <w:jc w:val="left"/>
              <w:rPr>
                <w:rFonts w:hint="default" w:ascii="Times New Roman" w:hAnsi="Times New Roman" w:cs="Times New Roman"/>
                <w:b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sz w:val="20"/>
                <w:vertAlign w:val="baseline"/>
                <w:lang w:eastAsia="zh-CN"/>
              </w:rPr>
              <w:t>NA</w:t>
            </w:r>
          </w:p>
        </w:tc>
      </w:tr>
    </w:tbl>
    <w:p w14:paraId="779AD8B8">
      <w:pPr>
        <w:rPr>
          <w:rFonts w:hint="eastAsia" w:ascii="Times New Roman" w:hAnsi="Times New Roman" w:cs="Times New Roman"/>
          <w:b w:val="0"/>
          <w:sz w:val="18"/>
          <w:lang w:eastAsia="zh-CN"/>
        </w:rPr>
      </w:pPr>
    </w:p>
    <w:p w14:paraId="0646DC4A">
      <w:pPr>
        <w:rPr>
          <w:rFonts w:hint="eastAsia" w:ascii="Times New Roman" w:hAnsi="Times New Roman" w:cs="Times New Roman"/>
          <w:b w:val="0"/>
          <w:sz w:val="18"/>
          <w:lang w:eastAsia="zh-CN"/>
        </w:rPr>
      </w:pPr>
    </w:p>
    <w:p w14:paraId="0BCD7C69">
      <w:pPr>
        <w:rPr>
          <w:rFonts w:hint="eastAsia" w:ascii="Times New Roman" w:hAnsi="Times New Roman" w:cs="Times New Roman"/>
          <w:b w:val="0"/>
          <w:i w:val="0"/>
          <w:sz w:val="18"/>
          <w:lang w:eastAsia="zh-CN"/>
        </w:rPr>
      </w:pPr>
      <w:r>
        <w:rPr>
          <w:rFonts w:hint="eastAsia" w:ascii="Times New Roman" w:hAnsi="Times New Roman" w:cs="Times New Roman"/>
          <w:b w:val="0"/>
          <w:i/>
          <w:sz w:val="18"/>
          <w:lang w:eastAsia="zh-CN"/>
        </w:rPr>
        <w:t>Note: The optimal tuning parameter lambda was selected via 10-fold cross-validation. lambda.min = 0.025 (minimum cross-validated error), lambda.1se = 0.064 (one standard error within the minimum). Variables with NA coefficients were excluded at the corresponding lambda value. Variables with zero coefficients were retained but contributed negligibly to the model.</w:t>
      </w:r>
    </w:p>
    <w:p w14:paraId="6158F5F6">
      <w:pPr>
        <w:rPr>
          <w:rFonts w:hint="eastAsia" w:ascii="Times New Roman" w:hAnsi="Times New Roman" w:cs="Times New Roman"/>
          <w:b w:val="0"/>
          <w:i w:val="0"/>
          <w:sz w:val="18"/>
          <w:lang w:eastAsia="zh-CN"/>
        </w:rPr>
      </w:pPr>
    </w:p>
    <w:p w14:paraId="34EBCCB9">
      <w:pPr>
        <w:rPr>
          <w:rFonts w:hint="eastAsia" w:ascii="Times New Roman" w:hAnsi="Times New Roman" w:cs="Times New Roman"/>
          <w:b/>
          <w:i w:val="0"/>
          <w:sz w:val="24"/>
          <w:lang w:eastAsia="zh-CN"/>
        </w:rPr>
      </w:pPr>
      <w:r>
        <w:rPr>
          <w:rFonts w:hint="eastAsia" w:ascii="Times New Roman" w:hAnsi="Times New Roman" w:cs="Times New Roman"/>
          <w:b/>
          <w:i w:val="0"/>
          <w:sz w:val="24"/>
          <w:lang w:eastAsia="zh-CN"/>
        </w:rPr>
        <w:t>Supplementary Table 4. Multivariable Logistic Regression Analysis for Postoperative Constipation</w:t>
      </w:r>
    </w:p>
    <w:p w14:paraId="29188CD0">
      <w:pPr>
        <w:rPr>
          <w:rFonts w:hint="eastAsia" w:ascii="Times New Roman" w:hAnsi="Times New Roman" w:cs="Times New Roman"/>
          <w:b w:val="0"/>
          <w:i w:val="0"/>
          <w:sz w:val="18"/>
          <w:lang w:eastAsia="zh-CN"/>
        </w:rPr>
      </w:pPr>
      <w:r>
        <w:rPr>
          <w:rFonts w:hint="eastAsia" w:ascii="Times New Roman" w:hAnsi="Times New Roman" w:cs="Times New Roman"/>
          <w:b w:val="0"/>
          <w:i w:val="0"/>
          <w:sz w:val="18"/>
          <w:lang w:eastAsia="zh-CN"/>
        </w:rPr>
        <w:t>Abbreviations: SE, standard error; CI, confidence interval.</w:t>
      </w:r>
    </w:p>
    <w:p w14:paraId="44CA4049">
      <w:pPr>
        <w:rPr>
          <w:rFonts w:hint="eastAsia" w:ascii="Times New Roman" w:hAnsi="Times New Roman" w:cs="Times New Roman"/>
          <w:b w:val="0"/>
          <w:i w:val="0"/>
          <w:sz w:val="18"/>
          <w:lang w:eastAsia="zh-CN"/>
        </w:rPr>
      </w:pPr>
    </w:p>
    <w:tbl>
      <w:tblPr>
        <w:tblStyle w:val="3"/>
        <w:tblW w:w="8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765"/>
        <w:gridCol w:w="961"/>
        <w:gridCol w:w="1217"/>
        <w:gridCol w:w="1218"/>
        <w:gridCol w:w="1218"/>
        <w:gridCol w:w="1416"/>
      </w:tblGrid>
      <w:tr w14:paraId="3A7C6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  <w:tcBorders>
              <w:top w:val="single" w:color="auto" w:sz="0" w:space="0"/>
              <w:bottom w:val="single" w:color="auto" w:sz="4" w:space="0"/>
            </w:tcBorders>
          </w:tcPr>
          <w:p w14:paraId="465D7CF9">
            <w:pPr>
              <w:jc w:val="left"/>
              <w:rPr>
                <w:rFonts w:hint="default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  <w:t>Variable</w:t>
            </w:r>
          </w:p>
        </w:tc>
        <w:tc>
          <w:tcPr>
            <w:tcW w:w="765" w:type="dxa"/>
            <w:tcBorders>
              <w:top w:val="single" w:color="auto" w:sz="0" w:space="0"/>
              <w:bottom w:val="single" w:color="auto" w:sz="4" w:space="0"/>
            </w:tcBorders>
          </w:tcPr>
          <w:p w14:paraId="369A40B5">
            <w:pPr>
              <w:jc w:val="left"/>
              <w:rPr>
                <w:rFonts w:hint="default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  <w:t>Estimate</w:t>
            </w:r>
          </w:p>
        </w:tc>
        <w:tc>
          <w:tcPr>
            <w:tcW w:w="961" w:type="dxa"/>
            <w:tcBorders>
              <w:top w:val="single" w:color="auto" w:sz="0" w:space="0"/>
              <w:bottom w:val="single" w:color="auto" w:sz="4" w:space="0"/>
            </w:tcBorders>
          </w:tcPr>
          <w:p w14:paraId="19356122">
            <w:pPr>
              <w:jc w:val="left"/>
              <w:rPr>
                <w:rFonts w:hint="default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  <w:t>SE</w:t>
            </w:r>
          </w:p>
        </w:tc>
        <w:tc>
          <w:tcPr>
            <w:tcW w:w="1217" w:type="dxa"/>
            <w:tcBorders>
              <w:top w:val="single" w:color="auto" w:sz="0" w:space="0"/>
              <w:bottom w:val="single" w:color="auto" w:sz="4" w:space="0"/>
            </w:tcBorders>
          </w:tcPr>
          <w:p w14:paraId="7AB73440">
            <w:pPr>
              <w:jc w:val="left"/>
              <w:rPr>
                <w:rFonts w:hint="default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  <w:t>Z value</w:t>
            </w:r>
          </w:p>
        </w:tc>
        <w:tc>
          <w:tcPr>
            <w:tcW w:w="1218" w:type="dxa"/>
            <w:tcBorders>
              <w:top w:val="single" w:color="auto" w:sz="0" w:space="0"/>
              <w:bottom w:val="single" w:color="auto" w:sz="4" w:space="0"/>
            </w:tcBorders>
          </w:tcPr>
          <w:p w14:paraId="2EED4EEE">
            <w:pPr>
              <w:jc w:val="left"/>
              <w:rPr>
                <w:rFonts w:hint="default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  <w:t>P value</w:t>
            </w:r>
          </w:p>
        </w:tc>
        <w:tc>
          <w:tcPr>
            <w:tcW w:w="1218" w:type="dxa"/>
            <w:tcBorders>
              <w:top w:val="single" w:color="auto" w:sz="0" w:space="0"/>
              <w:bottom w:val="single" w:color="auto" w:sz="4" w:space="0"/>
            </w:tcBorders>
          </w:tcPr>
          <w:p w14:paraId="6E3ABB35">
            <w:pPr>
              <w:jc w:val="left"/>
              <w:rPr>
                <w:rFonts w:hint="default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  <w:t>OR</w:t>
            </w:r>
          </w:p>
        </w:tc>
        <w:tc>
          <w:tcPr>
            <w:tcW w:w="1416" w:type="dxa"/>
            <w:tcBorders>
              <w:top w:val="single" w:color="auto" w:sz="0" w:space="0"/>
              <w:bottom w:val="single" w:color="auto" w:sz="4" w:space="0"/>
            </w:tcBorders>
          </w:tcPr>
          <w:p w14:paraId="18462797">
            <w:pPr>
              <w:jc w:val="left"/>
              <w:rPr>
                <w:rFonts w:hint="default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sz w:val="20"/>
                <w:vertAlign w:val="baseline"/>
                <w:lang w:eastAsia="zh-CN"/>
              </w:rPr>
              <w:t>95% CI</w:t>
            </w:r>
          </w:p>
        </w:tc>
      </w:tr>
      <w:tr w14:paraId="086FF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  <w:tcBorders>
              <w:top w:val="single" w:color="auto" w:sz="4" w:space="0"/>
            </w:tcBorders>
          </w:tcPr>
          <w:p w14:paraId="3C99B0FD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(Intercept)</w:t>
            </w:r>
          </w:p>
        </w:tc>
        <w:tc>
          <w:tcPr>
            <w:tcW w:w="765" w:type="dxa"/>
            <w:tcBorders>
              <w:top w:val="single" w:color="auto" w:sz="4" w:space="0"/>
            </w:tcBorders>
          </w:tcPr>
          <w:p w14:paraId="0C1E4714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-3.387</w:t>
            </w:r>
          </w:p>
        </w:tc>
        <w:tc>
          <w:tcPr>
            <w:tcW w:w="961" w:type="dxa"/>
            <w:tcBorders>
              <w:top w:val="single" w:color="auto" w:sz="4" w:space="0"/>
            </w:tcBorders>
          </w:tcPr>
          <w:p w14:paraId="37FAF719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0.843</w:t>
            </w:r>
          </w:p>
        </w:tc>
        <w:tc>
          <w:tcPr>
            <w:tcW w:w="1217" w:type="dxa"/>
            <w:tcBorders>
              <w:top w:val="single" w:color="auto" w:sz="4" w:space="0"/>
            </w:tcBorders>
          </w:tcPr>
          <w:p w14:paraId="16069304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-4.020</w:t>
            </w:r>
          </w:p>
        </w:tc>
        <w:tc>
          <w:tcPr>
            <w:tcW w:w="1218" w:type="dxa"/>
            <w:tcBorders>
              <w:top w:val="single" w:color="auto" w:sz="4" w:space="0"/>
            </w:tcBorders>
          </w:tcPr>
          <w:p w14:paraId="51DD778E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&lt;0.001</w:t>
            </w:r>
          </w:p>
        </w:tc>
        <w:tc>
          <w:tcPr>
            <w:tcW w:w="1218" w:type="dxa"/>
            <w:tcBorders>
              <w:top w:val="single" w:color="auto" w:sz="4" w:space="0"/>
            </w:tcBorders>
          </w:tcPr>
          <w:p w14:paraId="49A50F8F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0.034</w:t>
            </w:r>
          </w:p>
        </w:tc>
        <w:tc>
          <w:tcPr>
            <w:tcW w:w="1416" w:type="dxa"/>
            <w:tcBorders>
              <w:top w:val="single" w:color="auto" w:sz="4" w:space="0"/>
            </w:tcBorders>
          </w:tcPr>
          <w:p w14:paraId="7D8FEFBB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0.007–0.178</w:t>
            </w:r>
          </w:p>
        </w:tc>
      </w:tr>
      <w:tr w14:paraId="58ED1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30FE6803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Duration from surgery to discharge, day</w:t>
            </w:r>
          </w:p>
        </w:tc>
        <w:tc>
          <w:tcPr>
            <w:tcW w:w="765" w:type="dxa"/>
          </w:tcPr>
          <w:p w14:paraId="2952A5F4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0.071</w:t>
            </w:r>
          </w:p>
        </w:tc>
        <w:tc>
          <w:tcPr>
            <w:tcW w:w="961" w:type="dxa"/>
          </w:tcPr>
          <w:p w14:paraId="0D23E7E9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0.034</w:t>
            </w:r>
          </w:p>
        </w:tc>
        <w:tc>
          <w:tcPr>
            <w:tcW w:w="1217" w:type="dxa"/>
          </w:tcPr>
          <w:p w14:paraId="5EB62E0C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2.074</w:t>
            </w:r>
          </w:p>
        </w:tc>
        <w:tc>
          <w:tcPr>
            <w:tcW w:w="1218" w:type="dxa"/>
          </w:tcPr>
          <w:p w14:paraId="04501E20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0.038</w:t>
            </w:r>
          </w:p>
        </w:tc>
        <w:tc>
          <w:tcPr>
            <w:tcW w:w="1218" w:type="dxa"/>
          </w:tcPr>
          <w:p w14:paraId="7EB5602B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1.074</w:t>
            </w:r>
          </w:p>
        </w:tc>
        <w:tc>
          <w:tcPr>
            <w:tcW w:w="1416" w:type="dxa"/>
          </w:tcPr>
          <w:p w14:paraId="6BB52F69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1.004–1.148</w:t>
            </w:r>
          </w:p>
        </w:tc>
      </w:tr>
      <w:tr w14:paraId="2D0E0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38C3EFBB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Age, year</w:t>
            </w:r>
          </w:p>
        </w:tc>
        <w:tc>
          <w:tcPr>
            <w:tcW w:w="765" w:type="dxa"/>
          </w:tcPr>
          <w:p w14:paraId="66830FF2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0.013</w:t>
            </w:r>
          </w:p>
        </w:tc>
        <w:tc>
          <w:tcPr>
            <w:tcW w:w="961" w:type="dxa"/>
          </w:tcPr>
          <w:p w14:paraId="5E1508C0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0.013</w:t>
            </w:r>
          </w:p>
        </w:tc>
        <w:tc>
          <w:tcPr>
            <w:tcW w:w="1217" w:type="dxa"/>
          </w:tcPr>
          <w:p w14:paraId="303D4163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1.013</w:t>
            </w:r>
          </w:p>
        </w:tc>
        <w:tc>
          <w:tcPr>
            <w:tcW w:w="1218" w:type="dxa"/>
          </w:tcPr>
          <w:p w14:paraId="1BBA9578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0.311</w:t>
            </w:r>
          </w:p>
        </w:tc>
        <w:tc>
          <w:tcPr>
            <w:tcW w:w="1218" w:type="dxa"/>
          </w:tcPr>
          <w:p w14:paraId="6EBC6EC5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1.013</w:t>
            </w:r>
          </w:p>
        </w:tc>
        <w:tc>
          <w:tcPr>
            <w:tcW w:w="1416" w:type="dxa"/>
          </w:tcPr>
          <w:p w14:paraId="087833F4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0.988–1.039</w:t>
            </w:r>
          </w:p>
        </w:tc>
      </w:tr>
      <w:tr w14:paraId="66AB4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68DC715E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Comorbidity (present)</w:t>
            </w:r>
          </w:p>
        </w:tc>
        <w:tc>
          <w:tcPr>
            <w:tcW w:w="765" w:type="dxa"/>
          </w:tcPr>
          <w:p w14:paraId="106D9B0A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0.759</w:t>
            </w:r>
          </w:p>
        </w:tc>
        <w:tc>
          <w:tcPr>
            <w:tcW w:w="961" w:type="dxa"/>
          </w:tcPr>
          <w:p w14:paraId="1778A1D3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0.405</w:t>
            </w:r>
          </w:p>
        </w:tc>
        <w:tc>
          <w:tcPr>
            <w:tcW w:w="1217" w:type="dxa"/>
          </w:tcPr>
          <w:p w14:paraId="1CB2CEA3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1.877</w:t>
            </w:r>
          </w:p>
        </w:tc>
        <w:tc>
          <w:tcPr>
            <w:tcW w:w="1218" w:type="dxa"/>
          </w:tcPr>
          <w:p w14:paraId="7E99FF61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0.061</w:t>
            </w:r>
          </w:p>
        </w:tc>
        <w:tc>
          <w:tcPr>
            <w:tcW w:w="1218" w:type="dxa"/>
          </w:tcPr>
          <w:p w14:paraId="20428DB6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2.136</w:t>
            </w:r>
          </w:p>
        </w:tc>
        <w:tc>
          <w:tcPr>
            <w:tcW w:w="1416" w:type="dxa"/>
          </w:tcPr>
          <w:p w14:paraId="5D134CDC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0.967–4.720</w:t>
            </w:r>
          </w:p>
        </w:tc>
      </w:tr>
      <w:tr w14:paraId="1303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604DE8DD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Bleeding, mL</w:t>
            </w:r>
          </w:p>
        </w:tc>
        <w:tc>
          <w:tcPr>
            <w:tcW w:w="765" w:type="dxa"/>
          </w:tcPr>
          <w:p w14:paraId="02FE3F17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0.000</w:t>
            </w:r>
          </w:p>
        </w:tc>
        <w:tc>
          <w:tcPr>
            <w:tcW w:w="961" w:type="dxa"/>
          </w:tcPr>
          <w:p w14:paraId="220A6504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0.001</w:t>
            </w:r>
          </w:p>
        </w:tc>
        <w:tc>
          <w:tcPr>
            <w:tcW w:w="1217" w:type="dxa"/>
          </w:tcPr>
          <w:p w14:paraId="3DDE921E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-0.275</w:t>
            </w:r>
          </w:p>
        </w:tc>
        <w:tc>
          <w:tcPr>
            <w:tcW w:w="1218" w:type="dxa"/>
          </w:tcPr>
          <w:p w14:paraId="3AE7AE3B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0.784</w:t>
            </w:r>
          </w:p>
        </w:tc>
        <w:tc>
          <w:tcPr>
            <w:tcW w:w="1218" w:type="dxa"/>
          </w:tcPr>
          <w:p w14:paraId="5DEDC90B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1.000</w:t>
            </w:r>
          </w:p>
        </w:tc>
        <w:tc>
          <w:tcPr>
            <w:tcW w:w="1416" w:type="dxa"/>
          </w:tcPr>
          <w:p w14:paraId="1386631F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0.999–1.001</w:t>
            </w:r>
          </w:p>
        </w:tc>
      </w:tr>
      <w:tr w14:paraId="7ADB6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0F77D675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Blood transfusion (yes)</w:t>
            </w:r>
          </w:p>
        </w:tc>
        <w:tc>
          <w:tcPr>
            <w:tcW w:w="765" w:type="dxa"/>
          </w:tcPr>
          <w:p w14:paraId="4B9173F5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0.795</w:t>
            </w:r>
          </w:p>
        </w:tc>
        <w:tc>
          <w:tcPr>
            <w:tcW w:w="961" w:type="dxa"/>
          </w:tcPr>
          <w:p w14:paraId="45C16E99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0.704</w:t>
            </w:r>
          </w:p>
        </w:tc>
        <w:tc>
          <w:tcPr>
            <w:tcW w:w="1217" w:type="dxa"/>
          </w:tcPr>
          <w:p w14:paraId="0E753641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1.130</w:t>
            </w:r>
          </w:p>
        </w:tc>
        <w:tc>
          <w:tcPr>
            <w:tcW w:w="1218" w:type="dxa"/>
          </w:tcPr>
          <w:p w14:paraId="2DBF650A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0.259</w:t>
            </w:r>
          </w:p>
        </w:tc>
        <w:tc>
          <w:tcPr>
            <w:tcW w:w="1218" w:type="dxa"/>
          </w:tcPr>
          <w:p w14:paraId="45371D4F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2.215</w:t>
            </w:r>
          </w:p>
        </w:tc>
        <w:tc>
          <w:tcPr>
            <w:tcW w:w="1416" w:type="dxa"/>
          </w:tcPr>
          <w:p w14:paraId="5D23EDB1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0.560–8.808</w:t>
            </w:r>
          </w:p>
        </w:tc>
      </w:tr>
      <w:tr w14:paraId="71D7B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718DAFBF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Sufentanil, ug</w:t>
            </w:r>
          </w:p>
        </w:tc>
        <w:tc>
          <w:tcPr>
            <w:tcW w:w="765" w:type="dxa"/>
          </w:tcPr>
          <w:p w14:paraId="1375A98D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0.011</w:t>
            </w:r>
          </w:p>
        </w:tc>
        <w:tc>
          <w:tcPr>
            <w:tcW w:w="961" w:type="dxa"/>
          </w:tcPr>
          <w:p w14:paraId="17D29165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0.021</w:t>
            </w:r>
          </w:p>
        </w:tc>
        <w:tc>
          <w:tcPr>
            <w:tcW w:w="1217" w:type="dxa"/>
          </w:tcPr>
          <w:p w14:paraId="0D1662E9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0.490</w:t>
            </w:r>
          </w:p>
        </w:tc>
        <w:tc>
          <w:tcPr>
            <w:tcW w:w="1218" w:type="dxa"/>
          </w:tcPr>
          <w:p w14:paraId="7EBF399C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0.624</w:t>
            </w:r>
          </w:p>
        </w:tc>
        <w:tc>
          <w:tcPr>
            <w:tcW w:w="1218" w:type="dxa"/>
          </w:tcPr>
          <w:p w14:paraId="7060A341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1.011</w:t>
            </w:r>
          </w:p>
        </w:tc>
        <w:tc>
          <w:tcPr>
            <w:tcW w:w="1416" w:type="dxa"/>
          </w:tcPr>
          <w:p w14:paraId="6D25F1D0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0.969–1.054</w:t>
            </w:r>
          </w:p>
        </w:tc>
      </w:tr>
      <w:tr w14:paraId="02DAC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23E3662D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Remifentanil, ug</w:t>
            </w:r>
          </w:p>
        </w:tc>
        <w:tc>
          <w:tcPr>
            <w:tcW w:w="765" w:type="dxa"/>
          </w:tcPr>
          <w:p w14:paraId="1C1577B7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0.001</w:t>
            </w:r>
          </w:p>
        </w:tc>
        <w:tc>
          <w:tcPr>
            <w:tcW w:w="961" w:type="dxa"/>
          </w:tcPr>
          <w:p w14:paraId="1E566328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0.000</w:t>
            </w:r>
          </w:p>
        </w:tc>
        <w:tc>
          <w:tcPr>
            <w:tcW w:w="1217" w:type="dxa"/>
          </w:tcPr>
          <w:p w14:paraId="7FECB379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2.218</w:t>
            </w:r>
          </w:p>
        </w:tc>
        <w:tc>
          <w:tcPr>
            <w:tcW w:w="1218" w:type="dxa"/>
          </w:tcPr>
          <w:p w14:paraId="5EF42E85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0.027</w:t>
            </w:r>
          </w:p>
        </w:tc>
        <w:tc>
          <w:tcPr>
            <w:tcW w:w="1218" w:type="dxa"/>
          </w:tcPr>
          <w:p w14:paraId="7736C40F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1.001</w:t>
            </w:r>
          </w:p>
        </w:tc>
        <w:tc>
          <w:tcPr>
            <w:tcW w:w="1416" w:type="dxa"/>
          </w:tcPr>
          <w:p w14:paraId="38C0E04B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1.000–1.002</w:t>
            </w:r>
          </w:p>
        </w:tc>
      </w:tr>
      <w:tr w14:paraId="40FCE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  <w:tcBorders>
              <w:bottom w:val="single" w:color="auto" w:sz="0" w:space="0"/>
            </w:tcBorders>
          </w:tcPr>
          <w:p w14:paraId="48BE3498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Propofol, mg</w:t>
            </w:r>
          </w:p>
        </w:tc>
        <w:tc>
          <w:tcPr>
            <w:tcW w:w="765" w:type="dxa"/>
            <w:tcBorders>
              <w:bottom w:val="single" w:color="auto" w:sz="0" w:space="0"/>
            </w:tcBorders>
          </w:tcPr>
          <w:p w14:paraId="1BC15727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0.002</w:t>
            </w:r>
          </w:p>
        </w:tc>
        <w:tc>
          <w:tcPr>
            <w:tcW w:w="961" w:type="dxa"/>
            <w:tcBorders>
              <w:bottom w:val="single" w:color="auto" w:sz="0" w:space="0"/>
            </w:tcBorders>
          </w:tcPr>
          <w:p w14:paraId="3F4B8265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0.001</w:t>
            </w:r>
          </w:p>
        </w:tc>
        <w:tc>
          <w:tcPr>
            <w:tcW w:w="1217" w:type="dxa"/>
            <w:tcBorders>
              <w:bottom w:val="single" w:color="auto" w:sz="0" w:space="0"/>
            </w:tcBorders>
          </w:tcPr>
          <w:p w14:paraId="205AC386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2.257</w:t>
            </w:r>
          </w:p>
        </w:tc>
        <w:tc>
          <w:tcPr>
            <w:tcW w:w="1218" w:type="dxa"/>
            <w:tcBorders>
              <w:bottom w:val="single" w:color="auto" w:sz="0" w:space="0"/>
            </w:tcBorders>
          </w:tcPr>
          <w:p w14:paraId="20E2359B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0.024</w:t>
            </w:r>
          </w:p>
        </w:tc>
        <w:tc>
          <w:tcPr>
            <w:tcW w:w="1218" w:type="dxa"/>
            <w:tcBorders>
              <w:bottom w:val="single" w:color="auto" w:sz="0" w:space="0"/>
            </w:tcBorders>
          </w:tcPr>
          <w:p w14:paraId="18E6D109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1.002</w:t>
            </w:r>
          </w:p>
        </w:tc>
        <w:tc>
          <w:tcPr>
            <w:tcW w:w="1416" w:type="dxa"/>
            <w:tcBorders>
              <w:bottom w:val="single" w:color="auto" w:sz="0" w:space="0"/>
            </w:tcBorders>
          </w:tcPr>
          <w:p w14:paraId="3EFC739C">
            <w:pPr>
              <w:jc w:val="left"/>
              <w:rPr>
                <w:rFonts w:hint="default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z w:val="20"/>
                <w:vertAlign w:val="baseline"/>
                <w:lang w:eastAsia="zh-CN"/>
              </w:rPr>
              <w:t>1.000–1.004</w:t>
            </w:r>
          </w:p>
        </w:tc>
      </w:tr>
    </w:tbl>
    <w:p w14:paraId="4858D5D9">
      <w:pPr>
        <w:rPr>
          <w:rFonts w:hint="eastAsia" w:ascii="Times New Roman" w:hAnsi="Times New Roman" w:cs="Times New Roman"/>
          <w:b w:val="0"/>
          <w:i w:val="0"/>
          <w:sz w:val="18"/>
          <w:lang w:eastAsia="zh-CN"/>
        </w:rPr>
      </w:pPr>
    </w:p>
    <w:p w14:paraId="70CCD21C">
      <w:pPr>
        <w:rPr>
          <w:rFonts w:hint="eastAsia" w:ascii="Times New Roman" w:hAnsi="Times New Roman" w:cs="Times New Roman"/>
          <w:b w:val="0"/>
          <w:i w:val="0"/>
          <w:sz w:val="18"/>
          <w:lang w:eastAsia="zh-CN"/>
        </w:rPr>
      </w:pPr>
    </w:p>
    <w:p w14:paraId="7E34F465">
      <w:pPr>
        <w:rPr>
          <w:rFonts w:hint="eastAsia" w:ascii="Times New Roman" w:hAnsi="Times New Roman" w:cs="Times New Roman"/>
          <w:b w:val="0"/>
          <w:i/>
          <w:sz w:val="18"/>
          <w:lang w:eastAsia="zh-CN"/>
        </w:rPr>
      </w:pPr>
      <w:r>
        <w:rPr>
          <w:rFonts w:hint="eastAsia" w:ascii="Times New Roman" w:hAnsi="Times New Roman" w:cs="Times New Roman"/>
          <w:b w:val="0"/>
          <w:i/>
          <w:sz w:val="18"/>
          <w:lang w:eastAsia="zh-CN"/>
        </w:rPr>
        <w:t>Note: Odds ratios (OR) and 95% confidence intervals (CI) were calculated from the logistic regression coefficients. Variables were selected via LASSO regression at lambda.min = 0.025. P values were derived from the Wald test. The logistic regression formula is: Logit(P) = -3.387 + 0.071 &amp;times; (Duration from surgery to discharge) + 0.013 x (Age) + 0.759 &amp;times; (Comorbidity) + 0.000 &amp;times; (Bleeding) + 0.795 &amp;times; (Blood transfusion) + 0.011 &amp;times; (Sufentanil) + 0.001 &amp;times; (Remifentanil) + 0.002 &amp;times; (Propofol).</w:t>
      </w:r>
    </w:p>
    <w:p w14:paraId="459936F9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595880" cy="2595880"/>
            <wp:effectExtent l="0" t="0" r="4445" b="4445"/>
            <wp:docPr id="1" name="图片 1" descr="内部交叉验证图eK_cross.validation.calibration.curv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内部交叉验证图eK_cross.validation.calibration.curve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596515" cy="2596515"/>
            <wp:effectExtent l="0" t="0" r="3810" b="3810"/>
            <wp:docPr id="2" name="图片 2" descr="内部交叉验证图eK_cross.validation.calibration.curv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内部交叉验证图eK_cross.validation.calibration.curve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D0A8B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lang w:val="en-US" w:eastAsia="zh-CN"/>
        </w:rPr>
        <w:t xml:space="preserve">7 </w:t>
      </w:r>
      <w:r>
        <w:rPr>
          <w:rFonts w:hint="default" w:ascii="Times New Roman" w:hAnsi="Times New Roman" w:cs="Times New Roman"/>
          <w:lang w:val="en-US" w:eastAsia="zh-CN"/>
        </w:rPr>
        <w:t xml:space="preserve">Calibration curve for the nomogram to predict the the probability of Orthopedic </w:t>
      </w:r>
      <w:r>
        <w:rPr>
          <w:rFonts w:hint="eastAsia" w:ascii="Times New Roman" w:hAnsi="Times New Roman" w:cs="Times New Roman"/>
          <w:lang w:val="en-US" w:eastAsia="zh-CN"/>
        </w:rPr>
        <w:t>p</w:t>
      </w:r>
      <w:r>
        <w:rPr>
          <w:rFonts w:hint="default" w:ascii="Times New Roman" w:hAnsi="Times New Roman" w:cs="Times New Roman"/>
          <w:lang w:val="en-US" w:eastAsia="zh-CN"/>
        </w:rPr>
        <w:t xml:space="preserve">ostoperative </w:t>
      </w:r>
      <w:r>
        <w:rPr>
          <w:rFonts w:hint="eastAsia" w:ascii="Times New Roman" w:hAnsi="Times New Roman" w:cs="Times New Roman"/>
          <w:lang w:val="en-US" w:eastAsia="zh-CN"/>
        </w:rPr>
        <w:t>c</w:t>
      </w:r>
      <w:r>
        <w:rPr>
          <w:rFonts w:hint="default" w:ascii="Times New Roman" w:hAnsi="Times New Roman" w:cs="Times New Roman"/>
          <w:lang w:val="en-US" w:eastAsia="zh-CN"/>
        </w:rPr>
        <w:t xml:space="preserve">onstipation with leave-one-out cross-validation. </w:t>
      </w:r>
    </w:p>
    <w:p w14:paraId="6280BF2F">
      <w:pPr>
        <w:rPr>
          <w:rFonts w:hint="eastAsia" w:ascii="Times New Roman" w:hAnsi="Times New Roman" w:cs="Times New Roman"/>
          <w:b w:val="0"/>
          <w:i/>
          <w:sz w:val="1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25CBE"/>
    <w:rsid w:val="03725CBE"/>
    <w:rsid w:val="13A323A3"/>
    <w:rsid w:val="1DA83DB7"/>
    <w:rsid w:val="3B747442"/>
    <w:rsid w:val="3F596458"/>
    <w:rsid w:val="52B1623B"/>
    <w:rsid w:val="6DE0290A"/>
    <w:rsid w:val="701F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2026-07-29T02:01:00Z</dcterms:created>
  <dc:creator>Redmi</dc:creator>
  <cp:lastModifiedBy>Redmi</cp:lastModifiedBy>
  <dcterms:modified xsi:type="dcterms:W3CDTF">2026-07-29T02:07:41Z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762C8FE8F0EB4906A24251A2EC0972C2_13</vt:lpwstr>
  </property>
</Properties>
</file>