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0FC1F"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Supporting document</w:t>
      </w:r>
    </w:p>
    <w:p w14:paraId="306F6754"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12383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Zhihui Qiu, Liwen Zhang, Yihong Ding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*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Tianbiao Zeng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*</w:t>
      </w:r>
    </w:p>
    <w:p w14:paraId="11FE1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</w:pPr>
    </w:p>
    <w:p w14:paraId="0E62B07E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College of Chemistry and Materials Engineering, Wenzhou University, Wenzhou Zhejiang 325035, China. </w:t>
      </w:r>
    </w:p>
    <w:p w14:paraId="5A09E2DA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*: Corresponding authors. Email: </w:t>
      </w:r>
      <w:r>
        <w:rPr>
          <w:rFonts w:ascii="Times New Roman" w:hAnsi="Times New Roman" w:cs="Times New Roman"/>
          <w:color w:val="auto"/>
        </w:rPr>
        <w:fldChar w:fldCharType="begin"/>
      </w:r>
      <w:r>
        <w:rPr>
          <w:rFonts w:ascii="Times New Roman" w:hAnsi="Times New Roman" w:cs="Times New Roman"/>
          <w:color w:val="auto"/>
        </w:rPr>
        <w:instrText xml:space="preserve">HYPERLINK "mailto:yhdd@wzu.edu.cn"</w:instrText>
      </w:r>
      <w:r>
        <w:rPr>
          <w:rFonts w:ascii="Times New Roman" w:hAnsi="Times New Roman" w:cs="Times New Roman"/>
          <w:color w:val="auto"/>
        </w:rPr>
        <w:fldChar w:fldCharType="separate"/>
      </w:r>
      <w:r>
        <w:rPr>
          <w:rStyle w:val="8"/>
          <w:color w:val="auto"/>
        </w:rPr>
        <w:t>yhdd@wzu.edu.cn</w:t>
      </w:r>
      <w:r>
        <w:rPr>
          <w:rFonts w:ascii="Times New Roman" w:hAnsi="Times New Roman" w:cs="Times New Roman"/>
          <w:color w:val="auto"/>
        </w:rPr>
        <w:fldChar w:fldCharType="end"/>
      </w:r>
    </w:p>
    <w:p w14:paraId="4088A394"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79169C1A"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7AF504C6"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4DA462BF">
      <w:pPr>
        <w:spacing w:line="360" w:lineRule="auto"/>
        <w:jc w:val="both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Text S1: </w:t>
      </w:r>
    </w:p>
    <w:p w14:paraId="0AA1AC85"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By plotting the natural logarithm of the peak current density against the natural logarithm of the scan rate derived from CV curves recorded at various sweep rates, the rate-determining step of the electrode reaction can be quantitatively identified—specifically, whether the electrochemical process is dominated by surface-capacitive behavior, ion diffusion, or a mixed contribution from both. The core analytical relationship is expressed as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i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=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lang w:val="en-US" w:eastAsia="zh-CN"/>
        </w:rPr>
        <w:t>ab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vertAlign w:val="superscript"/>
          <w:lang w:val="en-US" w:eastAsia="zh-CN"/>
        </w:rPr>
        <w:t>v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, where 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 is the current (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), 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lang w:val="en-US" w:eastAsia="zh-CN"/>
        </w:rPr>
        <w:t>v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 is the scan rate (V 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vertAlign w:val="superscript"/>
          <w:lang w:val="en-US" w:eastAsia="zh-CN"/>
        </w:rPr>
        <w:t>-1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), and 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 and 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 are adjustable constants. The key diagnostic parameter is the 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-value:</w:t>
      </w:r>
    </w:p>
    <w:p w14:paraId="0EA11668"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b≈0.5: the current is governed by ion diffusion;</w:t>
      </w:r>
    </w:p>
    <w:p w14:paraId="63C277C4"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b≈1.0: the current is governed by surface capacitance;</w:t>
      </w:r>
    </w:p>
    <w:p w14:paraId="4C3200B1"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0.5&lt;b&lt;1.0: a mixed regime involving both diffusion- and capacitance-controlled contributions.</w:t>
      </w:r>
    </w:p>
    <w:p w14:paraId="60E11478"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16E3E145">
      <w:pPr>
        <w:spacing w:line="360" w:lineRule="auto"/>
        <w:ind w:firstLine="482" w:firstLineChars="200"/>
        <w:jc w:val="both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Text S2:</w:t>
      </w:r>
    </w:p>
    <w:p w14:paraId="6EB541B3"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When the diffusion of lithium ions within the material approaches a quasi-equilibrium state, the Li⁺ diffusion coefficient can be determined by measuring the transient potential response, as described by the following equation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:</w:t>
      </w:r>
    </w:p>
    <w:p w14:paraId="52BD0BB2">
      <w:pPr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position w:val="-32"/>
          <w:sz w:val="24"/>
          <w:szCs w:val="24"/>
        </w:rPr>
      </w:pPr>
      <w:r>
        <w:rPr>
          <w:rFonts w:hint="default" w:ascii="Times New Roman" w:hAnsi="Times New Roman" w:cs="Times New Roman"/>
          <w:position w:val="-32"/>
          <w:sz w:val="24"/>
          <w:szCs w:val="24"/>
        </w:rPr>
        <w:object>
          <v:shape id="_x0000_i1025" o:spt="75" type="#_x0000_t75" style="height:40pt;width:141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</w:p>
    <w:p w14:paraId="434B7C15">
      <w:pPr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position w:val="-32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position w:val="-32"/>
          <w:sz w:val="24"/>
          <w:szCs w:val="24"/>
          <w:lang w:val="en-US" w:eastAsia="zh-CN"/>
        </w:rPr>
        <w:t>where </w:t>
      </w:r>
      <w:r>
        <w:rPr>
          <w:rFonts w:hint="default" w:ascii="Times New Roman" w:hAnsi="Times New Roman" w:cs="Times New Roman"/>
          <w:i/>
          <w:iCs/>
          <w:position w:val="-32"/>
          <w:sz w:val="24"/>
          <w:szCs w:val="24"/>
          <w:lang w:val="en-US" w:eastAsia="zh-CN"/>
        </w:rPr>
        <w:t>τ</w:t>
      </w:r>
      <w:r>
        <w:rPr>
          <w:rFonts w:hint="default" w:ascii="Times New Roman" w:hAnsi="Times New Roman" w:cs="Times New Roman"/>
          <w:position w:val="-32"/>
          <w:sz w:val="24"/>
          <w:szCs w:val="24"/>
          <w:lang w:val="en-US" w:eastAsia="zh-CN"/>
        </w:rPr>
        <w:t> is the duration of the current pulse; </w:t>
      </w:r>
      <w:r>
        <w:rPr>
          <w:rFonts w:hint="default" w:ascii="Times New Roman" w:hAnsi="Times New Roman" w:cs="Times New Roman"/>
          <w:i/>
          <w:iCs/>
          <w:position w:val="-32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position w:val="-32"/>
          <w:sz w:val="24"/>
          <w:szCs w:val="24"/>
          <w:vertAlign w:val="subscript"/>
          <w:lang w:val="en-US" w:eastAsia="zh-CN"/>
        </w:rPr>
        <w:t>B</w:t>
      </w:r>
      <w:r>
        <w:rPr>
          <w:rFonts w:hint="default" w:ascii="Times New Roman" w:hAnsi="Times New Roman" w:cs="Times New Roman"/>
          <w:position w:val="-32"/>
          <w:sz w:val="24"/>
          <w:szCs w:val="24"/>
          <w:lang w:val="en-US" w:eastAsia="zh-CN"/>
        </w:rPr>
        <w:t>, </w:t>
      </w:r>
      <w:r>
        <w:rPr>
          <w:rFonts w:hint="default" w:ascii="Times New Roman" w:hAnsi="Times New Roman" w:cs="Times New Roman"/>
          <w:i/>
          <w:iCs/>
          <w:position w:val="-32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position w:val="-32"/>
          <w:sz w:val="24"/>
          <w:szCs w:val="24"/>
          <w:vertAlign w:val="subscript"/>
          <w:lang w:val="en-US" w:eastAsia="zh-CN"/>
        </w:rPr>
        <w:t>B</w:t>
      </w:r>
      <w:r>
        <w:rPr>
          <w:rFonts w:hint="default" w:ascii="Times New Roman" w:hAnsi="Times New Roman" w:cs="Times New Roman"/>
          <w:position w:val="-32"/>
          <w:sz w:val="24"/>
          <w:szCs w:val="24"/>
          <w:lang w:val="en-US" w:eastAsia="zh-CN"/>
        </w:rPr>
        <w:t>, and </w:t>
      </w:r>
      <w:r>
        <w:rPr>
          <w:rFonts w:hint="default" w:ascii="Times New Roman" w:hAnsi="Times New Roman" w:cs="Times New Roman"/>
          <w:i/>
          <w:iCs/>
          <w:position w:val="-32"/>
          <w:sz w:val="24"/>
          <w:szCs w:val="24"/>
          <w:lang w:val="en-US" w:eastAsia="zh-CN"/>
        </w:rPr>
        <w:t>V</w:t>
      </w:r>
      <w:r>
        <w:rPr>
          <w:rFonts w:hint="default" w:ascii="Times New Roman" w:hAnsi="Times New Roman" w:cs="Times New Roman"/>
          <w:position w:val="-32"/>
          <w:sz w:val="24"/>
          <w:szCs w:val="24"/>
          <w:vertAlign w:val="subscript"/>
          <w:lang w:val="en-US" w:eastAsia="zh-CN"/>
        </w:rPr>
        <w:t>M</w:t>
      </w:r>
      <w:r>
        <w:rPr>
          <w:rFonts w:hint="default" w:ascii="Times New Roman" w:hAnsi="Times New Roman" w:cs="Times New Roman"/>
          <w:position w:val="-32"/>
          <w:sz w:val="24"/>
          <w:szCs w:val="24"/>
          <w:lang w:val="en-US" w:eastAsia="zh-CN"/>
        </w:rPr>
        <w:t> denote the mass, molar mass, and molar volume o</w:t>
      </w:r>
      <w:bookmarkStart w:id="0" w:name="_GoBack"/>
      <w:bookmarkEnd w:id="0"/>
      <w:r>
        <w:rPr>
          <w:rFonts w:hint="default" w:ascii="Times New Roman" w:hAnsi="Times New Roman" w:cs="Times New Roman"/>
          <w:position w:val="-32"/>
          <w:sz w:val="24"/>
          <w:szCs w:val="24"/>
          <w:lang w:val="en-US" w:eastAsia="zh-CN"/>
        </w:rPr>
        <w:t>f the active material, respectively; SS is the contact area between the electrode and the electrolyte; and Δ</w:t>
      </w:r>
      <w:r>
        <w:rPr>
          <w:rFonts w:hint="default" w:ascii="Times New Roman" w:hAnsi="Times New Roman" w:cs="Times New Roman"/>
          <w:i/>
          <w:iCs/>
          <w:position w:val="-32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position w:val="-32"/>
          <w:sz w:val="24"/>
          <w:szCs w:val="24"/>
          <w:vertAlign w:val="subscript"/>
          <w:lang w:val="en-US" w:eastAsia="zh-CN"/>
        </w:rPr>
        <w:t>τ</w:t>
      </w:r>
      <w:r>
        <w:rPr>
          <w:rFonts w:hint="default" w:ascii="Times New Roman" w:hAnsi="Times New Roman" w:cs="Times New Roman"/>
          <w:position w:val="-32"/>
          <w:sz w:val="24"/>
          <w:szCs w:val="24"/>
          <w:lang w:val="en-US" w:eastAsia="zh-CN"/>
        </w:rPr>
        <w:t> and Δ</w:t>
      </w:r>
      <w:r>
        <w:rPr>
          <w:rFonts w:hint="default" w:ascii="Times New Roman" w:hAnsi="Times New Roman" w:cs="Times New Roman"/>
          <w:i/>
          <w:iCs/>
          <w:position w:val="-32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position w:val="-32"/>
          <w:sz w:val="24"/>
          <w:szCs w:val="24"/>
          <w:vertAlign w:val="subscript"/>
          <w:lang w:val="en-US" w:eastAsia="zh-CN"/>
        </w:rPr>
        <w:t>S</w:t>
      </w:r>
      <w:r>
        <w:rPr>
          <w:rFonts w:hint="default" w:ascii="Times New Roman" w:hAnsi="Times New Roman" w:cs="Times New Roman"/>
          <w:position w:val="-32"/>
          <w:sz w:val="24"/>
          <w:szCs w:val="24"/>
          <w:lang w:val="en-US" w:eastAsia="zh-CN"/>
        </w:rPr>
        <w:t> represent the potential change during the current pulse and the steady-state potential change during the subsequent relaxation period, respectively.</w:t>
      </w:r>
    </w:p>
    <w:p w14:paraId="63400C0F">
      <w:pPr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01333643">
      <w:pPr>
        <w:ind w:firstLine="480" w:firstLineChars="200"/>
        <w:jc w:val="both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1DEA29B3"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5FD12F81"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5B8EBD30">
      <w:pPr>
        <w:jc w:val="center"/>
        <w:rPr>
          <w:rFonts w:hint="default" w:ascii="Times New Roman" w:hAnsi="Times New Roman" w:eastAsia="微软雅黑" w:cs="Times New Roman"/>
          <w:b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615690" cy="2905760"/>
            <wp:effectExtent l="0" t="0" r="3810" b="8890"/>
            <wp:docPr id="4" name="图片 3" descr="Graph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Graph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15690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,</w:t>
      </w:r>
    </w:p>
    <w:p w14:paraId="294F93C4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Figure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  XRD of 1Mn/SnS-G,SnS-G and SnS.</w:t>
      </w:r>
    </w:p>
    <w:p w14:paraId="1287999B">
      <w:pPr>
        <w:jc w:val="center"/>
        <w:rPr>
          <w:sz w:val="24"/>
          <w:szCs w:val="24"/>
        </w:rPr>
      </w:pPr>
    </w:p>
    <w:p w14:paraId="354CFBE7">
      <w:pPr>
        <w:jc w:val="center"/>
        <w:rPr>
          <w:sz w:val="24"/>
          <w:szCs w:val="24"/>
        </w:rPr>
      </w:pPr>
    </w:p>
    <w:p w14:paraId="2CA74512">
      <w:pPr>
        <w:jc w:val="center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sz w:val="24"/>
          <w:szCs w:val="24"/>
        </w:rPr>
        <w:drawing>
          <wp:inline distT="0" distB="0" distL="114300" distR="114300">
            <wp:extent cx="2607310" cy="1812290"/>
            <wp:effectExtent l="0" t="0" r="2540" b="165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rcRect l="50411"/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DB0AC">
      <w:pPr>
        <w:spacing w:line="360" w:lineRule="auto"/>
        <w:rPr>
          <w:rFonts w:hint="default" w:ascii="Times New Roman" w:hAnsi="Times New Roman" w:eastAsia="宋体" w:cs="Times New Roman"/>
          <w:b w:val="0"/>
          <w:bCs/>
          <w:i w:val="0"/>
          <w:color w:val="000000" w:themeColor="text1"/>
          <w:w w:val="10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Figure S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. Cycling stability of 2Mn/SnS-G, 3Mn/SnS-G, and 4Mn/SnS-G at a current density of 2 A g⁻¹</w:t>
      </w:r>
    </w:p>
    <w:p w14:paraId="32CE737A">
      <w:pPr>
        <w:jc w:val="center"/>
        <w:rPr>
          <w:rFonts w:hint="default"/>
          <w:sz w:val="24"/>
          <w:szCs w:val="24"/>
          <w:lang w:val="en-US" w:eastAsia="zh-CN"/>
        </w:rPr>
      </w:pPr>
    </w:p>
    <w:p w14:paraId="3832ADBC"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3702014A">
      <w:pPr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62245" cy="2809240"/>
            <wp:effectExtent l="0" t="0" r="14605" b="1016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DA0E4">
      <w:pPr>
        <w:pStyle w:val="2"/>
        <w:spacing w:line="360" w:lineRule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Figure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</w:rPr>
        <w:t>. (a) Survey spectrum of SnS; (b) C 1s spectrum of SnS; (c) Sn 3d spectrum of SnS; (d) S2p spectrum of SnS.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</w:p>
    <w:p w14:paraId="2872FD57">
      <w:pPr>
        <w:jc w:val="center"/>
        <w:rPr>
          <w:sz w:val="24"/>
          <w:szCs w:val="24"/>
        </w:rPr>
      </w:pPr>
    </w:p>
    <w:p w14:paraId="6B337738">
      <w:pPr>
        <w:rPr>
          <w:sz w:val="24"/>
          <w:szCs w:val="24"/>
        </w:rPr>
      </w:pPr>
    </w:p>
    <w:p w14:paraId="3BA1488C">
      <w:pPr>
        <w:pStyle w:val="2"/>
        <w:rPr>
          <w:rFonts w:hint="eastAsia" w:ascii="Times New Roman" w:hAnsi="Times New Roman" w:eastAsia="宋体" w:cs="Times New Roman"/>
          <w:sz w:val="24"/>
          <w:szCs w:val="24"/>
          <w:vertAlign w:val="baseline"/>
          <w:lang w:val="en-US" w:eastAsia="zh-CN"/>
        </w:rPr>
      </w:pPr>
    </w:p>
    <w:p w14:paraId="12475BC6">
      <w:pPr>
        <w:rPr>
          <w:rFonts w:hint="default"/>
          <w:sz w:val="24"/>
          <w:szCs w:val="24"/>
          <w:lang w:val="en-US" w:eastAsia="zh-CN"/>
        </w:rPr>
      </w:pPr>
    </w:p>
    <w:p w14:paraId="236B1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73040" cy="2241550"/>
            <wp:effectExtent l="0" t="0" r="3810" b="635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EFFA1">
      <w:pPr>
        <w:pStyle w:val="2"/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. (a) CV curves of SnS at different scan rates; (b) b-values determined from the prominent peaks in the CV curves of SnS at different scan rates.</w:t>
      </w:r>
    </w:p>
    <w:p w14:paraId="25893483">
      <w:pPr>
        <w:rPr>
          <w:rFonts w:hint="eastAsia"/>
          <w:sz w:val="24"/>
          <w:szCs w:val="24"/>
          <w:lang w:eastAsia="zh-CN"/>
        </w:rPr>
      </w:pPr>
    </w:p>
    <w:p w14:paraId="0F19C3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ABB7C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0490AA0E">
      <w:pPr>
        <w:rPr>
          <w:rFonts w:hint="default" w:ascii="Times New Roman" w:hAnsi="Times New Roman" w:eastAsia="宋体" w:cs="Times New Roman"/>
          <w:b w:val="0"/>
          <w:bCs/>
          <w:i w:val="0"/>
          <w:color w:val="000000" w:themeColor="text1"/>
          <w:w w:val="10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16D736E0">
      <w:pPr>
        <w:rPr>
          <w:rFonts w:hint="default" w:ascii="Times New Roman" w:hAnsi="Times New Roman" w:eastAsia="宋体" w:cs="Times New Roman"/>
          <w:b w:val="0"/>
          <w:bCs/>
          <w:i w:val="0"/>
          <w:color w:val="000000" w:themeColor="text1"/>
          <w:w w:val="10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CC32E5E">
      <w:pPr>
        <w:rPr>
          <w:rFonts w:hint="default" w:ascii="Times New Roman" w:hAnsi="Times New Roman" w:eastAsia="宋体" w:cs="Times New Roman"/>
          <w:b w:val="0"/>
          <w:bCs/>
          <w:i w:val="0"/>
          <w:color w:val="000000" w:themeColor="text1"/>
          <w:w w:val="10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304DF4"/>
    <w:rsid w:val="00021CC1"/>
    <w:rsid w:val="01BB5A85"/>
    <w:rsid w:val="06304DF4"/>
    <w:rsid w:val="127932DC"/>
    <w:rsid w:val="1ADA3578"/>
    <w:rsid w:val="1C01687A"/>
    <w:rsid w:val="1C7D1E5D"/>
    <w:rsid w:val="1CDB08F4"/>
    <w:rsid w:val="20992FDD"/>
    <w:rsid w:val="231875C2"/>
    <w:rsid w:val="2CCF1A71"/>
    <w:rsid w:val="33A512C7"/>
    <w:rsid w:val="3595664E"/>
    <w:rsid w:val="3795413E"/>
    <w:rsid w:val="380923C4"/>
    <w:rsid w:val="388C0020"/>
    <w:rsid w:val="3B6C3370"/>
    <w:rsid w:val="408B4299"/>
    <w:rsid w:val="46040D75"/>
    <w:rsid w:val="4AE732FE"/>
    <w:rsid w:val="4B6A369F"/>
    <w:rsid w:val="4C2A0E0A"/>
    <w:rsid w:val="4E9407ED"/>
    <w:rsid w:val="52461F01"/>
    <w:rsid w:val="58301BAD"/>
    <w:rsid w:val="58A1318E"/>
    <w:rsid w:val="5AF27837"/>
    <w:rsid w:val="5C876539"/>
    <w:rsid w:val="5E483371"/>
    <w:rsid w:val="66C37AA5"/>
    <w:rsid w:val="69F3596B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cs="微软雅黑" w:asciiTheme="minorHAnsi" w:hAnsiTheme="minorHAnsi"/>
      <w:color w:val="000000" w:themeColor="text1"/>
      <w:kern w:val="2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rFonts w:ascii="Times New Roman" w:hAnsi="Times New Roman" w:eastAsia="宋体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tiff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299</Words>
  <Characters>1556</Characters>
  <Lines>0</Lines>
  <Paragraphs>0</Paragraphs>
  <TotalTime>1</TotalTime>
  <ScaleCrop>false</ScaleCrop>
  <LinksUpToDate>false</LinksUpToDate>
  <CharactersWithSpaces>1839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2026-03-24T09:58:00Z</dcterms:created>
  <dc:creator>我不熬夜了</dc:creator>
  <cp:lastModifiedBy>四海为朋</cp:lastModifiedBy>
  <dcterms:modified xsi:type="dcterms:W3CDTF">2026-08-02T09:12:31Z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8B7859D0E3E54770A2E52DA9746BC041_13</vt:lpwstr>
  </property>
  <property fmtid="{D5CDD505-2E9C-101B-9397-08002B2CF9AE}" pid="4" name="KSOTemplateDocerSaveRecord">
    <vt:lpwstr>eyJoZGlkIjoiMWVlYTMzMGQ0Mzc0MTYzODUyNDkwYzc2MGE5OThhMDAiLCJ1c2VySWQiOiIxMDgyMTk2MzQ5In0=</vt:lpwstr>
  </property>
</Properties>
</file>