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8372B">
      <w:pPr>
        <w:spacing w:after="120" w:line="480" w:lineRule="auto"/>
        <w:rPr>
          <w:rFonts w:eastAsia="宋体"/>
          <w:b/>
          <w:bCs/>
          <w:lang w:eastAsia="zh-CN"/>
        </w:rPr>
      </w:pPr>
      <w:bookmarkStart w:id="0" w:name="_GoBack"/>
      <w:r>
        <w:rPr>
          <w:rFonts w:eastAsia="宋体"/>
          <w:b/>
          <w:bCs/>
          <w:lang w:eastAsia="zh-CN"/>
        </w:rPr>
        <w:t>Supplementary Materials</w:t>
      </w:r>
    </w:p>
    <w:bookmarkEnd w:id="0"/>
    <w:p w14:paraId="41D92AD0">
      <w:pPr>
        <w:spacing w:before="200" w:after="60" w:line="480" w:lineRule="auto"/>
        <w:rPr>
          <w:szCs w:val="24"/>
        </w:rPr>
      </w:pPr>
      <w:r>
        <w:rPr>
          <w:b/>
          <w:color w:val="000000"/>
          <w:szCs w:val="24"/>
        </w:rPr>
        <w:t>Table S1. Screening test accuracy before and after verification-bias correction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7"/>
        <w:gridCol w:w="3148"/>
        <w:gridCol w:w="3261"/>
      </w:tblGrid>
      <w:tr w14:paraId="59F9D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tcBorders>
              <w:top w:val="single" w:color="000000" w:sz="8" w:space="0"/>
              <w:bottom w:val="single" w:color="000000" w:sz="8" w:space="0"/>
            </w:tcBorders>
          </w:tcPr>
          <w:p w14:paraId="434C3E43">
            <w:pPr>
              <w:spacing w:before="20" w:after="20" w:line="480" w:lineRule="auto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Metric</w:t>
            </w:r>
          </w:p>
        </w:tc>
        <w:tc>
          <w:tcPr>
            <w:tcW w:w="3408" w:type="dxa"/>
            <w:tcBorders>
              <w:top w:val="single" w:color="000000" w:sz="8" w:space="0"/>
              <w:bottom w:val="single" w:color="000000" w:sz="8" w:space="0"/>
            </w:tcBorders>
          </w:tcPr>
          <w:p w14:paraId="5EFD5BDE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Naive % [95% CI]</w:t>
            </w:r>
          </w:p>
        </w:tc>
        <w:tc>
          <w:tcPr>
            <w:tcW w:w="3408" w:type="dxa"/>
            <w:tcBorders>
              <w:top w:val="single" w:color="000000" w:sz="8" w:space="0"/>
              <w:bottom w:val="single" w:color="000000" w:sz="8" w:space="0"/>
            </w:tcBorders>
          </w:tcPr>
          <w:p w14:paraId="38BA3116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IPW-corrected % [95% CI]</w:t>
            </w:r>
          </w:p>
        </w:tc>
      </w:tr>
      <w:tr w14:paraId="5DAFD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4" w:type="dxa"/>
            <w:gridSpan w:val="3"/>
          </w:tcPr>
          <w:p w14:paraId="620E67C5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AYA — HR-HPV</w:t>
            </w:r>
          </w:p>
        </w:tc>
      </w:tr>
      <w:tr w14:paraId="4BAFE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3CE91E76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Sensitivity</w:t>
            </w:r>
          </w:p>
        </w:tc>
        <w:tc>
          <w:tcPr>
            <w:tcW w:w="3408" w:type="dxa"/>
          </w:tcPr>
          <w:p w14:paraId="5642693C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87.2 [81.2, 92.5]</w:t>
            </w:r>
          </w:p>
        </w:tc>
        <w:tc>
          <w:tcPr>
            <w:tcW w:w="3408" w:type="dxa"/>
          </w:tcPr>
          <w:p w14:paraId="4CCC10DE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43.2 [32.6, 58.1]</w:t>
            </w:r>
          </w:p>
        </w:tc>
      </w:tr>
      <w:tr w14:paraId="39611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3662EE56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Specificity</w:t>
            </w:r>
          </w:p>
        </w:tc>
        <w:tc>
          <w:tcPr>
            <w:tcW w:w="3408" w:type="dxa"/>
          </w:tcPr>
          <w:p w14:paraId="0C5E1989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58.0 [55.5, 60.6]</w:t>
            </w:r>
          </w:p>
        </w:tc>
        <w:tc>
          <w:tcPr>
            <w:tcW w:w="3408" w:type="dxa"/>
          </w:tcPr>
          <w:p w14:paraId="11064A6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89.8 [88.8, 90.8]</w:t>
            </w:r>
          </w:p>
        </w:tc>
      </w:tr>
      <w:tr w14:paraId="3DCC2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5D94CDDE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PPV</w:t>
            </w:r>
          </w:p>
        </w:tc>
        <w:tc>
          <w:tcPr>
            <w:tcW w:w="3408" w:type="dxa"/>
          </w:tcPr>
          <w:p w14:paraId="30AA950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17.5 [14.8, 20.1]</w:t>
            </w:r>
          </w:p>
        </w:tc>
        <w:tc>
          <w:tcPr>
            <w:tcW w:w="3408" w:type="dxa"/>
          </w:tcPr>
          <w:p w14:paraId="1B238C5A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13.7 [11.1, 16.5]</w:t>
            </w:r>
          </w:p>
        </w:tc>
      </w:tr>
      <w:tr w14:paraId="79D59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5B0C8259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NPV</w:t>
            </w:r>
          </w:p>
        </w:tc>
        <w:tc>
          <w:tcPr>
            <w:tcW w:w="3408" w:type="dxa"/>
          </w:tcPr>
          <w:p w14:paraId="09F18393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97.8 [96.8, 98.8]</w:t>
            </w:r>
          </w:p>
        </w:tc>
        <w:tc>
          <w:tcPr>
            <w:tcW w:w="3408" w:type="dxa"/>
          </w:tcPr>
          <w:p w14:paraId="11515FD1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97.7 [96.6, 98.7]</w:t>
            </w:r>
          </w:p>
        </w:tc>
      </w:tr>
      <w:tr w14:paraId="22A0E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4" w:type="dxa"/>
            <w:gridSpan w:val="3"/>
          </w:tcPr>
          <w:p w14:paraId="1328E333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AYA — Cytology ≥ASC-US</w:t>
            </w:r>
          </w:p>
        </w:tc>
      </w:tr>
      <w:tr w14:paraId="6764C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112908E5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Sensitivity</w:t>
            </w:r>
          </w:p>
        </w:tc>
        <w:tc>
          <w:tcPr>
            <w:tcW w:w="3408" w:type="dxa"/>
          </w:tcPr>
          <w:p w14:paraId="6E4704CB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73.6 [66.4, 80.5]</w:t>
            </w:r>
          </w:p>
        </w:tc>
        <w:tc>
          <w:tcPr>
            <w:tcW w:w="3408" w:type="dxa"/>
          </w:tcPr>
          <w:p w14:paraId="358FC42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25.9 [19.2, 35.1]</w:t>
            </w:r>
          </w:p>
        </w:tc>
      </w:tr>
      <w:tr w14:paraId="19FBC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2163543C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Specificity</w:t>
            </w:r>
          </w:p>
        </w:tc>
        <w:tc>
          <w:tcPr>
            <w:tcW w:w="3408" w:type="dxa"/>
          </w:tcPr>
          <w:p w14:paraId="7AA3381E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61.9 [59.5, 64.5]</w:t>
            </w:r>
          </w:p>
        </w:tc>
        <w:tc>
          <w:tcPr>
            <w:tcW w:w="3408" w:type="dxa"/>
          </w:tcPr>
          <w:p w14:paraId="62ACCB2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92.7 [92.0, 93.6]</w:t>
            </w:r>
          </w:p>
        </w:tc>
      </w:tr>
      <w:tr w14:paraId="7B818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6B01DDAC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PPV</w:t>
            </w:r>
          </w:p>
        </w:tc>
        <w:tc>
          <w:tcPr>
            <w:tcW w:w="3408" w:type="dxa"/>
          </w:tcPr>
          <w:p w14:paraId="41A1EEDE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16.4 [13.7, 19.2]</w:t>
            </w:r>
          </w:p>
        </w:tc>
        <w:tc>
          <w:tcPr>
            <w:tcW w:w="3408" w:type="dxa"/>
          </w:tcPr>
          <w:p w14:paraId="7C559D53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11.8 [9.5, 14.2]</w:t>
            </w:r>
          </w:p>
        </w:tc>
      </w:tr>
      <w:tr w14:paraId="49017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325E3B1E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NPV</w:t>
            </w:r>
          </w:p>
        </w:tc>
        <w:tc>
          <w:tcPr>
            <w:tcW w:w="3408" w:type="dxa"/>
          </w:tcPr>
          <w:p w14:paraId="640EC20B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95.8 [94.6, 97.0]</w:t>
            </w:r>
          </w:p>
        </w:tc>
        <w:tc>
          <w:tcPr>
            <w:tcW w:w="3408" w:type="dxa"/>
          </w:tcPr>
          <w:p w14:paraId="2536F92A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97.1 [96.0, 98.0]</w:t>
            </w:r>
          </w:p>
        </w:tc>
      </w:tr>
      <w:tr w14:paraId="59227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4" w:type="dxa"/>
            <w:gridSpan w:val="3"/>
          </w:tcPr>
          <w:p w14:paraId="58A1FAE1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Non-AYA — HR-HPV</w:t>
            </w:r>
          </w:p>
        </w:tc>
      </w:tr>
      <w:tr w14:paraId="6BFEA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1AD3CE17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Sensitivity</w:t>
            </w:r>
          </w:p>
        </w:tc>
        <w:tc>
          <w:tcPr>
            <w:tcW w:w="3408" w:type="dxa"/>
          </w:tcPr>
          <w:p w14:paraId="4A960DF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82.0 [75.9, 88.1]</w:t>
            </w:r>
          </w:p>
        </w:tc>
        <w:tc>
          <w:tcPr>
            <w:tcW w:w="3408" w:type="dxa"/>
          </w:tcPr>
          <w:p w14:paraId="79A28CC0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50.5 [40.2, 64.3]</w:t>
            </w:r>
          </w:p>
        </w:tc>
      </w:tr>
      <w:tr w14:paraId="2DEF0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228C5FE8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Specificity</w:t>
            </w:r>
          </w:p>
        </w:tc>
        <w:tc>
          <w:tcPr>
            <w:tcW w:w="3408" w:type="dxa"/>
          </w:tcPr>
          <w:p w14:paraId="7E4811D5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60.2 [57.9, 62.8]</w:t>
            </w:r>
          </w:p>
        </w:tc>
        <w:tc>
          <w:tcPr>
            <w:tcW w:w="3408" w:type="dxa"/>
          </w:tcPr>
          <w:p w14:paraId="2DE10E51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85.3 [83.9, 86.7]</w:t>
            </w:r>
          </w:p>
        </w:tc>
      </w:tr>
      <w:tr w14:paraId="7D9B0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4738EF95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PPV</w:t>
            </w:r>
          </w:p>
        </w:tc>
        <w:tc>
          <w:tcPr>
            <w:tcW w:w="3408" w:type="dxa"/>
          </w:tcPr>
          <w:p w14:paraId="6E4C0683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16.0 [13.2, 18.9]</w:t>
            </w:r>
          </w:p>
        </w:tc>
        <w:tc>
          <w:tcPr>
            <w:tcW w:w="3408" w:type="dxa"/>
          </w:tcPr>
          <w:p w14:paraId="75A2B231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12.6 [10.3, 15.3]</w:t>
            </w:r>
          </w:p>
        </w:tc>
      </w:tr>
      <w:tr w14:paraId="5872E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3EE22F86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NPV</w:t>
            </w:r>
          </w:p>
        </w:tc>
        <w:tc>
          <w:tcPr>
            <w:tcW w:w="3408" w:type="dxa"/>
          </w:tcPr>
          <w:p w14:paraId="0646026C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97.3 [96.3, 98.3]</w:t>
            </w:r>
          </w:p>
        </w:tc>
        <w:tc>
          <w:tcPr>
            <w:tcW w:w="3408" w:type="dxa"/>
          </w:tcPr>
          <w:p w14:paraId="46D79B70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97.6 [96.6, 98.6]</w:t>
            </w:r>
          </w:p>
        </w:tc>
      </w:tr>
      <w:tr w14:paraId="24C22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4" w:type="dxa"/>
            <w:gridSpan w:val="3"/>
          </w:tcPr>
          <w:p w14:paraId="4AEDEDA1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Non-AYA — Cytology ≥ASC-US</w:t>
            </w:r>
          </w:p>
        </w:tc>
      </w:tr>
      <w:tr w14:paraId="37F1B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477A2C03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Sensitivity</w:t>
            </w:r>
          </w:p>
        </w:tc>
        <w:tc>
          <w:tcPr>
            <w:tcW w:w="3408" w:type="dxa"/>
          </w:tcPr>
          <w:p w14:paraId="34F7401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72.7 [64.5, 80.3]</w:t>
            </w:r>
          </w:p>
        </w:tc>
        <w:tc>
          <w:tcPr>
            <w:tcW w:w="3408" w:type="dxa"/>
          </w:tcPr>
          <w:p w14:paraId="0C627366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34.5 [25.8, 45.1]</w:t>
            </w:r>
          </w:p>
        </w:tc>
      </w:tr>
      <w:tr w14:paraId="134FF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4EF8A052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Specificity</w:t>
            </w:r>
          </w:p>
        </w:tc>
        <w:tc>
          <w:tcPr>
            <w:tcW w:w="3408" w:type="dxa"/>
          </w:tcPr>
          <w:p w14:paraId="332B5576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63.0 [60.5, 65.6]</w:t>
            </w:r>
          </w:p>
        </w:tc>
        <w:tc>
          <w:tcPr>
            <w:tcW w:w="3408" w:type="dxa"/>
          </w:tcPr>
          <w:p w14:paraId="207A6A62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89.8 [88.7, 90.8]</w:t>
            </w:r>
          </w:p>
        </w:tc>
      </w:tr>
      <w:tr w14:paraId="2DF1F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</w:tcPr>
          <w:p w14:paraId="7D80E600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PPV</w:t>
            </w:r>
          </w:p>
        </w:tc>
        <w:tc>
          <w:tcPr>
            <w:tcW w:w="3408" w:type="dxa"/>
          </w:tcPr>
          <w:p w14:paraId="550485F6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15.3 [12.5, 18.1]</w:t>
            </w:r>
          </w:p>
        </w:tc>
        <w:tc>
          <w:tcPr>
            <w:tcW w:w="3408" w:type="dxa"/>
          </w:tcPr>
          <w:p w14:paraId="299400DD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12.5 [10.1, 14.9]</w:t>
            </w:r>
          </w:p>
        </w:tc>
      </w:tr>
      <w:tr w14:paraId="634ED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tcBorders>
              <w:bottom w:val="single" w:color="000000" w:sz="8" w:space="0"/>
            </w:tcBorders>
          </w:tcPr>
          <w:p w14:paraId="36B49634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NPV</w:t>
            </w:r>
          </w:p>
        </w:tc>
        <w:tc>
          <w:tcPr>
            <w:tcW w:w="3408" w:type="dxa"/>
            <w:tcBorders>
              <w:bottom w:val="single" w:color="000000" w:sz="8" w:space="0"/>
            </w:tcBorders>
          </w:tcPr>
          <w:p w14:paraId="48F318C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96.1 [94.9, 97.3]</w:t>
            </w:r>
          </w:p>
        </w:tc>
        <w:tc>
          <w:tcPr>
            <w:tcW w:w="3408" w:type="dxa"/>
            <w:tcBorders>
              <w:bottom w:val="single" w:color="000000" w:sz="8" w:space="0"/>
            </w:tcBorders>
          </w:tcPr>
          <w:p w14:paraId="3109E2C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97.0 [95.9, 98.1]</w:t>
            </w:r>
          </w:p>
        </w:tc>
      </w:tr>
    </w:tbl>
    <w:p w14:paraId="638A5648">
      <w:pPr>
        <w:spacing w:after="120" w:line="480" w:lineRule="auto"/>
        <w:rPr>
          <w:szCs w:val="24"/>
        </w:rPr>
      </w:pPr>
      <w:r>
        <w:rPr>
          <w:color w:val="000000"/>
          <w:szCs w:val="24"/>
        </w:rPr>
        <w:t>Accuracy of each screening test for histologically confirmed CIN2+. ‘Naive’ estimates are restricted to histology-verified women; ‘IPW-corrected’ estimates apply inverse-probability-of-verification weighting, with weights equal to the inverse of the stratum-specific verification probability (strata = cytology tier × HR-HPV status, modelled within each age group). 95% CI are from 1,000 bootstrap resamples. Sensitivity/Specificity/PPV/NPV, standard diagnostic accuracy metrics; HR-HPV, high-risk human papillomavirus; ASC-US, see Table 1; AYA, aged 15–39 years.</w:t>
      </w:r>
    </w:p>
    <w:p w14:paraId="4D1D024A">
      <w:pPr>
        <w:spacing w:before="200" w:after="60" w:line="480" w:lineRule="auto"/>
        <w:rPr>
          <w:szCs w:val="24"/>
        </w:rPr>
      </w:pPr>
      <w:r>
        <w:rPr>
          <w:b/>
          <w:color w:val="000000"/>
          <w:szCs w:val="24"/>
        </w:rPr>
        <w:t>Table S2. Concordance between the two HPV platforms in the dual-tested subset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752"/>
        <w:gridCol w:w="849"/>
        <w:gridCol w:w="1090"/>
        <w:gridCol w:w="1090"/>
        <w:gridCol w:w="849"/>
        <w:gridCol w:w="939"/>
        <w:gridCol w:w="1154"/>
        <w:gridCol w:w="814"/>
        <w:gridCol w:w="822"/>
      </w:tblGrid>
      <w:tr w14:paraId="5CB2C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6CEDAD91">
            <w:pPr>
              <w:spacing w:before="20" w:after="20" w:line="480" w:lineRule="auto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Group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752887F6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N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2EF4E4F9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Both +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040100F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DNA+ /</w:t>
            </w:r>
            <w:r>
              <w:rPr>
                <w:b/>
                <w:color w:val="000000"/>
                <w:szCs w:val="24"/>
              </w:rPr>
              <w:br w:type="textWrapping"/>
            </w:r>
            <w:r>
              <w:rPr>
                <w:b/>
                <w:color w:val="000000"/>
                <w:szCs w:val="24"/>
              </w:rPr>
              <w:t>mRNA−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358FF6A0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DNA− /</w:t>
            </w:r>
            <w:r>
              <w:rPr>
                <w:b/>
                <w:color w:val="000000"/>
                <w:szCs w:val="24"/>
              </w:rPr>
              <w:br w:type="textWrapping"/>
            </w:r>
            <w:r>
              <w:rPr>
                <w:b/>
                <w:color w:val="000000"/>
                <w:szCs w:val="24"/>
              </w:rPr>
              <w:t>mRNA+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6EF5369B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Both −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503CDA62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Agree</w:t>
            </w:r>
            <w:r>
              <w:rPr>
                <w:b/>
                <w:color w:val="000000"/>
                <w:szCs w:val="24"/>
              </w:rPr>
              <w:br w:type="textWrapping"/>
            </w:r>
            <w:r>
              <w:rPr>
                <w:b/>
                <w:color w:val="000000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4992C80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Cohen's κ</w:t>
            </w:r>
            <w:r>
              <w:rPr>
                <w:b/>
                <w:color w:val="000000"/>
                <w:szCs w:val="24"/>
              </w:rPr>
              <w:br w:type="textWrapping"/>
            </w:r>
            <w:r>
              <w:rPr>
                <w:b/>
                <w:color w:val="000000"/>
                <w:szCs w:val="24"/>
              </w:rPr>
              <w:t>[95% CI]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1F109A00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PPA</w:t>
            </w:r>
            <w:r>
              <w:rPr>
                <w:b/>
                <w:color w:val="000000"/>
                <w:szCs w:val="24"/>
              </w:rPr>
              <w:br w:type="textWrapping"/>
            </w:r>
            <w:r>
              <w:rPr>
                <w:b/>
                <w:color w:val="000000"/>
                <w:szCs w:val="24"/>
              </w:rPr>
              <w:t>%</w:t>
            </w:r>
          </w:p>
        </w:tc>
        <w:tc>
          <w:tcPr>
            <w:tcW w:w="1022" w:type="dxa"/>
            <w:tcBorders>
              <w:top w:val="single" w:color="000000" w:sz="8" w:space="0"/>
              <w:bottom w:val="single" w:color="000000" w:sz="8" w:space="0"/>
            </w:tcBorders>
          </w:tcPr>
          <w:p w14:paraId="5AF0A33A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NPA</w:t>
            </w:r>
            <w:r>
              <w:rPr>
                <w:b/>
                <w:color w:val="000000"/>
                <w:szCs w:val="24"/>
              </w:rPr>
              <w:br w:type="textWrapping"/>
            </w:r>
            <w:r>
              <w:rPr>
                <w:b/>
                <w:color w:val="000000"/>
                <w:szCs w:val="24"/>
              </w:rPr>
              <w:t>%</w:t>
            </w:r>
          </w:p>
        </w:tc>
      </w:tr>
      <w:tr w14:paraId="56C46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0" w:type="dxa"/>
            <w:gridSpan w:val="10"/>
          </w:tcPr>
          <w:p w14:paraId="52B722F1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HR-HPV (overall)</w:t>
            </w:r>
          </w:p>
        </w:tc>
      </w:tr>
      <w:tr w14:paraId="3A0C1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</w:tcPr>
          <w:p w14:paraId="46C6403B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All</w:t>
            </w:r>
          </w:p>
        </w:tc>
        <w:tc>
          <w:tcPr>
            <w:tcW w:w="1022" w:type="dxa"/>
          </w:tcPr>
          <w:p w14:paraId="3E9AE7C2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864</w:t>
            </w:r>
          </w:p>
        </w:tc>
        <w:tc>
          <w:tcPr>
            <w:tcW w:w="1022" w:type="dxa"/>
          </w:tcPr>
          <w:p w14:paraId="57B9CC86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129</w:t>
            </w:r>
          </w:p>
        </w:tc>
        <w:tc>
          <w:tcPr>
            <w:tcW w:w="1022" w:type="dxa"/>
          </w:tcPr>
          <w:p w14:paraId="0DE822B9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133</w:t>
            </w:r>
          </w:p>
        </w:tc>
        <w:tc>
          <w:tcPr>
            <w:tcW w:w="1022" w:type="dxa"/>
          </w:tcPr>
          <w:p w14:paraId="1D88D838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64</w:t>
            </w:r>
          </w:p>
        </w:tc>
        <w:tc>
          <w:tcPr>
            <w:tcW w:w="1022" w:type="dxa"/>
          </w:tcPr>
          <w:p w14:paraId="25DB9AFC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538</w:t>
            </w:r>
          </w:p>
        </w:tc>
        <w:tc>
          <w:tcPr>
            <w:tcW w:w="1022" w:type="dxa"/>
          </w:tcPr>
          <w:p w14:paraId="74D589B0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77.2</w:t>
            </w:r>
          </w:p>
        </w:tc>
        <w:tc>
          <w:tcPr>
            <w:tcW w:w="1022" w:type="dxa"/>
          </w:tcPr>
          <w:p w14:paraId="3F10247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0.42 [0.35, 0.49]</w:t>
            </w:r>
          </w:p>
        </w:tc>
        <w:tc>
          <w:tcPr>
            <w:tcW w:w="1022" w:type="dxa"/>
          </w:tcPr>
          <w:p w14:paraId="6953C910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49.2</w:t>
            </w:r>
          </w:p>
        </w:tc>
        <w:tc>
          <w:tcPr>
            <w:tcW w:w="1022" w:type="dxa"/>
          </w:tcPr>
          <w:p w14:paraId="4E5550DD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89.4</w:t>
            </w:r>
          </w:p>
        </w:tc>
      </w:tr>
      <w:tr w14:paraId="17D19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</w:tcPr>
          <w:p w14:paraId="7CE52B2B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AYA</w:t>
            </w:r>
          </w:p>
        </w:tc>
        <w:tc>
          <w:tcPr>
            <w:tcW w:w="1022" w:type="dxa"/>
          </w:tcPr>
          <w:p w14:paraId="7EB61BE9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436</w:t>
            </w:r>
          </w:p>
        </w:tc>
        <w:tc>
          <w:tcPr>
            <w:tcW w:w="1022" w:type="dxa"/>
          </w:tcPr>
          <w:p w14:paraId="2B59AD43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66</w:t>
            </w:r>
          </w:p>
        </w:tc>
        <w:tc>
          <w:tcPr>
            <w:tcW w:w="1022" w:type="dxa"/>
          </w:tcPr>
          <w:p w14:paraId="2A58A14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62</w:t>
            </w:r>
          </w:p>
        </w:tc>
        <w:tc>
          <w:tcPr>
            <w:tcW w:w="1022" w:type="dxa"/>
          </w:tcPr>
          <w:p w14:paraId="25310F7E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37</w:t>
            </w:r>
          </w:p>
        </w:tc>
        <w:tc>
          <w:tcPr>
            <w:tcW w:w="1022" w:type="dxa"/>
          </w:tcPr>
          <w:p w14:paraId="662C2CAA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271</w:t>
            </w:r>
          </w:p>
        </w:tc>
        <w:tc>
          <w:tcPr>
            <w:tcW w:w="1022" w:type="dxa"/>
          </w:tcPr>
          <w:p w14:paraId="47BA5212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77.3</w:t>
            </w:r>
          </w:p>
        </w:tc>
        <w:tc>
          <w:tcPr>
            <w:tcW w:w="1022" w:type="dxa"/>
          </w:tcPr>
          <w:p w14:paraId="51EB4DFC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0.42 [0.32, 0.52]</w:t>
            </w:r>
          </w:p>
        </w:tc>
        <w:tc>
          <w:tcPr>
            <w:tcW w:w="1022" w:type="dxa"/>
          </w:tcPr>
          <w:p w14:paraId="4B1BA765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51.6</w:t>
            </w:r>
          </w:p>
        </w:tc>
        <w:tc>
          <w:tcPr>
            <w:tcW w:w="1022" w:type="dxa"/>
          </w:tcPr>
          <w:p w14:paraId="7EF1A84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88.0</w:t>
            </w:r>
          </w:p>
        </w:tc>
      </w:tr>
      <w:tr w14:paraId="73687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</w:tcPr>
          <w:p w14:paraId="5F78A18F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Non-AYA</w:t>
            </w:r>
          </w:p>
        </w:tc>
        <w:tc>
          <w:tcPr>
            <w:tcW w:w="1022" w:type="dxa"/>
          </w:tcPr>
          <w:p w14:paraId="31DAE349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428</w:t>
            </w:r>
          </w:p>
        </w:tc>
        <w:tc>
          <w:tcPr>
            <w:tcW w:w="1022" w:type="dxa"/>
          </w:tcPr>
          <w:p w14:paraId="354E366C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63</w:t>
            </w:r>
          </w:p>
        </w:tc>
        <w:tc>
          <w:tcPr>
            <w:tcW w:w="1022" w:type="dxa"/>
          </w:tcPr>
          <w:p w14:paraId="148A8AFA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71</w:t>
            </w:r>
          </w:p>
        </w:tc>
        <w:tc>
          <w:tcPr>
            <w:tcW w:w="1022" w:type="dxa"/>
          </w:tcPr>
          <w:p w14:paraId="22026613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27</w:t>
            </w:r>
          </w:p>
        </w:tc>
        <w:tc>
          <w:tcPr>
            <w:tcW w:w="1022" w:type="dxa"/>
          </w:tcPr>
          <w:p w14:paraId="5112A4CB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267</w:t>
            </w:r>
          </w:p>
        </w:tc>
        <w:tc>
          <w:tcPr>
            <w:tcW w:w="1022" w:type="dxa"/>
          </w:tcPr>
          <w:p w14:paraId="5348DAE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77.1</w:t>
            </w:r>
          </w:p>
        </w:tc>
        <w:tc>
          <w:tcPr>
            <w:tcW w:w="1022" w:type="dxa"/>
          </w:tcPr>
          <w:p w14:paraId="2D03DED6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0.42 [0.31, 0.52]</w:t>
            </w:r>
          </w:p>
        </w:tc>
        <w:tc>
          <w:tcPr>
            <w:tcW w:w="1022" w:type="dxa"/>
          </w:tcPr>
          <w:p w14:paraId="088893A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47.0</w:t>
            </w:r>
          </w:p>
        </w:tc>
        <w:tc>
          <w:tcPr>
            <w:tcW w:w="1022" w:type="dxa"/>
          </w:tcPr>
          <w:p w14:paraId="7A964F2D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90.8</w:t>
            </w:r>
          </w:p>
        </w:tc>
      </w:tr>
      <w:tr w14:paraId="39208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0" w:type="dxa"/>
            <w:gridSpan w:val="10"/>
          </w:tcPr>
          <w:p w14:paraId="08BC4144">
            <w:pPr>
              <w:spacing w:before="20" w:after="20" w:line="480" w:lineRule="auto"/>
              <w:rPr>
                <w:iCs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HPV16</w:t>
            </w:r>
          </w:p>
        </w:tc>
      </w:tr>
      <w:tr w14:paraId="3C2B8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</w:tcPr>
          <w:p w14:paraId="3072C317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All</w:t>
            </w:r>
          </w:p>
        </w:tc>
        <w:tc>
          <w:tcPr>
            <w:tcW w:w="1022" w:type="dxa"/>
          </w:tcPr>
          <w:p w14:paraId="3DB30E3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864</w:t>
            </w:r>
          </w:p>
        </w:tc>
        <w:tc>
          <w:tcPr>
            <w:tcW w:w="1022" w:type="dxa"/>
          </w:tcPr>
          <w:p w14:paraId="19352B0D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19</w:t>
            </w:r>
          </w:p>
        </w:tc>
        <w:tc>
          <w:tcPr>
            <w:tcW w:w="1022" w:type="dxa"/>
          </w:tcPr>
          <w:p w14:paraId="27C147B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26</w:t>
            </w:r>
          </w:p>
        </w:tc>
        <w:tc>
          <w:tcPr>
            <w:tcW w:w="1022" w:type="dxa"/>
          </w:tcPr>
          <w:p w14:paraId="3CEA42CD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14</w:t>
            </w:r>
          </w:p>
        </w:tc>
        <w:tc>
          <w:tcPr>
            <w:tcW w:w="1022" w:type="dxa"/>
          </w:tcPr>
          <w:p w14:paraId="0211993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805</w:t>
            </w:r>
          </w:p>
        </w:tc>
        <w:tc>
          <w:tcPr>
            <w:tcW w:w="1022" w:type="dxa"/>
          </w:tcPr>
          <w:p w14:paraId="782F147D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95.4</w:t>
            </w:r>
          </w:p>
        </w:tc>
        <w:tc>
          <w:tcPr>
            <w:tcW w:w="1022" w:type="dxa"/>
          </w:tcPr>
          <w:p w14:paraId="4131ECE2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0.46 [0.30, 0.63]</w:t>
            </w:r>
          </w:p>
        </w:tc>
        <w:tc>
          <w:tcPr>
            <w:tcW w:w="1022" w:type="dxa"/>
          </w:tcPr>
          <w:p w14:paraId="3359730B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42.2</w:t>
            </w:r>
          </w:p>
        </w:tc>
        <w:tc>
          <w:tcPr>
            <w:tcW w:w="1022" w:type="dxa"/>
          </w:tcPr>
          <w:p w14:paraId="099F37C7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98.3</w:t>
            </w:r>
          </w:p>
        </w:tc>
      </w:tr>
      <w:tr w14:paraId="56843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</w:tcPr>
          <w:p w14:paraId="6D9004DF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AYA</w:t>
            </w:r>
          </w:p>
        </w:tc>
        <w:tc>
          <w:tcPr>
            <w:tcW w:w="1022" w:type="dxa"/>
          </w:tcPr>
          <w:p w14:paraId="4917D506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436</w:t>
            </w:r>
          </w:p>
        </w:tc>
        <w:tc>
          <w:tcPr>
            <w:tcW w:w="1022" w:type="dxa"/>
          </w:tcPr>
          <w:p w14:paraId="32542451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11</w:t>
            </w:r>
          </w:p>
        </w:tc>
        <w:tc>
          <w:tcPr>
            <w:tcW w:w="1022" w:type="dxa"/>
          </w:tcPr>
          <w:p w14:paraId="610208CC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10</w:t>
            </w:r>
          </w:p>
        </w:tc>
        <w:tc>
          <w:tcPr>
            <w:tcW w:w="1022" w:type="dxa"/>
          </w:tcPr>
          <w:p w14:paraId="26185DFE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</w:p>
        </w:tc>
        <w:tc>
          <w:tcPr>
            <w:tcW w:w="1022" w:type="dxa"/>
          </w:tcPr>
          <w:p w14:paraId="0FDA919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407</w:t>
            </w:r>
          </w:p>
        </w:tc>
        <w:tc>
          <w:tcPr>
            <w:tcW w:w="1022" w:type="dxa"/>
          </w:tcPr>
          <w:p w14:paraId="4F114B0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95.9</w:t>
            </w:r>
          </w:p>
        </w:tc>
        <w:tc>
          <w:tcPr>
            <w:tcW w:w="1022" w:type="dxa"/>
          </w:tcPr>
          <w:p w14:paraId="6577B28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0.53 [0.32, 0.74]</w:t>
            </w:r>
          </w:p>
        </w:tc>
        <w:tc>
          <w:tcPr>
            <w:tcW w:w="1022" w:type="dxa"/>
          </w:tcPr>
          <w:p w14:paraId="3C085888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52.4</w:t>
            </w:r>
          </w:p>
        </w:tc>
        <w:tc>
          <w:tcPr>
            <w:tcW w:w="1022" w:type="dxa"/>
          </w:tcPr>
          <w:p w14:paraId="2739266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98.1</w:t>
            </w:r>
          </w:p>
        </w:tc>
      </w:tr>
      <w:tr w14:paraId="11809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  <w:tcBorders>
              <w:bottom w:val="single" w:color="000000" w:sz="8" w:space="0"/>
            </w:tcBorders>
          </w:tcPr>
          <w:p w14:paraId="2A8B9109">
            <w:pPr>
              <w:spacing w:before="20" w:after="20" w:line="48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Non-AYA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4747E128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428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2B95A209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2675F954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16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16EADEFD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4B7950B9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398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081AA79F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94.9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019D2D25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0.40 [0.15, 0.64]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05D9A8A1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33.3</w:t>
            </w:r>
          </w:p>
        </w:tc>
        <w:tc>
          <w:tcPr>
            <w:tcW w:w="1022" w:type="dxa"/>
            <w:tcBorders>
              <w:bottom w:val="single" w:color="000000" w:sz="8" w:space="0"/>
            </w:tcBorders>
          </w:tcPr>
          <w:p w14:paraId="0A26E735">
            <w:pPr>
              <w:spacing w:before="20" w:after="20" w:line="48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98.5</w:t>
            </w:r>
          </w:p>
        </w:tc>
      </w:tr>
    </w:tbl>
    <w:p w14:paraId="0A26F50A">
      <w:pPr>
        <w:spacing w:after="120" w:line="480" w:lineRule="auto"/>
      </w:pPr>
      <w:r>
        <w:rPr>
          <w:color w:val="000000"/>
          <w:szCs w:val="24"/>
        </w:rPr>
        <w:t>Among 864 women tested on both HPV platforms (AYA 436; non-AYA 428). Cells give the 2×2 cross-classification of HPV DNA vs HPV E6/E7 mRNA results. κ, Cohen’s kappa (95% CI); PPA, positive percent agreement; NPA, negative percent agreement, both using the HPV DNA platform as reference. Footnotes: (1) HPV16-positive cell counts are small and κ confidence intervals correspondingly wide — interpret with caution. (2) The two platforms detect different molecular targets (nucleic-acid presence vs E6/E7 oncogene transcription), so moderate agreement is expected and full interchangeability is not implied. (3) κ was essentially identical in AYA and non-AYA (≈0.42 for HR-HPV), consistent with no material age-group difference. AYA, aged 15–39 years.</w:t>
      </w:r>
    </w:p>
    <w:p w14:paraId="624B3AEF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2A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2026-08-31T12:02:35Z</dcterms:created>
  <dc:creator>26515</dc:creator>
  <cp:lastModifiedBy>辛帅良</cp:lastModifiedBy>
  <dcterms:modified xsi:type="dcterms:W3CDTF">2026-08-31T12:02:48Z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eyJoZGlkIjoiZGRkMDJmODZlZmMxNDBmOWVjNWMwMDIwNTFmMmJhMjYiLCJ1c2VySWQiOiIzODg0NDg5MzAifQ==</vt:lpwstr>
  </property>
  <property fmtid="{D5CDD505-2E9C-101B-9397-08002B2CF9AE}" pid="4" name="ICV">
    <vt:lpwstr>96616B0E800442EFBD7A3FC3DBED7C4D_12</vt:lpwstr>
  </property>
</Properties>
</file>