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ind w:firstLine="720"/>
      </w:pPr>
    </w:p>
    <w:p>
      <w:pPr>
        <w:tabs>
          <w:tab w:val="left" w:pos="1015"/>
        </w:tabs>
      </w:pPr>
      <w:r>
        <w:tab/>
      </w:r>
    </w:p>
    <w:tbl>
      <w:tblPr>
        <w:tblW w:w="9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83"/>
        <w:gridCol w:w="2153"/>
        <w:gridCol w:w="2132"/>
        <w:gridCol w:w="2132"/>
      </w:tblGrid>
      <w:tr>
        <w:trPr>
          <w:trHeight w:val="425"/>
          <w:jc w:val="center"/>
        </w:trPr>
        <w:tc>
          <w:tcPr>
            <w:tcW w:w="9576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</w:tcPr>
          <w:p>
            <w:pPr>
              <w:spacing w:before="240" w:after="0" w:line="240" w:lineRule="auto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b/>
                <w:bCs/>
                <w:sz w:val="20"/>
                <w:szCs w:val="20"/>
                <w:lang w:val="en"/>
              </w:rPr>
              <w:t xml:space="preserve">Table 6. 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Seed yield of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sativa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and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Vicia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faba</w:t>
            </w:r>
            <w:proofErr w:type="spellEnd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under different intercropping patterns and irrigation regimes. 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Irrigation regime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Cropping system</w:t>
            </w:r>
          </w:p>
        </w:tc>
        <w:tc>
          <w:tcPr>
            <w:tcW w:w="21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sativa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seed yield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br/>
              <w:t>(kg ha⁻¹)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Vicia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faba</w:t>
            </w:r>
            <w:proofErr w:type="spellEnd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seed yield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br/>
              <w:t>(kg ha⁻¹)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Total seed yield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br/>
              <w:t>(kg ha⁻¹)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</w:p>
        </w:tc>
        <w:tc>
          <w:tcPr>
            <w:tcW w:w="215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1850 ± 45 a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–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1850 ± 45 d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75:25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1580 ± 38 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720 ± 25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2300 ± 48 c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50:50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1450 ± 35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1050 ± 31 a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2500 ± 52 ab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25:75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1180 ± 30 d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1190 ± 34 a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2370 ± 49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bc</w:t>
            </w:r>
            <w:proofErr w:type="spellEnd"/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1760 ± 42 ab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510 ± 20 d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2270 ± 45 c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1690 ± 40 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790 ± 27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2480 ± 51 ab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1610 ± 37 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1010 ± 30 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2620 ± 55 a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IR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+ 100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1510 ± 35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1180 ± 32 a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2690 ± 58 a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Sole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Camelina</w:t>
            </w:r>
            <w:proofErr w:type="spellEnd"/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1320 ± 31 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–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1320 ± 31 f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75:25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1150 ± 29 f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520 ± 22 d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1670 ± 39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50:50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1080 ± 27 f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760 ± 25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1840 ± 42 d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25:75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910 ± 25 g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850 ± 28 b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1760 ± 40 de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+ 25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1250 ± 30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410 ± 18 e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1660 ± 38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ef</w:t>
            </w:r>
            <w:proofErr w:type="spellEnd"/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+ 50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1190 ± 28 f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590 ± 21 d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1780 ± 41 de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+ 75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1120 ± 27 f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730 ± 24 c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1850 ± 43 d</w:t>
            </w:r>
          </w:p>
        </w:tc>
      </w:tr>
      <w:tr>
        <w:trPr>
          <w:jc w:val="center"/>
        </w:trPr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RF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100 + 100</w:t>
            </w:r>
          </w:p>
        </w:tc>
        <w:tc>
          <w:tcPr>
            <w:tcW w:w="215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1040 ± 26 g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820 ± 27 b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1860 ± 45 d</w:t>
            </w:r>
          </w:p>
        </w:tc>
      </w:tr>
      <w:tr>
        <w:trPr>
          <w:trHeight w:val="535"/>
          <w:jc w:val="center"/>
        </w:trPr>
        <w:tc>
          <w:tcPr>
            <w:tcW w:w="9576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</w:tcPr>
          <w:p>
            <w:pPr>
              <w:spacing w:after="0" w:line="240" w:lineRule="auto"/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Total seed yield was calculated for each plot as the sum of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Camelina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sativa</w:t>
            </w:r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and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Vicia</w:t>
            </w:r>
            <w:proofErr w:type="spellEnd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 xml:space="preserve"> </w:t>
            </w:r>
            <w:proofErr w:type="spellStart"/>
            <w:r>
              <w:rPr>
                <w:rFonts w:ascii="Times New Roman" w:eastAsia="Cambria" w:hAnsi="Times New Roman" w:cs="Times New Roman"/>
                <w:i/>
                <w:iCs/>
                <w:sz w:val="20"/>
                <w:szCs w:val="20"/>
                <w:lang w:val="en"/>
              </w:rPr>
              <w:t>faba</w:t>
            </w:r>
            <w:proofErr w:type="spellEnd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seed yields and was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analysed</w:t>
            </w:r>
            <w:proofErr w:type="spellEnd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 xml:space="preserve"> as a separate response variable using the same mixed-model framework. “–” indicates that the corresponding species was not present in the cropping system. IR = Irrigated; RF= </w:t>
            </w:r>
            <w:proofErr w:type="spellStart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Rainfed</w:t>
            </w:r>
            <w:proofErr w:type="spellEnd"/>
            <w:r>
              <w:rPr>
                <w:rFonts w:ascii="Times New Roman" w:eastAsia="Cambria" w:hAnsi="Times New Roman" w:cs="Times New Roman"/>
                <w:sz w:val="20"/>
                <w:szCs w:val="20"/>
                <w:lang w:val="en"/>
              </w:rPr>
              <w:t>. Means sharing identical letters within columns do not differ significantly; Tukey’s HSD, P ≤ 0.05</w:t>
            </w:r>
          </w:p>
        </w:tc>
      </w:tr>
    </w:tbl>
    <w:p>
      <w:pPr>
        <w:jc w:val="center"/>
      </w:pP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A28E252C-93B4-48C0-B114-F2F9657BA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C3CCD-AAFC-4700-BD18-6259B9719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OnyxKala</dc:creator>
  <cp:keywords/>
  <dc:description/>
  <cp:lastModifiedBy>ofoghg</cp:lastModifiedBy>
  <cp:revision>2</cp:revision>
  <dcterms:created xsi:type="dcterms:W3CDTF">2026-08-26T12:10:00Z</dcterms:created>
  <dcterms:modified xsi:type="dcterms:W3CDTF">2026-08-26T12:10:00Z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2293d686-7309-4679-9625-003f955c438f</vt:lpwstr>
  </property>
</Properties>
</file>