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/>
    <w:tbl>
      <w:tblPr>
        <w:tblW w:w="8640" w:type="dxa"/>
        <w:jc w:val="center"/>
        <w:tblLayout w:type="fixed"/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rHeight w:val="471"/>
          <w:jc w:val="center"/>
        </w:trPr>
        <w:tc>
          <w:tcPr>
            <w:tcW w:w="8640" w:type="dxa"/>
            <w:gridSpan w:val="6"/>
            <w:tcBorders>
              <w:bottom w:val="single" w:sz="4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"/>
              </w:rPr>
              <w:t>Table 5.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Pearson correlation coefficients between the relative ¹⁵N dilution index (RDI) and selected oil-quality traits of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"/>
              </w:rPr>
              <w:t xml:space="preserve"> sativa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across the experimental treatments.</w:t>
            </w:r>
          </w:p>
        </w:tc>
      </w:tr>
      <w:tr>
        <w:trPr>
          <w:jc w:val="center"/>
        </w:trPr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Variable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RDI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Oil content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Oil yield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Total tocopherols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Oxidative stability</w:t>
            </w:r>
          </w:p>
        </w:tc>
      </w:tr>
      <w:tr>
        <w:trPr>
          <w:jc w:val="center"/>
        </w:trPr>
        <w:tc>
          <w:tcPr>
            <w:tcW w:w="1440" w:type="dxa"/>
            <w:tcBorders>
              <w:top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RDI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1.00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0.38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0.44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0.62*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0.55*</w:t>
            </w:r>
          </w:p>
        </w:tc>
      </w:tr>
      <w:tr>
        <w:trPr>
          <w:jc w:val="center"/>
        </w:trPr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Oil content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0.38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1.00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>
        <w:trPr>
          <w:jc w:val="center"/>
        </w:trPr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Oil yield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0.44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1.00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>
        <w:trPr>
          <w:jc w:val="center"/>
        </w:trPr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Total tocopherols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0.62*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1.00</w:t>
            </w:r>
          </w:p>
        </w:tc>
        <w:tc>
          <w:tcPr>
            <w:tcW w:w="1440" w:type="dxa"/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0.71**</w:t>
            </w:r>
          </w:p>
        </w:tc>
      </w:tr>
      <w:tr>
        <w:trPr>
          <w:jc w:val="center"/>
        </w:trPr>
        <w:tc>
          <w:tcPr>
            <w:tcW w:w="1440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Oxidative stability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0.55*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0.71**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1.00</w:t>
            </w:r>
          </w:p>
        </w:tc>
      </w:tr>
      <w:tr>
        <w:trPr>
          <w:trHeight w:val="249"/>
          <w:jc w:val="center"/>
        </w:trPr>
        <w:tc>
          <w:tcPr>
            <w:tcW w:w="8640" w:type="dxa"/>
            <w:gridSpan w:val="6"/>
            <w:tcBorders>
              <w:top w:val="single" w:sz="4" w:space="0" w:color="000000"/>
            </w:tcBorders>
          </w:tcPr>
          <w:p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*P &lt; 0.05; **P &lt; 0.01. RDI, relative ¹⁵N dilution index. Oil yield was calculated as seed yield × seed oil content / 100 and expressed as kg ha⁻¹. Oxidative stability was expressed as the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Rancimat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induction period (h). </w:t>
            </w:r>
          </w:p>
        </w:tc>
      </w:tr>
    </w:tbl>
    <w:p>
      <w:pPr>
        <w:ind w:firstLine="720"/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A28E252C-93B4-48C0-B114-F2F9657B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039E0-F01B-474D-8E52-BB84E1E95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OnyxKala</dc:creator>
  <cp:keywords/>
  <dc:description/>
  <cp:lastModifiedBy>ofoghg</cp:lastModifiedBy>
  <cp:revision>2</cp:revision>
  <dcterms:created xsi:type="dcterms:W3CDTF">2026-08-26T12:09:00Z</dcterms:created>
  <dcterms:modified xsi:type="dcterms:W3CDTF">2026-08-26T12:09:00Z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2293d686-7309-4679-9625-003f955c438f</vt:lpwstr>
  </property>
</Properties>
</file>