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B8CEDE" w14:textId="77777777" w:rsidR="00D8439F" w:rsidRDefault="00D75364">
      <w:r>
        <w:rPr>
          <w:b/>
          <w:color w:val="1F4D78"/>
          <w:sz w:val="40"/>
        </w:rPr>
        <w:t>STROBE Cohort Checklist</w:t>
      </w:r>
    </w:p>
    <w:p w14:paraId="78006FBF" w14:textId="77777777" w:rsidR="00C75A10" w:rsidRPr="001C374F" w:rsidRDefault="00C75A10" w:rsidP="00C75A10">
      <w:pPr>
        <w:pStyle w:val="f-body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  <w:u w:val="single"/>
        </w:rPr>
      </w:pPr>
      <w:r w:rsidRPr="001C374F">
        <w:rPr>
          <w:rFonts w:ascii="Calibri" w:hAnsi="Calibri" w:cs="Calibri"/>
          <w:color w:val="000000" w:themeColor="text1"/>
        </w:rPr>
        <w:t>Development and external validation of competing risk models for major osteoporotic fracture and hip fracture in an ethnically diverse UK population of 15.6 million adults</w:t>
      </w:r>
    </w:p>
    <w:p w14:paraId="45F54858" w14:textId="77777777" w:rsidR="00D8439F" w:rsidRDefault="00D8439F">
      <w:pPr>
        <w:spacing w:after="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89"/>
        <w:gridCol w:w="792"/>
        <w:gridCol w:w="5112"/>
        <w:gridCol w:w="3528"/>
      </w:tblGrid>
      <w:tr w:rsidR="00E57B22" w:rsidRPr="001C374F" w14:paraId="4BE08381" w14:textId="77777777" w:rsidTr="001C374F">
        <w:trPr>
          <w:tblHeader/>
          <w:jc w:val="center"/>
        </w:trPr>
        <w:tc>
          <w:tcPr>
            <w:tcW w:w="2989" w:type="dxa"/>
            <w:shd w:val="clear" w:color="auto" w:fill="1F4D7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DE54523" w14:textId="77777777" w:rsidR="00E57B22" w:rsidRPr="001C374F" w:rsidRDefault="00E57B22">
            <w:pPr>
              <w:spacing w:after="0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FFFFFF"/>
                <w:sz w:val="20"/>
                <w:szCs w:val="20"/>
              </w:rPr>
              <w:t>Section / topic</w:t>
            </w:r>
          </w:p>
        </w:tc>
        <w:tc>
          <w:tcPr>
            <w:tcW w:w="792" w:type="dxa"/>
            <w:shd w:val="clear" w:color="auto" w:fill="1F4D7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F9A4282" w14:textId="77777777" w:rsidR="00E57B22" w:rsidRPr="001C374F" w:rsidRDefault="00E57B22">
            <w:pPr>
              <w:spacing w:after="0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FFFFFF"/>
                <w:sz w:val="20"/>
                <w:szCs w:val="20"/>
              </w:rPr>
              <w:t>Item</w:t>
            </w:r>
          </w:p>
        </w:tc>
        <w:tc>
          <w:tcPr>
            <w:tcW w:w="5112" w:type="dxa"/>
            <w:shd w:val="clear" w:color="auto" w:fill="1F4D7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BF63332" w14:textId="77777777" w:rsidR="00E57B22" w:rsidRPr="001C374F" w:rsidRDefault="00E57B22">
            <w:pPr>
              <w:spacing w:after="0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FFFFFF"/>
                <w:sz w:val="20"/>
                <w:szCs w:val="20"/>
              </w:rPr>
              <w:t>Checklist requirement</w:t>
            </w:r>
          </w:p>
        </w:tc>
        <w:tc>
          <w:tcPr>
            <w:tcW w:w="3528" w:type="dxa"/>
            <w:shd w:val="clear" w:color="auto" w:fill="1F4D7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F16C0F6" w14:textId="77777777" w:rsidR="00E57B22" w:rsidRPr="001C374F" w:rsidRDefault="00E57B22">
            <w:pPr>
              <w:spacing w:after="0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FFFFFF"/>
                <w:sz w:val="20"/>
                <w:szCs w:val="20"/>
              </w:rPr>
              <w:t>Reported on page / table / figure</w:t>
            </w:r>
          </w:p>
        </w:tc>
      </w:tr>
      <w:tr w:rsidR="00E57B22" w:rsidRPr="001C374F" w14:paraId="446AE720" w14:textId="77777777" w:rsidTr="001C374F">
        <w:trPr>
          <w:cantSplit/>
          <w:jc w:val="center"/>
        </w:trPr>
        <w:tc>
          <w:tcPr>
            <w:tcW w:w="2989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F21BD4F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Title and abstract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C686A8C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1a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CCC5772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Indicate the study design with a commonly used term in the title or abstract.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643A168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pp. 1–2 (title and Abstract).</w:t>
            </w:r>
          </w:p>
        </w:tc>
      </w:tr>
      <w:tr w:rsidR="00E57B22" w:rsidRPr="001C374F" w14:paraId="52E5EEE8" w14:textId="77777777" w:rsidTr="001C374F">
        <w:trPr>
          <w:cantSplit/>
          <w:jc w:val="center"/>
        </w:trPr>
        <w:tc>
          <w:tcPr>
            <w:tcW w:w="2989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4318586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Title and abstract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ADC49CA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1b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0077145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Provide an informative and balanced abstract of what was done and found.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8914851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p. 2 (Abstract).</w:t>
            </w:r>
          </w:p>
        </w:tc>
      </w:tr>
      <w:tr w:rsidR="00E57B22" w:rsidRPr="001C374F" w14:paraId="5778A62E" w14:textId="77777777" w:rsidTr="001C374F">
        <w:trPr>
          <w:cantSplit/>
          <w:jc w:val="center"/>
        </w:trPr>
        <w:tc>
          <w:tcPr>
            <w:tcW w:w="2989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A0B1D43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Introduction—background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76E6B27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2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211B2DF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Explain the scientific background and rationale.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C081104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p. 3 (Introduction).</w:t>
            </w:r>
          </w:p>
        </w:tc>
      </w:tr>
      <w:tr w:rsidR="00E57B22" w:rsidRPr="001C374F" w14:paraId="55D33F56" w14:textId="77777777" w:rsidTr="001C374F">
        <w:trPr>
          <w:cantSplit/>
          <w:jc w:val="center"/>
        </w:trPr>
        <w:tc>
          <w:tcPr>
            <w:tcW w:w="2989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A8C1252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Introduction—objectives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AA7A4EF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3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C6F5A2A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State specific objectives, including prespecified hypotheses.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6E2C1F8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p. 3 (final Introduction paragraph).</w:t>
            </w:r>
          </w:p>
        </w:tc>
      </w:tr>
      <w:tr w:rsidR="00E57B22" w:rsidRPr="001C374F" w14:paraId="408D0029" w14:textId="77777777" w:rsidTr="001C374F">
        <w:trPr>
          <w:cantSplit/>
          <w:jc w:val="center"/>
        </w:trPr>
        <w:tc>
          <w:tcPr>
            <w:tcW w:w="2989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4319DE9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Methods—study design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E83BB0E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4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EABBF89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Present key elements of study design early.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DDFAE21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p. 32 (Study design and data sources).</w:t>
            </w:r>
          </w:p>
        </w:tc>
      </w:tr>
      <w:tr w:rsidR="00E57B22" w:rsidRPr="001C374F" w14:paraId="7A541D06" w14:textId="77777777" w:rsidTr="001C374F">
        <w:trPr>
          <w:cantSplit/>
          <w:jc w:val="center"/>
        </w:trPr>
        <w:tc>
          <w:tcPr>
            <w:tcW w:w="2989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C4BF5D0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Methods—setting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922335D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5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0192193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Describe setting, locations and relevant recruitment, exposure, follow-up and data-collection dates.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F29AD03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p. 32 (Study design and data sources).</w:t>
            </w:r>
          </w:p>
        </w:tc>
      </w:tr>
      <w:tr w:rsidR="00E57B22" w:rsidRPr="001C374F" w14:paraId="61698BB9" w14:textId="77777777" w:rsidTr="001C374F">
        <w:trPr>
          <w:cantSplit/>
          <w:jc w:val="center"/>
        </w:trPr>
        <w:tc>
          <w:tcPr>
            <w:tcW w:w="2989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7EA560F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Methods—participants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3F44010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6a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C4A6BA6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Give eligibility criteria, participant sources/selection and follow-up methods.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E107DDF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p. 32 (study population); Extended Data Table 1, p. 22.</w:t>
            </w:r>
          </w:p>
        </w:tc>
      </w:tr>
      <w:tr w:rsidR="00E57B22" w:rsidRPr="001C374F" w14:paraId="34DED131" w14:textId="77777777" w:rsidTr="001C374F">
        <w:trPr>
          <w:cantSplit/>
          <w:jc w:val="center"/>
        </w:trPr>
        <w:tc>
          <w:tcPr>
            <w:tcW w:w="2989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9221798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Methods—participants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BEFDE77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6b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C363034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For matched studies, give matching criteria and numbers.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5E424D7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Not applicable—unmatched cohort study.</w:t>
            </w:r>
          </w:p>
        </w:tc>
      </w:tr>
      <w:tr w:rsidR="00E57B22" w:rsidRPr="001C374F" w14:paraId="04019491" w14:textId="77777777" w:rsidTr="001C374F">
        <w:trPr>
          <w:cantSplit/>
          <w:jc w:val="center"/>
        </w:trPr>
        <w:tc>
          <w:tcPr>
            <w:tcW w:w="2989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30C16D8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Methods—variables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1D558B3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7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0B8AB03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Clearly define outcomes, exposures, predictors, confounders and effect modifiers; give diagnostic criteria.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7855FB7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pp. 32–33; Supplementary Tables 10–11, pp. 27–28.</w:t>
            </w:r>
          </w:p>
        </w:tc>
      </w:tr>
      <w:tr w:rsidR="00E57B22" w:rsidRPr="001C374F" w14:paraId="609C2422" w14:textId="77777777" w:rsidTr="001C374F">
        <w:trPr>
          <w:cantSplit/>
          <w:jc w:val="center"/>
        </w:trPr>
        <w:tc>
          <w:tcPr>
            <w:tcW w:w="2989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BAD3632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Methods—data sources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F050CDB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8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FCB0E98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For each variable, give data source and measurement method; describe comparability across groups.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BFB994F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pp. 32–33; Supplementary Tables 10–11, pp. 27–28.</w:t>
            </w:r>
          </w:p>
        </w:tc>
      </w:tr>
      <w:tr w:rsidR="00E57B22" w:rsidRPr="001C374F" w14:paraId="3A6F322E" w14:textId="77777777" w:rsidTr="001C374F">
        <w:trPr>
          <w:cantSplit/>
          <w:jc w:val="center"/>
        </w:trPr>
        <w:tc>
          <w:tcPr>
            <w:tcW w:w="2989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1230657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Methods—bias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7B71737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9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6026A20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Describe efforts to address potential sources of bias.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5AE42F7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pp. 32–35; Discussion, pp. 10–11.</w:t>
            </w:r>
          </w:p>
        </w:tc>
      </w:tr>
      <w:tr w:rsidR="00E57B22" w:rsidRPr="001C374F" w14:paraId="006A6E13" w14:textId="77777777" w:rsidTr="001C374F">
        <w:trPr>
          <w:cantSplit/>
          <w:jc w:val="center"/>
        </w:trPr>
        <w:tc>
          <w:tcPr>
            <w:tcW w:w="2989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6E4F357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Methods—study size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8582846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10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90DCCD6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Explain how study size was arrived at.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1780B8E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p. 35; Extended Data Table 1, p. 22.</w:t>
            </w:r>
          </w:p>
        </w:tc>
      </w:tr>
      <w:tr w:rsidR="00E57B22" w:rsidRPr="001C374F" w14:paraId="21BC2B19" w14:textId="77777777" w:rsidTr="001C374F">
        <w:trPr>
          <w:cantSplit/>
          <w:jc w:val="center"/>
        </w:trPr>
        <w:tc>
          <w:tcPr>
            <w:tcW w:w="2989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E0D6FCD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lastRenderedPageBreak/>
              <w:t>Methods—quantitative variables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486B4FC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11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ED9FEA7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Explain handling of quantitative variables and chosen groupings.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C0B195B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p. 33; Figures 1–3, pp. 17–19; Extended Data Figures 2–3, pp. 24–27.</w:t>
            </w:r>
          </w:p>
        </w:tc>
      </w:tr>
      <w:tr w:rsidR="00E57B22" w:rsidRPr="001C374F" w14:paraId="0983C297" w14:textId="77777777" w:rsidTr="001C374F">
        <w:trPr>
          <w:cantSplit/>
          <w:jc w:val="center"/>
        </w:trPr>
        <w:tc>
          <w:tcPr>
            <w:tcW w:w="2989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ACE209E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Methods—statistics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0C632A0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12a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E910D2D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Describe all statistical methods, including control of confounding.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DB34427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pp. 33–35 (Model development, Model evaluation and Reclassification statistics).</w:t>
            </w:r>
          </w:p>
        </w:tc>
      </w:tr>
      <w:tr w:rsidR="00E57B22" w:rsidRPr="001C374F" w14:paraId="52DD22CA" w14:textId="77777777" w:rsidTr="001C374F">
        <w:trPr>
          <w:cantSplit/>
          <w:jc w:val="center"/>
        </w:trPr>
        <w:tc>
          <w:tcPr>
            <w:tcW w:w="2989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ECCCE42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Methods—statistics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21184AE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12b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51BE4B8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Describe methods used for subgroups and interactions.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A225B0E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pp. 33–35; Supplementary Tables 1–4 and 8–9, pp. 14–21 and 25–26; Extended Data Figures 2–5, pp. 24–29.</w:t>
            </w:r>
          </w:p>
        </w:tc>
      </w:tr>
      <w:tr w:rsidR="00E57B22" w:rsidRPr="001C374F" w14:paraId="51BC1351" w14:textId="77777777" w:rsidTr="001C374F">
        <w:trPr>
          <w:cantSplit/>
          <w:jc w:val="center"/>
        </w:trPr>
        <w:tc>
          <w:tcPr>
            <w:tcW w:w="2989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88C7E65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Methods—statistics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0D9A875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12c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9205A16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Explain how missing data were addressed.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92CBFB4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pp. 33–34 (Model development and Model evaluation); Table 1, pp. 12–13.</w:t>
            </w:r>
          </w:p>
        </w:tc>
      </w:tr>
      <w:tr w:rsidR="00E57B22" w:rsidRPr="001C374F" w14:paraId="68910E59" w14:textId="77777777" w:rsidTr="001C374F">
        <w:trPr>
          <w:cantSplit/>
          <w:jc w:val="center"/>
        </w:trPr>
        <w:tc>
          <w:tcPr>
            <w:tcW w:w="2989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73DF978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Methods—statistics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F9851C6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12d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1860952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Explain how loss to follow-up was addressed.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E207A50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pp. 32 and 34; IPCW described under Reclassification statistics.</w:t>
            </w:r>
          </w:p>
        </w:tc>
      </w:tr>
      <w:tr w:rsidR="00E57B22" w:rsidRPr="001C374F" w14:paraId="66AA38B9" w14:textId="77777777" w:rsidTr="001C374F">
        <w:trPr>
          <w:cantSplit/>
          <w:jc w:val="center"/>
        </w:trPr>
        <w:tc>
          <w:tcPr>
            <w:tcW w:w="2989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FE0687E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Methods—statistics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F155C6C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12e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1879357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Describe sensitivity analyses.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92C7766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p. 34 (ethnicity-omission sensitivity analysis); Supplementary Figures 4–5, pp. 8–9; Supplementary Tables 8–9, pp. 25–26.</w:t>
            </w:r>
          </w:p>
        </w:tc>
      </w:tr>
      <w:tr w:rsidR="00E57B22" w:rsidRPr="001C374F" w14:paraId="1136C9E6" w14:textId="77777777" w:rsidTr="001C374F">
        <w:trPr>
          <w:cantSplit/>
          <w:jc w:val="center"/>
        </w:trPr>
        <w:tc>
          <w:tcPr>
            <w:tcW w:w="2989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B4F0340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Results—participants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13C7343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13a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71E8FFB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Report numbers at each stage: eligible, assessed, included, followed and analysed.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A866454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p. 4; Extended Data Table 1, p. 22.</w:t>
            </w:r>
          </w:p>
        </w:tc>
      </w:tr>
      <w:tr w:rsidR="00E57B22" w:rsidRPr="001C374F" w14:paraId="13D699D8" w14:textId="77777777" w:rsidTr="001C374F">
        <w:trPr>
          <w:cantSplit/>
          <w:jc w:val="center"/>
        </w:trPr>
        <w:tc>
          <w:tcPr>
            <w:tcW w:w="2989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DEC2E4E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Results—participants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8B9578D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13b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960A7BF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Give reasons for non-participation/exclusion at each stage.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C1016F6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Extended Data Table 1, p. 22.</w:t>
            </w:r>
          </w:p>
        </w:tc>
      </w:tr>
      <w:tr w:rsidR="00E57B22" w:rsidRPr="001C374F" w14:paraId="53C65AD7" w14:textId="77777777" w:rsidTr="001C374F">
        <w:trPr>
          <w:cantSplit/>
          <w:jc w:val="center"/>
        </w:trPr>
        <w:tc>
          <w:tcPr>
            <w:tcW w:w="2989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AD8ACB7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Results—participants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566B9A0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13c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0EC2476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Consider use of a flow diagram.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E3FADF0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Extended Data Table 1, p. 22 (table, not diagram).</w:t>
            </w:r>
          </w:p>
        </w:tc>
      </w:tr>
      <w:tr w:rsidR="00E57B22" w:rsidRPr="001C374F" w14:paraId="2CF4CFF6" w14:textId="77777777" w:rsidTr="001C374F">
        <w:trPr>
          <w:cantSplit/>
          <w:jc w:val="center"/>
        </w:trPr>
        <w:tc>
          <w:tcPr>
            <w:tcW w:w="2989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B97C1C5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Results—descriptive data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7F19057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14a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93B1120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Give participant characteristics and information on exposures/confounders.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A0CE951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Table 1, pp. 12–13.</w:t>
            </w:r>
          </w:p>
        </w:tc>
      </w:tr>
      <w:tr w:rsidR="00E57B22" w:rsidRPr="001C374F" w14:paraId="6CBC5199" w14:textId="77777777" w:rsidTr="001C374F">
        <w:trPr>
          <w:cantSplit/>
          <w:jc w:val="center"/>
        </w:trPr>
        <w:tc>
          <w:tcPr>
            <w:tcW w:w="2989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6DADDC5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Results—descriptive data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57A9A65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14b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B81E7A3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Indicate numbers with missing data for each variable.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1A034FA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Table 1, pp. 12–13 (recorded proportions for selected variables).</w:t>
            </w:r>
          </w:p>
        </w:tc>
      </w:tr>
      <w:tr w:rsidR="00E57B22" w:rsidRPr="001C374F" w14:paraId="13ABE8B7" w14:textId="77777777" w:rsidTr="001C374F">
        <w:trPr>
          <w:cantSplit/>
          <w:jc w:val="center"/>
        </w:trPr>
        <w:tc>
          <w:tcPr>
            <w:tcW w:w="2989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F935DC9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Results—descriptive data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3819D98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14c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E87A530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Summarise follow-up time.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4D8FB86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Extended Data Table 1, p. 22 (person-years and number with ≥10 years of follow-up).</w:t>
            </w:r>
          </w:p>
        </w:tc>
      </w:tr>
      <w:tr w:rsidR="00E57B22" w:rsidRPr="001C374F" w14:paraId="596B5B19" w14:textId="77777777" w:rsidTr="001C374F">
        <w:trPr>
          <w:cantSplit/>
          <w:jc w:val="center"/>
        </w:trPr>
        <w:tc>
          <w:tcPr>
            <w:tcW w:w="2989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50B7EF6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lastRenderedPageBreak/>
              <w:t>Results—outcome data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5126BF9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15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EC509AD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Report numbers of outcome events or summary measures over time.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810D9A3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p. 4; Extended Data Table 1, p. 22; Extended Data Figure 1, p. 23.</w:t>
            </w:r>
          </w:p>
        </w:tc>
      </w:tr>
      <w:tr w:rsidR="00E57B22" w:rsidRPr="001C374F" w14:paraId="28CE4012" w14:textId="77777777" w:rsidTr="001C374F">
        <w:trPr>
          <w:cantSplit/>
          <w:jc w:val="center"/>
        </w:trPr>
        <w:tc>
          <w:tcPr>
            <w:tcW w:w="2989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692AEAB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Results—main results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4438EC4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16a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EC8DB54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Give unadjusted and adjusted estimates with precision; state adjusted variables.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A931576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Figures 1–2, pp. 17–18; Extended Data Figure 4, p. 28.</w:t>
            </w:r>
          </w:p>
        </w:tc>
      </w:tr>
      <w:tr w:rsidR="00E57B22" w:rsidRPr="001C374F" w14:paraId="1AA1F304" w14:textId="77777777" w:rsidTr="001C374F">
        <w:trPr>
          <w:cantSplit/>
          <w:jc w:val="center"/>
        </w:trPr>
        <w:tc>
          <w:tcPr>
            <w:tcW w:w="2989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B7CBC32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Results—main results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B4C92D8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16b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3AA49A6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Report category boundaries for categorized continuous variables.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6D855B2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Table 1, pp. 12–13; Supplementary Table 1, pp. 14–16.</w:t>
            </w:r>
          </w:p>
        </w:tc>
      </w:tr>
      <w:tr w:rsidR="00E57B22" w:rsidRPr="001C374F" w14:paraId="0568E3D8" w14:textId="77777777" w:rsidTr="001C374F">
        <w:trPr>
          <w:cantSplit/>
          <w:jc w:val="center"/>
        </w:trPr>
        <w:tc>
          <w:tcPr>
            <w:tcW w:w="2989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1F4AC5B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Results—main results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284F8F9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16c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2504119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If relevant, translate relative risk into absolute risk for a meaningful period.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BDE315A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p. 5; Figure 3, p. 19.</w:t>
            </w:r>
          </w:p>
        </w:tc>
      </w:tr>
      <w:tr w:rsidR="00E57B22" w:rsidRPr="001C374F" w14:paraId="27330C2E" w14:textId="77777777" w:rsidTr="001C374F">
        <w:trPr>
          <w:cantSplit/>
          <w:jc w:val="center"/>
        </w:trPr>
        <w:tc>
          <w:tcPr>
            <w:tcW w:w="2989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3F98CD8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Results—other analyses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79CF6DD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17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BB73F33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Report subgroup, interaction and sensitivity analyses.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00042DE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pp. 5–7 and 34; Extended Data Figures 2–5, pp. 24–29; Supplementary Figures 4–9, pp. 8–13; Supplementary Tables 1–9, pp. 14–26.</w:t>
            </w:r>
          </w:p>
        </w:tc>
      </w:tr>
      <w:tr w:rsidR="00E57B22" w:rsidRPr="001C374F" w14:paraId="206BF8D4" w14:textId="77777777" w:rsidTr="001C374F">
        <w:trPr>
          <w:cantSplit/>
          <w:jc w:val="center"/>
        </w:trPr>
        <w:tc>
          <w:tcPr>
            <w:tcW w:w="2989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C670FE8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Discussion—key results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8DA3742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18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686C21B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Summarise key results with reference to objectives.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AD16B90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pp. 7–10 (Discussion).</w:t>
            </w:r>
          </w:p>
        </w:tc>
      </w:tr>
      <w:tr w:rsidR="00E57B22" w:rsidRPr="001C374F" w14:paraId="00D4B5AF" w14:textId="77777777" w:rsidTr="001C374F">
        <w:trPr>
          <w:cantSplit/>
          <w:jc w:val="center"/>
        </w:trPr>
        <w:tc>
          <w:tcPr>
            <w:tcW w:w="2989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9359A14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Discussion—limitations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864F2E4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19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3C6F7CE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Discuss limitations, potential bias/imprecision and likely direction/magnitude.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31D9803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p. 10 (Discussion).</w:t>
            </w:r>
          </w:p>
        </w:tc>
      </w:tr>
      <w:tr w:rsidR="00E57B22" w:rsidRPr="001C374F" w14:paraId="20DEEEBA" w14:textId="77777777" w:rsidTr="001C374F">
        <w:trPr>
          <w:cantSplit/>
          <w:jc w:val="center"/>
        </w:trPr>
        <w:tc>
          <w:tcPr>
            <w:tcW w:w="2989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B4A9852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Discussion—interpretation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7C26B65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20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89EFEE5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Give a cautious interpretation considering objectives, limitations, multiplicity and other evidence.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6A5851D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pp. 7–10 (Discussion).</w:t>
            </w:r>
          </w:p>
        </w:tc>
      </w:tr>
      <w:tr w:rsidR="00E57B22" w:rsidRPr="001C374F" w14:paraId="31D44317" w14:textId="77777777" w:rsidTr="001C374F">
        <w:trPr>
          <w:cantSplit/>
          <w:jc w:val="center"/>
        </w:trPr>
        <w:tc>
          <w:tcPr>
            <w:tcW w:w="2989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37910FE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Discussion—</w:t>
            </w:r>
            <w:proofErr w:type="spellStart"/>
            <w:r w:rsidRPr="001C374F">
              <w:rPr>
                <w:rFonts w:cs="Calibri"/>
                <w:sz w:val="20"/>
                <w:szCs w:val="20"/>
              </w:rPr>
              <w:t>generalisability</w:t>
            </w:r>
            <w:proofErr w:type="spellEnd"/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68D9552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21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0A65BB5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Discuss generalisability/external validity.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918FE66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p. 10 (Discussion).</w:t>
            </w:r>
          </w:p>
        </w:tc>
      </w:tr>
      <w:tr w:rsidR="00E57B22" w:rsidRPr="001C374F" w14:paraId="29875784" w14:textId="77777777" w:rsidTr="001C374F">
        <w:trPr>
          <w:cantSplit/>
          <w:jc w:val="center"/>
        </w:trPr>
        <w:tc>
          <w:tcPr>
            <w:tcW w:w="2989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71E8AFE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Other information—funding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9C7109C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b/>
                <w:color w:val="1F4D78"/>
                <w:sz w:val="20"/>
                <w:szCs w:val="20"/>
              </w:rPr>
              <w:t>22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4D4FE72" w14:textId="77777777" w:rsidR="00E57B22" w:rsidRPr="001C374F" w:rsidRDefault="00E57B22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Give funding source and funder role.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A324A16" w14:textId="77777777" w:rsidR="00E57B22" w:rsidRPr="001C374F" w:rsidRDefault="00E57B22">
            <w:pPr>
              <w:rPr>
                <w:rFonts w:cs="Calibri"/>
                <w:sz w:val="20"/>
                <w:szCs w:val="20"/>
              </w:rPr>
            </w:pPr>
            <w:r w:rsidRPr="001C374F">
              <w:rPr>
                <w:rFonts w:cs="Calibri"/>
                <w:sz w:val="20"/>
                <w:szCs w:val="20"/>
              </w:rPr>
              <w:t>Manuscript p. 11 (Funding).</w:t>
            </w:r>
          </w:p>
        </w:tc>
      </w:tr>
    </w:tbl>
    <w:p w14:paraId="0A374366" w14:textId="77777777" w:rsidR="00D75364" w:rsidRDefault="00D75364"/>
    <w:sectPr w:rsidR="00D75364" w:rsidSect="00034616">
      <w:headerReference w:type="default" r:id="rId8"/>
      <w:footerReference w:type="default" r:id="rId9"/>
      <w:pgSz w:w="15840" w:h="12240" w:orient="landscape"/>
      <w:pgMar w:top="936" w:right="936" w:bottom="936" w:left="936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8D0950" w14:textId="77777777" w:rsidR="002B485C" w:rsidRDefault="002B485C">
      <w:pPr>
        <w:spacing w:after="0" w:line="240" w:lineRule="auto"/>
      </w:pPr>
      <w:r>
        <w:separator/>
      </w:r>
    </w:p>
  </w:endnote>
  <w:endnote w:type="continuationSeparator" w:id="0">
    <w:p w14:paraId="3EA5523F" w14:textId="77777777" w:rsidR="002B485C" w:rsidRDefault="002B4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DD7385" w14:textId="05215DF4" w:rsidR="00D8439F" w:rsidRDefault="00D75364">
    <w:pPr>
      <w:pStyle w:val="Footer"/>
      <w:jc w:val="right"/>
    </w:pPr>
    <w:r>
      <w:rPr>
        <w:color w:val="666666"/>
        <w:sz w:val="16"/>
      </w:rPr>
      <w:t xml:space="preserve">•  </w:t>
    </w:r>
    <w:r>
      <w:fldChar w:fldCharType="begin"/>
    </w:r>
    <w:r>
      <w:instrText>PAGE</w:instrText>
    </w:r>
    <w:r>
      <w:fldChar w:fldCharType="separate"/>
    </w:r>
    <w:r w:rsidR="00430FA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4F1BC9" w14:textId="77777777" w:rsidR="002B485C" w:rsidRDefault="002B485C">
      <w:pPr>
        <w:spacing w:after="0" w:line="240" w:lineRule="auto"/>
      </w:pPr>
      <w:r>
        <w:separator/>
      </w:r>
    </w:p>
  </w:footnote>
  <w:footnote w:type="continuationSeparator" w:id="0">
    <w:p w14:paraId="1874B953" w14:textId="77777777" w:rsidR="002B485C" w:rsidRDefault="002B4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A60671" w14:textId="77777777" w:rsidR="00D8439F" w:rsidRDefault="00D75364">
    <w:pPr>
      <w:pStyle w:val="Header"/>
    </w:pPr>
    <w:r>
      <w:rPr>
        <w:b/>
        <w:color w:val="666666"/>
        <w:sz w:val="16"/>
      </w:rPr>
      <w:t>STROBE COHORT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653228">
    <w:abstractNumId w:val="8"/>
  </w:num>
  <w:num w:numId="2" w16cid:durableId="1881477203">
    <w:abstractNumId w:val="6"/>
  </w:num>
  <w:num w:numId="3" w16cid:durableId="230431260">
    <w:abstractNumId w:val="5"/>
  </w:num>
  <w:num w:numId="4" w16cid:durableId="2073770298">
    <w:abstractNumId w:val="4"/>
  </w:num>
  <w:num w:numId="5" w16cid:durableId="303855549">
    <w:abstractNumId w:val="7"/>
  </w:num>
  <w:num w:numId="6" w16cid:durableId="1962878861">
    <w:abstractNumId w:val="3"/>
  </w:num>
  <w:num w:numId="7" w16cid:durableId="1285845025">
    <w:abstractNumId w:val="2"/>
  </w:num>
  <w:num w:numId="8" w16cid:durableId="1104107521">
    <w:abstractNumId w:val="1"/>
  </w:num>
  <w:num w:numId="9" w16cid:durableId="5315759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374F"/>
    <w:rsid w:val="0029639D"/>
    <w:rsid w:val="002968FB"/>
    <w:rsid w:val="002B485C"/>
    <w:rsid w:val="00326F90"/>
    <w:rsid w:val="004057E4"/>
    <w:rsid w:val="00430FAF"/>
    <w:rsid w:val="005E4D47"/>
    <w:rsid w:val="00AA1D8D"/>
    <w:rsid w:val="00B47730"/>
    <w:rsid w:val="00C75A10"/>
    <w:rsid w:val="00CB0664"/>
    <w:rsid w:val="00D75364"/>
    <w:rsid w:val="00D8439F"/>
    <w:rsid w:val="00DF68BF"/>
    <w:rsid w:val="00E358D3"/>
    <w:rsid w:val="00E57B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6BDA6EC6-48AB-7942-A935-94C7F39D5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Calibri" w:hAnsi="Calibri"/>
      <w:color w:val="111111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-body">
    <w:name w:val="f-body"/>
    <w:basedOn w:val="Normal"/>
    <w:rsid w:val="00C75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698</Words>
  <Characters>4407</Characters>
  <Application>Microsoft Office Word</Application>
  <DocSecurity>0</DocSecurity>
  <Lines>191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STROBE Cohort Checklist</vt:lpstr>
    </vt:vector>
  </TitlesOfParts>
  <Manager/>
  <Company/>
  <LinksUpToDate>false</LinksUpToDate>
  <CharactersWithSpaces>4946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STROBE Cohort Checklist</dc:title>
  <dc:subject>Population-based cohort study of fracture prediction models</dc:subject>
  <dc:creator>Julia Hippisley-Cox</dc:creator>
  <cp:keywords/>
  <dc:description/>
  <cp:lastModifiedBy>Julia Hippisley-Cox</cp:lastModifiedBy>
  <cp:revision>6</cp:revision>
  <dcterms:created xsi:type="dcterms:W3CDTF">2013-12-23T23:15:00Z</dcterms:created>
  <dcterms:modified xsi:type="dcterms:W3CDTF">2026-08-23T16:48:00Z</dcterms:modified>
  <cp:category/>
</cp:coreProperties>
</file>