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E2BBF" w14:textId="77777777" w:rsidR="00470038" w:rsidRPr="00CC2AD3" w:rsidRDefault="00000000">
      <w:pPr>
        <w:pStyle w:val="Titre"/>
        <w:jc w:val="center"/>
        <w:rPr>
          <w:rFonts w:asciiTheme="minorBidi" w:hAnsiTheme="minorBidi" w:cstheme="minorBidi"/>
          <w:color w:val="000000" w:themeColor="text1"/>
        </w:rPr>
      </w:pPr>
      <w:r w:rsidRPr="00CC2AD3">
        <w:rPr>
          <w:rFonts w:asciiTheme="minorBidi" w:hAnsiTheme="minorBidi" w:cstheme="minorBidi"/>
          <w:color w:val="000000" w:themeColor="text1"/>
        </w:rPr>
        <w:t>Supplementary Material</w:t>
      </w:r>
    </w:p>
    <w:p w14:paraId="7A81050A" w14:textId="77777777" w:rsidR="00470038" w:rsidRPr="00CC2AD3" w:rsidRDefault="00000000">
      <w:pPr>
        <w:jc w:val="center"/>
        <w:rPr>
          <w:rFonts w:asciiTheme="minorBidi" w:hAnsiTheme="minorBidi"/>
          <w:color w:val="000000" w:themeColor="text1"/>
        </w:rPr>
      </w:pPr>
      <w:r w:rsidRPr="00CC2AD3">
        <w:rPr>
          <w:rFonts w:asciiTheme="minorBidi" w:hAnsiTheme="minorBidi"/>
          <w:i/>
          <w:color w:val="000000" w:themeColor="text1"/>
        </w:rPr>
        <w:t>Serum Creatinine Reference Interval and Discordance with Manufacturer-Supplied Limits in Apparently Healthy Mauritanian Adult Male Blood Donors: A Cross-Sectional Study</w:t>
      </w:r>
    </w:p>
    <w:p w14:paraId="42AB5BDA" w14:textId="77777777" w:rsidR="00470038" w:rsidRPr="00CC2AD3" w:rsidRDefault="00470038">
      <w:pPr>
        <w:rPr>
          <w:rFonts w:asciiTheme="minorBidi" w:hAnsiTheme="minorBidi"/>
          <w:color w:val="000000" w:themeColor="text1"/>
        </w:rPr>
      </w:pPr>
    </w:p>
    <w:p w14:paraId="42EF808E" w14:textId="77777777" w:rsidR="00470038" w:rsidRPr="00CC2AD3" w:rsidRDefault="00000000">
      <w:pPr>
        <w:pStyle w:val="Titre1"/>
        <w:rPr>
          <w:rFonts w:asciiTheme="minorBidi" w:hAnsiTheme="minorBidi" w:cstheme="minorBidi"/>
          <w:color w:val="000000" w:themeColor="text1"/>
        </w:rPr>
      </w:pPr>
      <w:r w:rsidRPr="00CC2AD3">
        <w:rPr>
          <w:rFonts w:asciiTheme="minorBidi" w:hAnsiTheme="minorBidi" w:cstheme="minorBidi"/>
          <w:color w:val="000000" w:themeColor="text1"/>
        </w:rPr>
        <w:t>Supplementary Table S1. Age- and BMI-related analyses of serum creatinine</w:t>
      </w:r>
    </w:p>
    <w:p w14:paraId="79239090" w14:textId="77777777" w:rsidR="00470038" w:rsidRPr="00CC2AD3" w:rsidRDefault="00000000">
      <w:pPr>
        <w:spacing w:after="120"/>
        <w:rPr>
          <w:rFonts w:asciiTheme="minorBidi" w:hAnsiTheme="minorBidi"/>
          <w:color w:val="000000" w:themeColor="text1"/>
        </w:rPr>
      </w:pPr>
      <w:r w:rsidRPr="00CC2AD3">
        <w:rPr>
          <w:rFonts w:asciiTheme="minorBidi" w:hAnsiTheme="minorBidi"/>
          <w:color w:val="000000" w:themeColor="text1"/>
        </w:rPr>
        <w:t>This table summarizes the prespecified age- and BMI-related comparisons and continuous-variable correlations reported in the main manuscript. Group-specific descriptive values are not repeated here because the principal purpose of this supplementary table is to document the inferential analyses.</w:t>
      </w:r>
    </w:p>
    <w:tbl>
      <w:tblPr>
        <w:tblStyle w:val="Grilledutableau"/>
        <w:tblW w:w="0" w:type="auto"/>
        <w:jc w:val="center"/>
        <w:tblLook w:val="04A0" w:firstRow="1" w:lastRow="0" w:firstColumn="1" w:lastColumn="0" w:noHBand="0" w:noVBand="1"/>
      </w:tblPr>
      <w:tblGrid>
        <w:gridCol w:w="2578"/>
        <w:gridCol w:w="2578"/>
        <w:gridCol w:w="2578"/>
        <w:gridCol w:w="2578"/>
      </w:tblGrid>
      <w:tr w:rsidR="00CC2AD3" w:rsidRPr="00CC2AD3" w14:paraId="7465F52A" w14:textId="77777777">
        <w:trPr>
          <w:cantSplit/>
          <w:tblHeader/>
          <w:jc w:val="center"/>
        </w:trPr>
        <w:tc>
          <w:tcPr>
            <w:tcW w:w="2578" w:type="dxa"/>
          </w:tcPr>
          <w:p w14:paraId="646DE15E"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Analysis</w:t>
            </w:r>
          </w:p>
        </w:tc>
        <w:tc>
          <w:tcPr>
            <w:tcW w:w="2578" w:type="dxa"/>
          </w:tcPr>
          <w:p w14:paraId="666BB321"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Variable</w:t>
            </w:r>
          </w:p>
        </w:tc>
        <w:tc>
          <w:tcPr>
            <w:tcW w:w="2578" w:type="dxa"/>
          </w:tcPr>
          <w:p w14:paraId="4CC3ECFA"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Statistic</w:t>
            </w:r>
          </w:p>
        </w:tc>
        <w:tc>
          <w:tcPr>
            <w:tcW w:w="2578" w:type="dxa"/>
          </w:tcPr>
          <w:p w14:paraId="1367138E"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Result</w:t>
            </w:r>
          </w:p>
        </w:tc>
      </w:tr>
      <w:tr w:rsidR="00CC2AD3" w:rsidRPr="00CC2AD3" w14:paraId="49BAF329" w14:textId="77777777">
        <w:trPr>
          <w:cantSplit/>
          <w:jc w:val="center"/>
        </w:trPr>
        <w:tc>
          <w:tcPr>
            <w:tcW w:w="2578" w:type="dxa"/>
          </w:tcPr>
          <w:p w14:paraId="067B5083"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Across predefined categories</w:t>
            </w:r>
          </w:p>
        </w:tc>
        <w:tc>
          <w:tcPr>
            <w:tcW w:w="2578" w:type="dxa"/>
          </w:tcPr>
          <w:p w14:paraId="43CC55A1"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Age groups</w:t>
            </w:r>
          </w:p>
        </w:tc>
        <w:tc>
          <w:tcPr>
            <w:tcW w:w="2578" w:type="dxa"/>
          </w:tcPr>
          <w:p w14:paraId="10FDE97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Kruskal–Wallis test</w:t>
            </w:r>
          </w:p>
        </w:tc>
        <w:tc>
          <w:tcPr>
            <w:tcW w:w="2578" w:type="dxa"/>
          </w:tcPr>
          <w:p w14:paraId="77F33EB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 = 0.229</w:t>
            </w:r>
          </w:p>
        </w:tc>
      </w:tr>
      <w:tr w:rsidR="00CC2AD3" w:rsidRPr="00CC2AD3" w14:paraId="2B495060" w14:textId="77777777">
        <w:trPr>
          <w:cantSplit/>
          <w:jc w:val="center"/>
        </w:trPr>
        <w:tc>
          <w:tcPr>
            <w:tcW w:w="2578" w:type="dxa"/>
          </w:tcPr>
          <w:p w14:paraId="240F5AB7"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Across predefined categories</w:t>
            </w:r>
          </w:p>
        </w:tc>
        <w:tc>
          <w:tcPr>
            <w:tcW w:w="2578" w:type="dxa"/>
          </w:tcPr>
          <w:p w14:paraId="7C17EAC1"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BMI categories</w:t>
            </w:r>
          </w:p>
        </w:tc>
        <w:tc>
          <w:tcPr>
            <w:tcW w:w="2578" w:type="dxa"/>
          </w:tcPr>
          <w:p w14:paraId="3C95EADF"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Kruskal–Wallis test</w:t>
            </w:r>
          </w:p>
        </w:tc>
        <w:tc>
          <w:tcPr>
            <w:tcW w:w="2578" w:type="dxa"/>
          </w:tcPr>
          <w:p w14:paraId="5E60311F"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 = 0.438</w:t>
            </w:r>
          </w:p>
        </w:tc>
      </w:tr>
      <w:tr w:rsidR="00CC2AD3" w:rsidRPr="00CC2AD3" w14:paraId="368B66BE" w14:textId="77777777">
        <w:trPr>
          <w:cantSplit/>
          <w:jc w:val="center"/>
        </w:trPr>
        <w:tc>
          <w:tcPr>
            <w:tcW w:w="2578" w:type="dxa"/>
          </w:tcPr>
          <w:p w14:paraId="369D2BBF"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Continuous association</w:t>
            </w:r>
          </w:p>
        </w:tc>
        <w:tc>
          <w:tcPr>
            <w:tcW w:w="2578" w:type="dxa"/>
          </w:tcPr>
          <w:p w14:paraId="46A4130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Age</w:t>
            </w:r>
          </w:p>
        </w:tc>
        <w:tc>
          <w:tcPr>
            <w:tcW w:w="2578" w:type="dxa"/>
          </w:tcPr>
          <w:p w14:paraId="1F7BE3AB"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Spearman rank correlation</w:t>
            </w:r>
          </w:p>
        </w:tc>
        <w:tc>
          <w:tcPr>
            <w:tcW w:w="2578" w:type="dxa"/>
          </w:tcPr>
          <w:p w14:paraId="6ED9D9F4"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r</w:t>
            </w:r>
            <w:r w:rsidRPr="00CC2AD3">
              <w:rPr>
                <w:rFonts w:ascii="Cambria Math" w:hAnsi="Cambria Math" w:cs="Cambria Math"/>
                <w:color w:val="000000" w:themeColor="text1"/>
                <w:sz w:val="18"/>
              </w:rPr>
              <w:t>ₛ</w:t>
            </w:r>
            <w:r w:rsidRPr="00CC2AD3">
              <w:rPr>
                <w:rFonts w:asciiTheme="minorBidi" w:hAnsiTheme="minorBidi"/>
                <w:color w:val="000000" w:themeColor="text1"/>
                <w:sz w:val="18"/>
              </w:rPr>
              <w:t xml:space="preserve"> = 0.04; p = 0.502</w:t>
            </w:r>
          </w:p>
        </w:tc>
      </w:tr>
      <w:tr w:rsidR="00CC2AD3" w:rsidRPr="00CC2AD3" w14:paraId="3772B82B" w14:textId="77777777">
        <w:trPr>
          <w:cantSplit/>
          <w:jc w:val="center"/>
        </w:trPr>
        <w:tc>
          <w:tcPr>
            <w:tcW w:w="2578" w:type="dxa"/>
          </w:tcPr>
          <w:p w14:paraId="1CF15FAB"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Continuous association</w:t>
            </w:r>
          </w:p>
        </w:tc>
        <w:tc>
          <w:tcPr>
            <w:tcW w:w="2578" w:type="dxa"/>
          </w:tcPr>
          <w:p w14:paraId="72EFD206"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BMI</w:t>
            </w:r>
          </w:p>
        </w:tc>
        <w:tc>
          <w:tcPr>
            <w:tcW w:w="2578" w:type="dxa"/>
          </w:tcPr>
          <w:p w14:paraId="75592524"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Spearman rank correlation</w:t>
            </w:r>
          </w:p>
        </w:tc>
        <w:tc>
          <w:tcPr>
            <w:tcW w:w="2578" w:type="dxa"/>
          </w:tcPr>
          <w:p w14:paraId="77F2C4B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r</w:t>
            </w:r>
            <w:r w:rsidRPr="00CC2AD3">
              <w:rPr>
                <w:rFonts w:ascii="Cambria Math" w:hAnsi="Cambria Math" w:cs="Cambria Math"/>
                <w:color w:val="000000" w:themeColor="text1"/>
                <w:sz w:val="18"/>
              </w:rPr>
              <w:t>ₛ</w:t>
            </w:r>
            <w:r w:rsidRPr="00CC2AD3">
              <w:rPr>
                <w:rFonts w:asciiTheme="minorBidi" w:hAnsiTheme="minorBidi"/>
                <w:color w:val="000000" w:themeColor="text1"/>
                <w:sz w:val="18"/>
              </w:rPr>
              <w:t xml:space="preserve"> = 0.02; p = 0.745</w:t>
            </w:r>
          </w:p>
        </w:tc>
      </w:tr>
    </w:tbl>
    <w:p w14:paraId="471008EF" w14:textId="77777777" w:rsidR="00470038" w:rsidRPr="00CC2AD3" w:rsidRDefault="00000000">
      <w:pPr>
        <w:rPr>
          <w:rFonts w:asciiTheme="minorBidi" w:hAnsiTheme="minorBidi"/>
          <w:color w:val="000000" w:themeColor="text1"/>
        </w:rPr>
      </w:pPr>
      <w:r w:rsidRPr="00CC2AD3">
        <w:rPr>
          <w:rFonts w:asciiTheme="minorBidi" w:hAnsiTheme="minorBidi"/>
          <w:i/>
          <w:color w:val="000000" w:themeColor="text1"/>
          <w:sz w:val="18"/>
        </w:rPr>
        <w:t>Abbreviations: BMI, body mass index; r</w:t>
      </w:r>
      <w:r w:rsidRPr="00CC2AD3">
        <w:rPr>
          <w:rFonts w:ascii="Cambria Math" w:hAnsi="Cambria Math" w:cs="Cambria Math"/>
          <w:i/>
          <w:color w:val="000000" w:themeColor="text1"/>
          <w:sz w:val="18"/>
        </w:rPr>
        <w:t>ₛ</w:t>
      </w:r>
      <w:r w:rsidRPr="00CC2AD3">
        <w:rPr>
          <w:rFonts w:asciiTheme="minorBidi" w:hAnsiTheme="minorBidi"/>
          <w:i/>
          <w:color w:val="000000" w:themeColor="text1"/>
          <w:sz w:val="18"/>
        </w:rPr>
        <w:t>, Spearman rank-correlation coefficient.</w:t>
      </w:r>
    </w:p>
    <w:p w14:paraId="4D33A552"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rPr>
        <w:br w:type="page"/>
      </w:r>
    </w:p>
    <w:p w14:paraId="515A153A" w14:textId="77777777" w:rsidR="00470038" w:rsidRPr="00CC2AD3" w:rsidRDefault="00000000">
      <w:pPr>
        <w:pStyle w:val="Titre1"/>
        <w:rPr>
          <w:rFonts w:asciiTheme="minorBidi" w:hAnsiTheme="minorBidi" w:cstheme="minorBidi"/>
          <w:color w:val="000000" w:themeColor="text1"/>
        </w:rPr>
      </w:pPr>
      <w:r w:rsidRPr="00CC2AD3">
        <w:rPr>
          <w:rFonts w:asciiTheme="minorBidi" w:hAnsiTheme="minorBidi" w:cstheme="minorBidi"/>
          <w:color w:val="000000" w:themeColor="text1"/>
        </w:rPr>
        <w:lastRenderedPageBreak/>
        <w:t>Supplementary Table S2. Exploratory quantile regression associations of age and BMI with serum creatinine among male blood donors</w:t>
      </w:r>
    </w:p>
    <w:tbl>
      <w:tblPr>
        <w:tblStyle w:val="Grilledutableau"/>
        <w:tblW w:w="0" w:type="auto"/>
        <w:jc w:val="center"/>
        <w:tblLook w:val="04A0" w:firstRow="1" w:lastRow="0" w:firstColumn="1" w:lastColumn="0" w:noHBand="0" w:noVBand="1"/>
      </w:tblPr>
      <w:tblGrid>
        <w:gridCol w:w="2062"/>
        <w:gridCol w:w="2062"/>
        <w:gridCol w:w="2062"/>
        <w:gridCol w:w="2062"/>
        <w:gridCol w:w="2062"/>
      </w:tblGrid>
      <w:tr w:rsidR="00CC2AD3" w:rsidRPr="00CC2AD3" w14:paraId="2AAFBD27" w14:textId="77777777">
        <w:trPr>
          <w:cantSplit/>
          <w:tblHeader/>
          <w:jc w:val="center"/>
        </w:trPr>
        <w:tc>
          <w:tcPr>
            <w:tcW w:w="2062" w:type="dxa"/>
          </w:tcPr>
          <w:p w14:paraId="07ED3521"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Quantile</w:t>
            </w:r>
          </w:p>
        </w:tc>
        <w:tc>
          <w:tcPr>
            <w:tcW w:w="2062" w:type="dxa"/>
          </w:tcPr>
          <w:p w14:paraId="321BEB69"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Variable</w:t>
            </w:r>
          </w:p>
        </w:tc>
        <w:tc>
          <w:tcPr>
            <w:tcW w:w="2062" w:type="dxa"/>
          </w:tcPr>
          <w:p w14:paraId="7422EC5D"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Increment</w:t>
            </w:r>
          </w:p>
        </w:tc>
        <w:tc>
          <w:tcPr>
            <w:tcW w:w="2062" w:type="dxa"/>
          </w:tcPr>
          <w:p w14:paraId="7AD2A817"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β (mg/L)</w:t>
            </w:r>
          </w:p>
        </w:tc>
        <w:tc>
          <w:tcPr>
            <w:tcW w:w="2062" w:type="dxa"/>
          </w:tcPr>
          <w:p w14:paraId="7E876161"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8"/>
              </w:rPr>
              <w:t>Bootstrap 95% CI</w:t>
            </w:r>
          </w:p>
        </w:tc>
      </w:tr>
      <w:tr w:rsidR="00CC2AD3" w:rsidRPr="00CC2AD3" w14:paraId="658DD2EC" w14:textId="77777777">
        <w:trPr>
          <w:cantSplit/>
          <w:jc w:val="center"/>
        </w:trPr>
        <w:tc>
          <w:tcPr>
            <w:tcW w:w="2062" w:type="dxa"/>
          </w:tcPr>
          <w:p w14:paraId="32F83ED6"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P50</w:t>
            </w:r>
          </w:p>
        </w:tc>
        <w:tc>
          <w:tcPr>
            <w:tcW w:w="2062" w:type="dxa"/>
          </w:tcPr>
          <w:p w14:paraId="788F5E06"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Age</w:t>
            </w:r>
          </w:p>
        </w:tc>
        <w:tc>
          <w:tcPr>
            <w:tcW w:w="2062" w:type="dxa"/>
          </w:tcPr>
          <w:p w14:paraId="2F16F48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per 10 years</w:t>
            </w:r>
          </w:p>
        </w:tc>
        <w:tc>
          <w:tcPr>
            <w:tcW w:w="2062" w:type="dxa"/>
          </w:tcPr>
          <w:p w14:paraId="1EB0C67A"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+0.02</w:t>
            </w:r>
          </w:p>
        </w:tc>
        <w:tc>
          <w:tcPr>
            <w:tcW w:w="2062" w:type="dxa"/>
          </w:tcPr>
          <w:p w14:paraId="7EBAF675"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−0.31 to +0.24</w:t>
            </w:r>
          </w:p>
        </w:tc>
      </w:tr>
      <w:tr w:rsidR="00CC2AD3" w:rsidRPr="00CC2AD3" w14:paraId="552ABA20" w14:textId="77777777">
        <w:trPr>
          <w:cantSplit/>
          <w:jc w:val="center"/>
        </w:trPr>
        <w:tc>
          <w:tcPr>
            <w:tcW w:w="2062" w:type="dxa"/>
          </w:tcPr>
          <w:p w14:paraId="0CE1A1A5"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P50</w:t>
            </w:r>
          </w:p>
        </w:tc>
        <w:tc>
          <w:tcPr>
            <w:tcW w:w="2062" w:type="dxa"/>
          </w:tcPr>
          <w:p w14:paraId="4702FEB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BMI</w:t>
            </w:r>
          </w:p>
        </w:tc>
        <w:tc>
          <w:tcPr>
            <w:tcW w:w="2062" w:type="dxa"/>
          </w:tcPr>
          <w:p w14:paraId="58F2D97F"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per 5 kg/m²</w:t>
            </w:r>
          </w:p>
        </w:tc>
        <w:tc>
          <w:tcPr>
            <w:tcW w:w="2062" w:type="dxa"/>
          </w:tcPr>
          <w:p w14:paraId="778EB241"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+0.16</w:t>
            </w:r>
          </w:p>
        </w:tc>
        <w:tc>
          <w:tcPr>
            <w:tcW w:w="2062" w:type="dxa"/>
          </w:tcPr>
          <w:p w14:paraId="38594EA4"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−0.23 to +0.70</w:t>
            </w:r>
          </w:p>
        </w:tc>
      </w:tr>
      <w:tr w:rsidR="00CC2AD3" w:rsidRPr="00CC2AD3" w14:paraId="6850FA8A" w14:textId="77777777">
        <w:trPr>
          <w:cantSplit/>
          <w:jc w:val="center"/>
        </w:trPr>
        <w:tc>
          <w:tcPr>
            <w:tcW w:w="2062" w:type="dxa"/>
          </w:tcPr>
          <w:p w14:paraId="63334194"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P75</w:t>
            </w:r>
          </w:p>
        </w:tc>
        <w:tc>
          <w:tcPr>
            <w:tcW w:w="2062" w:type="dxa"/>
          </w:tcPr>
          <w:p w14:paraId="4067B072"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Age</w:t>
            </w:r>
          </w:p>
        </w:tc>
        <w:tc>
          <w:tcPr>
            <w:tcW w:w="2062" w:type="dxa"/>
          </w:tcPr>
          <w:p w14:paraId="64E8CB8C"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per 10 years</w:t>
            </w:r>
          </w:p>
        </w:tc>
        <w:tc>
          <w:tcPr>
            <w:tcW w:w="2062" w:type="dxa"/>
          </w:tcPr>
          <w:p w14:paraId="51D5944C"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−0.16</w:t>
            </w:r>
          </w:p>
        </w:tc>
        <w:tc>
          <w:tcPr>
            <w:tcW w:w="2062" w:type="dxa"/>
          </w:tcPr>
          <w:p w14:paraId="09A70AAB"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−0.56 to +0.23</w:t>
            </w:r>
          </w:p>
        </w:tc>
      </w:tr>
      <w:tr w:rsidR="00CC2AD3" w:rsidRPr="00CC2AD3" w14:paraId="631DDE61" w14:textId="77777777">
        <w:trPr>
          <w:cantSplit/>
          <w:jc w:val="center"/>
        </w:trPr>
        <w:tc>
          <w:tcPr>
            <w:tcW w:w="2062" w:type="dxa"/>
          </w:tcPr>
          <w:p w14:paraId="05A877B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P75</w:t>
            </w:r>
          </w:p>
        </w:tc>
        <w:tc>
          <w:tcPr>
            <w:tcW w:w="2062" w:type="dxa"/>
          </w:tcPr>
          <w:p w14:paraId="2B05A3CA"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BMI</w:t>
            </w:r>
          </w:p>
        </w:tc>
        <w:tc>
          <w:tcPr>
            <w:tcW w:w="2062" w:type="dxa"/>
          </w:tcPr>
          <w:p w14:paraId="12693CF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per 5 kg/m²</w:t>
            </w:r>
          </w:p>
        </w:tc>
        <w:tc>
          <w:tcPr>
            <w:tcW w:w="2062" w:type="dxa"/>
          </w:tcPr>
          <w:p w14:paraId="6A54E5F6"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+0.51</w:t>
            </w:r>
          </w:p>
        </w:tc>
        <w:tc>
          <w:tcPr>
            <w:tcW w:w="2062" w:type="dxa"/>
          </w:tcPr>
          <w:p w14:paraId="5606EF7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−0.06 to +1.15</w:t>
            </w:r>
          </w:p>
        </w:tc>
      </w:tr>
      <w:tr w:rsidR="00CC2AD3" w:rsidRPr="00CC2AD3" w14:paraId="129A1A4C" w14:textId="77777777">
        <w:trPr>
          <w:cantSplit/>
          <w:jc w:val="center"/>
        </w:trPr>
        <w:tc>
          <w:tcPr>
            <w:tcW w:w="2062" w:type="dxa"/>
          </w:tcPr>
          <w:p w14:paraId="0BE91EE3"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P90</w:t>
            </w:r>
          </w:p>
        </w:tc>
        <w:tc>
          <w:tcPr>
            <w:tcW w:w="2062" w:type="dxa"/>
          </w:tcPr>
          <w:p w14:paraId="0952904F"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Age</w:t>
            </w:r>
          </w:p>
        </w:tc>
        <w:tc>
          <w:tcPr>
            <w:tcW w:w="2062" w:type="dxa"/>
          </w:tcPr>
          <w:p w14:paraId="3F76CFC3"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per 10 years</w:t>
            </w:r>
          </w:p>
        </w:tc>
        <w:tc>
          <w:tcPr>
            <w:tcW w:w="2062" w:type="dxa"/>
          </w:tcPr>
          <w:p w14:paraId="4C0D33FF"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−0.46</w:t>
            </w:r>
          </w:p>
        </w:tc>
        <w:tc>
          <w:tcPr>
            <w:tcW w:w="2062" w:type="dxa"/>
          </w:tcPr>
          <w:p w14:paraId="31909468"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−0.91 to −0.10</w:t>
            </w:r>
          </w:p>
        </w:tc>
      </w:tr>
      <w:tr w:rsidR="00CC2AD3" w:rsidRPr="00CC2AD3" w14:paraId="4B088E91" w14:textId="77777777">
        <w:trPr>
          <w:cantSplit/>
          <w:jc w:val="center"/>
        </w:trPr>
        <w:tc>
          <w:tcPr>
            <w:tcW w:w="2062" w:type="dxa"/>
          </w:tcPr>
          <w:p w14:paraId="3CEF9825"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P90</w:t>
            </w:r>
          </w:p>
        </w:tc>
        <w:tc>
          <w:tcPr>
            <w:tcW w:w="2062" w:type="dxa"/>
          </w:tcPr>
          <w:p w14:paraId="4EACA8AB"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BMI</w:t>
            </w:r>
          </w:p>
        </w:tc>
        <w:tc>
          <w:tcPr>
            <w:tcW w:w="2062" w:type="dxa"/>
          </w:tcPr>
          <w:p w14:paraId="50CF912B"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per 5 kg/m²</w:t>
            </w:r>
          </w:p>
        </w:tc>
        <w:tc>
          <w:tcPr>
            <w:tcW w:w="2062" w:type="dxa"/>
          </w:tcPr>
          <w:p w14:paraId="460111C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+0.86</w:t>
            </w:r>
          </w:p>
        </w:tc>
        <w:tc>
          <w:tcPr>
            <w:tcW w:w="2062" w:type="dxa"/>
          </w:tcPr>
          <w:p w14:paraId="32142CD4"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−0.05 to +1.55</w:t>
            </w:r>
          </w:p>
        </w:tc>
      </w:tr>
      <w:tr w:rsidR="00CC2AD3" w:rsidRPr="00CC2AD3" w14:paraId="1BF7FE4E" w14:textId="77777777">
        <w:trPr>
          <w:cantSplit/>
          <w:jc w:val="center"/>
        </w:trPr>
        <w:tc>
          <w:tcPr>
            <w:tcW w:w="2062" w:type="dxa"/>
          </w:tcPr>
          <w:p w14:paraId="22522A71"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P95</w:t>
            </w:r>
          </w:p>
        </w:tc>
        <w:tc>
          <w:tcPr>
            <w:tcW w:w="2062" w:type="dxa"/>
          </w:tcPr>
          <w:p w14:paraId="4532FBC1"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Age</w:t>
            </w:r>
          </w:p>
        </w:tc>
        <w:tc>
          <w:tcPr>
            <w:tcW w:w="2062" w:type="dxa"/>
          </w:tcPr>
          <w:p w14:paraId="4FF0F8A0"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per 10 years</w:t>
            </w:r>
          </w:p>
        </w:tc>
        <w:tc>
          <w:tcPr>
            <w:tcW w:w="2062" w:type="dxa"/>
          </w:tcPr>
          <w:p w14:paraId="6A7EDFF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−0.93</w:t>
            </w:r>
          </w:p>
        </w:tc>
        <w:tc>
          <w:tcPr>
            <w:tcW w:w="2062" w:type="dxa"/>
          </w:tcPr>
          <w:p w14:paraId="2063491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−1.36 to −0.36</w:t>
            </w:r>
          </w:p>
        </w:tc>
      </w:tr>
      <w:tr w:rsidR="00CC2AD3" w:rsidRPr="00CC2AD3" w14:paraId="36C50A1E" w14:textId="77777777">
        <w:trPr>
          <w:cantSplit/>
          <w:jc w:val="center"/>
        </w:trPr>
        <w:tc>
          <w:tcPr>
            <w:tcW w:w="2062" w:type="dxa"/>
          </w:tcPr>
          <w:p w14:paraId="13E3AEFC"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P95</w:t>
            </w:r>
          </w:p>
        </w:tc>
        <w:tc>
          <w:tcPr>
            <w:tcW w:w="2062" w:type="dxa"/>
          </w:tcPr>
          <w:p w14:paraId="20BCB950"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BMI</w:t>
            </w:r>
          </w:p>
        </w:tc>
        <w:tc>
          <w:tcPr>
            <w:tcW w:w="2062" w:type="dxa"/>
          </w:tcPr>
          <w:p w14:paraId="031DFBA5"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per 5 kg/m²</w:t>
            </w:r>
          </w:p>
        </w:tc>
        <w:tc>
          <w:tcPr>
            <w:tcW w:w="2062" w:type="dxa"/>
          </w:tcPr>
          <w:p w14:paraId="304BAAA8"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+0.77</w:t>
            </w:r>
          </w:p>
        </w:tc>
        <w:tc>
          <w:tcPr>
            <w:tcW w:w="2062" w:type="dxa"/>
          </w:tcPr>
          <w:p w14:paraId="61DEADF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8"/>
              </w:rPr>
              <w:t>−0.56 to +1.68</w:t>
            </w:r>
          </w:p>
        </w:tc>
      </w:tr>
    </w:tbl>
    <w:p w14:paraId="4021E083" w14:textId="77777777" w:rsidR="00470038" w:rsidRPr="00CC2AD3" w:rsidRDefault="00000000">
      <w:pPr>
        <w:rPr>
          <w:rFonts w:asciiTheme="minorBidi" w:hAnsiTheme="minorBidi"/>
          <w:color w:val="000000" w:themeColor="text1"/>
        </w:rPr>
      </w:pPr>
      <w:r w:rsidRPr="00CC2AD3">
        <w:rPr>
          <w:rFonts w:asciiTheme="minorBidi" w:hAnsiTheme="minorBidi"/>
          <w:i/>
          <w:color w:val="000000" w:themeColor="text1"/>
        </w:rPr>
        <w:t>Note: Quantile-regression models included age and BMI simultaneously. Confidence intervals were obtained by non-parametric bootstrap resampling with 1,000 replicates (seed 20260806). Because asymptotic inference was unstable at some upper quantiles, interpretation was based primarily on bootstrap confidence intervals. These analyses were exploratory and hypothesis-generating.</w:t>
      </w:r>
    </w:p>
    <w:p w14:paraId="6EAEE398"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rPr>
        <w:br w:type="page"/>
      </w:r>
    </w:p>
    <w:p w14:paraId="465E2E89" w14:textId="77777777" w:rsidR="00470038" w:rsidRPr="00CC2AD3" w:rsidRDefault="00470038">
      <w:pPr>
        <w:rPr>
          <w:rFonts w:asciiTheme="minorBidi" w:hAnsiTheme="minorBidi"/>
          <w:color w:val="000000" w:themeColor="text1"/>
        </w:rPr>
        <w:sectPr w:rsidR="00470038" w:rsidRPr="00CC2AD3">
          <w:footerReference w:type="default" r:id="rId8"/>
          <w:pgSz w:w="12240" w:h="15840"/>
          <w:pgMar w:top="964" w:right="964" w:bottom="964" w:left="964" w:header="720" w:footer="720" w:gutter="0"/>
          <w:cols w:space="720"/>
          <w:docGrid w:linePitch="360"/>
        </w:sectPr>
      </w:pPr>
    </w:p>
    <w:p w14:paraId="262C2266" w14:textId="77777777" w:rsidR="00470038" w:rsidRPr="00CC2AD3" w:rsidRDefault="00000000">
      <w:pPr>
        <w:pStyle w:val="Titre1"/>
        <w:rPr>
          <w:rFonts w:asciiTheme="minorBidi" w:hAnsiTheme="minorBidi" w:cstheme="minorBidi"/>
          <w:color w:val="000000" w:themeColor="text1"/>
        </w:rPr>
      </w:pPr>
      <w:r w:rsidRPr="00CC2AD3">
        <w:rPr>
          <w:rFonts w:asciiTheme="minorBidi" w:hAnsiTheme="minorBidi" w:cstheme="minorBidi"/>
          <w:color w:val="000000" w:themeColor="text1"/>
        </w:rPr>
        <w:lastRenderedPageBreak/>
        <w:t>Supplementary Table S3. Selected published serum creatinine reference intervals in African adult populations cited in the manuscript</w:t>
      </w:r>
    </w:p>
    <w:tbl>
      <w:tblPr>
        <w:tblStyle w:val="Grilledutableau"/>
        <w:tblW w:w="0" w:type="auto"/>
        <w:jc w:val="center"/>
        <w:tblLook w:val="04A0" w:firstRow="1" w:lastRow="0" w:firstColumn="1" w:lastColumn="0" w:noHBand="0" w:noVBand="1"/>
      </w:tblPr>
      <w:tblGrid>
        <w:gridCol w:w="2069"/>
        <w:gridCol w:w="2069"/>
        <w:gridCol w:w="2069"/>
        <w:gridCol w:w="2069"/>
        <w:gridCol w:w="2069"/>
        <w:gridCol w:w="2069"/>
        <w:gridCol w:w="2069"/>
      </w:tblGrid>
      <w:tr w:rsidR="00CC2AD3" w:rsidRPr="00CC2AD3" w14:paraId="7131604A" w14:textId="77777777">
        <w:trPr>
          <w:cantSplit/>
          <w:tblHeader/>
          <w:jc w:val="center"/>
        </w:trPr>
        <w:tc>
          <w:tcPr>
            <w:tcW w:w="2069" w:type="dxa"/>
          </w:tcPr>
          <w:p w14:paraId="06307ABA"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5"/>
              </w:rPr>
              <w:t>Country/region</w:t>
            </w:r>
          </w:p>
        </w:tc>
        <w:tc>
          <w:tcPr>
            <w:tcW w:w="2069" w:type="dxa"/>
          </w:tcPr>
          <w:p w14:paraId="0CE0D29E"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5"/>
              </w:rPr>
              <w:t>Study</w:t>
            </w:r>
          </w:p>
        </w:tc>
        <w:tc>
          <w:tcPr>
            <w:tcW w:w="2069" w:type="dxa"/>
          </w:tcPr>
          <w:p w14:paraId="27FCAED9"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5"/>
              </w:rPr>
              <w:t>Population</w:t>
            </w:r>
          </w:p>
        </w:tc>
        <w:tc>
          <w:tcPr>
            <w:tcW w:w="2069" w:type="dxa"/>
          </w:tcPr>
          <w:p w14:paraId="23CC7E32"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5"/>
              </w:rPr>
              <w:t>Method/platform</w:t>
            </w:r>
          </w:p>
        </w:tc>
        <w:tc>
          <w:tcPr>
            <w:tcW w:w="2069" w:type="dxa"/>
          </w:tcPr>
          <w:p w14:paraId="771202F3"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5"/>
              </w:rPr>
              <w:t>Sex</w:t>
            </w:r>
          </w:p>
        </w:tc>
        <w:tc>
          <w:tcPr>
            <w:tcW w:w="2069" w:type="dxa"/>
          </w:tcPr>
          <w:p w14:paraId="09082CBA"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5"/>
              </w:rPr>
              <w:t>Creatinine reference interval</w:t>
            </w:r>
          </w:p>
        </w:tc>
        <w:tc>
          <w:tcPr>
            <w:tcW w:w="2069" w:type="dxa"/>
          </w:tcPr>
          <w:p w14:paraId="19A88635" w14:textId="77777777" w:rsidR="00470038" w:rsidRPr="00CC2AD3" w:rsidRDefault="00000000">
            <w:pPr>
              <w:rPr>
                <w:rFonts w:asciiTheme="minorBidi" w:hAnsiTheme="minorBidi"/>
                <w:color w:val="000000" w:themeColor="text1"/>
              </w:rPr>
            </w:pPr>
            <w:r w:rsidRPr="00CC2AD3">
              <w:rPr>
                <w:rFonts w:asciiTheme="minorBidi" w:hAnsiTheme="minorBidi"/>
                <w:b/>
                <w:color w:val="000000" w:themeColor="text1"/>
                <w:sz w:val="15"/>
              </w:rPr>
              <w:t>Comment</w:t>
            </w:r>
          </w:p>
        </w:tc>
      </w:tr>
      <w:tr w:rsidR="00CC2AD3" w:rsidRPr="00CC2AD3" w14:paraId="65E57C54" w14:textId="77777777">
        <w:trPr>
          <w:cantSplit/>
          <w:jc w:val="center"/>
        </w:trPr>
        <w:tc>
          <w:tcPr>
            <w:tcW w:w="2069" w:type="dxa"/>
          </w:tcPr>
          <w:p w14:paraId="0E47EA33"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Cameroon</w:t>
            </w:r>
          </w:p>
        </w:tc>
        <w:tc>
          <w:tcPr>
            <w:tcW w:w="2069" w:type="dxa"/>
          </w:tcPr>
          <w:p w14:paraId="77F06EFB"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Edinga-Melenge et al., 2019</w:t>
            </w:r>
          </w:p>
        </w:tc>
        <w:tc>
          <w:tcPr>
            <w:tcW w:w="2069" w:type="dxa"/>
          </w:tcPr>
          <w:p w14:paraId="5DDE85D3"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Healthy adults; n=381</w:t>
            </w:r>
          </w:p>
        </w:tc>
        <w:tc>
          <w:tcPr>
            <w:tcW w:w="2069" w:type="dxa"/>
          </w:tcPr>
          <w:p w14:paraId="3CC0C632"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IDMS-reference modified kinetic Jaffé; Cobas c501/6000</w:t>
            </w:r>
          </w:p>
        </w:tc>
        <w:tc>
          <w:tcPr>
            <w:tcW w:w="2069" w:type="dxa"/>
          </w:tcPr>
          <w:p w14:paraId="4A803E23"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Men</w:t>
            </w:r>
          </w:p>
        </w:tc>
        <w:tc>
          <w:tcPr>
            <w:tcW w:w="2069" w:type="dxa"/>
          </w:tcPr>
          <w:p w14:paraId="34DC939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0.74–1.36 mg/dL</w:t>
            </w:r>
          </w:p>
        </w:tc>
        <w:tc>
          <w:tcPr>
            <w:tcW w:w="2069" w:type="dxa"/>
          </w:tcPr>
          <w:p w14:paraId="0D17D225"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Sex-specific RI</w:t>
            </w:r>
          </w:p>
        </w:tc>
      </w:tr>
      <w:tr w:rsidR="00CC2AD3" w:rsidRPr="00CC2AD3" w14:paraId="1D380DD6" w14:textId="77777777">
        <w:trPr>
          <w:cantSplit/>
          <w:jc w:val="center"/>
        </w:trPr>
        <w:tc>
          <w:tcPr>
            <w:tcW w:w="2069" w:type="dxa"/>
          </w:tcPr>
          <w:p w14:paraId="2FDF86C5"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Cameroon</w:t>
            </w:r>
          </w:p>
        </w:tc>
        <w:tc>
          <w:tcPr>
            <w:tcW w:w="2069" w:type="dxa"/>
          </w:tcPr>
          <w:p w14:paraId="2D420EC1"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Edinga-Melenge et al., 2019</w:t>
            </w:r>
          </w:p>
        </w:tc>
        <w:tc>
          <w:tcPr>
            <w:tcW w:w="2069" w:type="dxa"/>
          </w:tcPr>
          <w:p w14:paraId="5A3CDE20"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Healthy adults; n=381</w:t>
            </w:r>
          </w:p>
        </w:tc>
        <w:tc>
          <w:tcPr>
            <w:tcW w:w="2069" w:type="dxa"/>
          </w:tcPr>
          <w:p w14:paraId="6C224D8F"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IDMS-reference modified kinetic Jaffé; Cobas c501/6000</w:t>
            </w:r>
          </w:p>
        </w:tc>
        <w:tc>
          <w:tcPr>
            <w:tcW w:w="2069" w:type="dxa"/>
          </w:tcPr>
          <w:p w14:paraId="7B066247"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Women</w:t>
            </w:r>
          </w:p>
        </w:tc>
        <w:tc>
          <w:tcPr>
            <w:tcW w:w="2069" w:type="dxa"/>
          </w:tcPr>
          <w:p w14:paraId="3EF53D65"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0.58–1.08 mg/dL</w:t>
            </w:r>
          </w:p>
        </w:tc>
        <w:tc>
          <w:tcPr>
            <w:tcW w:w="2069" w:type="dxa"/>
          </w:tcPr>
          <w:p w14:paraId="6141326B"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Sex-specific RI</w:t>
            </w:r>
          </w:p>
        </w:tc>
      </w:tr>
      <w:tr w:rsidR="00CC2AD3" w:rsidRPr="00CC2AD3" w14:paraId="6A0233BE" w14:textId="77777777">
        <w:trPr>
          <w:cantSplit/>
          <w:jc w:val="center"/>
        </w:trPr>
        <w:tc>
          <w:tcPr>
            <w:tcW w:w="2069" w:type="dxa"/>
          </w:tcPr>
          <w:p w14:paraId="0A7791DA"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Central Africa (DR Congo)</w:t>
            </w:r>
          </w:p>
        </w:tc>
        <w:tc>
          <w:tcPr>
            <w:tcW w:w="2069" w:type="dxa"/>
          </w:tcPr>
          <w:p w14:paraId="28231A22"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Bukabau et al., 2025</w:t>
            </w:r>
          </w:p>
        </w:tc>
        <w:tc>
          <w:tcPr>
            <w:tcW w:w="2069" w:type="dxa"/>
          </w:tcPr>
          <w:p w14:paraId="65AE5E32"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Healthy adults; post-hoc analysis</w:t>
            </w:r>
          </w:p>
        </w:tc>
        <w:tc>
          <w:tcPr>
            <w:tcW w:w="2069" w:type="dxa"/>
          </w:tcPr>
          <w:p w14:paraId="6D6087D1"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Enzymatic creatinine method calibrated to IDMS</w:t>
            </w:r>
          </w:p>
        </w:tc>
        <w:tc>
          <w:tcPr>
            <w:tcW w:w="2069" w:type="dxa"/>
          </w:tcPr>
          <w:p w14:paraId="2B474D18"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Men</w:t>
            </w:r>
          </w:p>
        </w:tc>
        <w:tc>
          <w:tcPr>
            <w:tcW w:w="2069" w:type="dxa"/>
          </w:tcPr>
          <w:p w14:paraId="6965686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0.65–1.22 mg/dL</w:t>
            </w:r>
          </w:p>
        </w:tc>
        <w:tc>
          <w:tcPr>
            <w:tcW w:w="2069" w:type="dxa"/>
          </w:tcPr>
          <w:p w14:paraId="7263640D"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90% CI: LRL 0.63–0.67; URL 1.20–1.24</w:t>
            </w:r>
          </w:p>
        </w:tc>
      </w:tr>
      <w:tr w:rsidR="00CC2AD3" w:rsidRPr="00CC2AD3" w14:paraId="5FACBDF7" w14:textId="77777777">
        <w:trPr>
          <w:cantSplit/>
          <w:jc w:val="center"/>
        </w:trPr>
        <w:tc>
          <w:tcPr>
            <w:tcW w:w="2069" w:type="dxa"/>
          </w:tcPr>
          <w:p w14:paraId="7187E4F3"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Central Africa (DR Congo)</w:t>
            </w:r>
          </w:p>
        </w:tc>
        <w:tc>
          <w:tcPr>
            <w:tcW w:w="2069" w:type="dxa"/>
          </w:tcPr>
          <w:p w14:paraId="056731D2"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Bukabau et al., 2025</w:t>
            </w:r>
          </w:p>
        </w:tc>
        <w:tc>
          <w:tcPr>
            <w:tcW w:w="2069" w:type="dxa"/>
          </w:tcPr>
          <w:p w14:paraId="62EEFC5C"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Healthy adults; post-hoc analysis</w:t>
            </w:r>
          </w:p>
        </w:tc>
        <w:tc>
          <w:tcPr>
            <w:tcW w:w="2069" w:type="dxa"/>
          </w:tcPr>
          <w:p w14:paraId="055442AC"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Enzymatic creatinine method calibrated to IDMS</w:t>
            </w:r>
          </w:p>
        </w:tc>
        <w:tc>
          <w:tcPr>
            <w:tcW w:w="2069" w:type="dxa"/>
          </w:tcPr>
          <w:p w14:paraId="0C8E6D85"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Women</w:t>
            </w:r>
          </w:p>
        </w:tc>
        <w:tc>
          <w:tcPr>
            <w:tcW w:w="2069" w:type="dxa"/>
          </w:tcPr>
          <w:p w14:paraId="4F0C4129"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0.50–0.95 mg/dL</w:t>
            </w:r>
          </w:p>
        </w:tc>
        <w:tc>
          <w:tcPr>
            <w:tcW w:w="2069" w:type="dxa"/>
          </w:tcPr>
          <w:p w14:paraId="242CA46D"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90% CI: LRL 0.47–0.52; URL 0.93–0.98</w:t>
            </w:r>
          </w:p>
        </w:tc>
      </w:tr>
      <w:tr w:rsidR="00CC2AD3" w:rsidRPr="00CC2AD3" w14:paraId="6937E5C7" w14:textId="77777777">
        <w:trPr>
          <w:cantSplit/>
          <w:jc w:val="center"/>
        </w:trPr>
        <w:tc>
          <w:tcPr>
            <w:tcW w:w="2069" w:type="dxa"/>
          </w:tcPr>
          <w:p w14:paraId="01009AC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Eastern and Southern Africa</w:t>
            </w:r>
          </w:p>
        </w:tc>
        <w:tc>
          <w:tcPr>
            <w:tcW w:w="2069" w:type="dxa"/>
          </w:tcPr>
          <w:p w14:paraId="0F3F7DCC"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Karita et al., 2009</w:t>
            </w:r>
          </w:p>
        </w:tc>
        <w:tc>
          <w:tcPr>
            <w:tcW w:w="2069" w:type="dxa"/>
          </w:tcPr>
          <w:p w14:paraId="11C9ADFD"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Healthy adults at 7 clinical centres; n≈2100</w:t>
            </w:r>
          </w:p>
        </w:tc>
        <w:tc>
          <w:tcPr>
            <w:tcW w:w="2069" w:type="dxa"/>
          </w:tcPr>
          <w:p w14:paraId="01248EB4"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Multicentre clinical chemistry methods</w:t>
            </w:r>
          </w:p>
        </w:tc>
        <w:tc>
          <w:tcPr>
            <w:tcW w:w="2069" w:type="dxa"/>
          </w:tcPr>
          <w:p w14:paraId="72834BAB"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Combined</w:t>
            </w:r>
          </w:p>
        </w:tc>
        <w:tc>
          <w:tcPr>
            <w:tcW w:w="2069" w:type="dxa"/>
          </w:tcPr>
          <w:p w14:paraId="31FAD120"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47–109 µmol/L</w:t>
            </w:r>
          </w:p>
        </w:tc>
        <w:tc>
          <w:tcPr>
            <w:tcW w:w="2069" w:type="dxa"/>
          </w:tcPr>
          <w:p w14:paraId="7E3598E8"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CLSI-derived pooled RI reported for creatinine</w:t>
            </w:r>
          </w:p>
        </w:tc>
      </w:tr>
      <w:tr w:rsidR="00CC2AD3" w:rsidRPr="00CC2AD3" w14:paraId="4C7131AB" w14:textId="77777777">
        <w:trPr>
          <w:cantSplit/>
          <w:jc w:val="center"/>
        </w:trPr>
        <w:tc>
          <w:tcPr>
            <w:tcW w:w="2069" w:type="dxa"/>
          </w:tcPr>
          <w:p w14:paraId="2076F9E8"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Northeast Ethiopia</w:t>
            </w:r>
          </w:p>
        </w:tc>
        <w:tc>
          <w:tcPr>
            <w:tcW w:w="2069" w:type="dxa"/>
          </w:tcPr>
          <w:p w14:paraId="0F5E015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Fiseha et al., 2022</w:t>
            </w:r>
          </w:p>
        </w:tc>
        <w:tc>
          <w:tcPr>
            <w:tcW w:w="2069" w:type="dxa"/>
          </w:tcPr>
          <w:p w14:paraId="24671C96"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Apparently healthy adults</w:t>
            </w:r>
          </w:p>
        </w:tc>
        <w:tc>
          <w:tcPr>
            <w:tcW w:w="2069" w:type="dxa"/>
          </w:tcPr>
          <w:p w14:paraId="22C06B21"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Routine clinical chemistry analyser; study-specific assay</w:t>
            </w:r>
          </w:p>
        </w:tc>
        <w:tc>
          <w:tcPr>
            <w:tcW w:w="2069" w:type="dxa"/>
          </w:tcPr>
          <w:p w14:paraId="4ADA9326"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Combined</w:t>
            </w:r>
          </w:p>
        </w:tc>
        <w:tc>
          <w:tcPr>
            <w:tcW w:w="2069" w:type="dxa"/>
          </w:tcPr>
          <w:p w14:paraId="3E4C018E"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0.3–1.2 mg/dL</w:t>
            </w:r>
          </w:p>
        </w:tc>
        <w:tc>
          <w:tcPr>
            <w:tcW w:w="2069" w:type="dxa"/>
          </w:tcPr>
          <w:p w14:paraId="04E47BE2" w14:textId="77777777" w:rsidR="00470038" w:rsidRPr="00CC2AD3" w:rsidRDefault="00000000">
            <w:pPr>
              <w:rPr>
                <w:rFonts w:asciiTheme="minorBidi" w:hAnsiTheme="minorBidi"/>
                <w:color w:val="000000" w:themeColor="text1"/>
              </w:rPr>
            </w:pPr>
            <w:r w:rsidRPr="00CC2AD3">
              <w:rPr>
                <w:rFonts w:asciiTheme="minorBidi" w:hAnsiTheme="minorBidi"/>
                <w:color w:val="000000" w:themeColor="text1"/>
                <w:sz w:val="15"/>
              </w:rPr>
              <w:t>Common adult interval reported in the cited study</w:t>
            </w:r>
          </w:p>
        </w:tc>
      </w:tr>
    </w:tbl>
    <w:p w14:paraId="2D8B392D" w14:textId="77777777" w:rsidR="00470038" w:rsidRPr="00CC2AD3" w:rsidRDefault="00000000">
      <w:pPr>
        <w:rPr>
          <w:rFonts w:asciiTheme="minorBidi" w:hAnsiTheme="minorBidi"/>
          <w:color w:val="000000" w:themeColor="text1"/>
        </w:rPr>
      </w:pPr>
      <w:r w:rsidRPr="00CC2AD3">
        <w:rPr>
          <w:rFonts w:asciiTheme="minorBidi" w:hAnsiTheme="minorBidi"/>
          <w:i/>
          <w:color w:val="000000" w:themeColor="text1"/>
          <w:sz w:val="16"/>
        </w:rPr>
        <w:t>Notes: Intervals are reproduced for contextual comparison only. Direct comparison requires caution because reference-population selection, analytical platforms, calibration, units, and outlier procedures differ across studies. LRL, lower reference limit; URL, upper reference limit; IDMS, isotope-dilution mass spectrometry; RI, reference interval.</w:t>
      </w:r>
    </w:p>
    <w:p w14:paraId="511D34D6" w14:textId="77777777" w:rsidR="00470038" w:rsidRPr="00CC2AD3" w:rsidRDefault="00000000">
      <w:pPr>
        <w:pStyle w:val="Titre2"/>
        <w:rPr>
          <w:rFonts w:asciiTheme="minorBidi" w:hAnsiTheme="minorBidi" w:cstheme="minorBidi"/>
          <w:color w:val="000000" w:themeColor="text1"/>
        </w:rPr>
      </w:pPr>
      <w:r w:rsidRPr="00CC2AD3">
        <w:rPr>
          <w:rFonts w:asciiTheme="minorBidi" w:hAnsiTheme="minorBidi" w:cstheme="minorBidi"/>
          <w:color w:val="000000" w:themeColor="text1"/>
        </w:rPr>
        <w:t>References for Supplementary Table S3</w:t>
      </w:r>
    </w:p>
    <w:p w14:paraId="6880C623" w14:textId="77777777" w:rsidR="00470038" w:rsidRPr="00CC2AD3" w:rsidRDefault="00000000">
      <w:pPr>
        <w:ind w:left="170" w:hanging="170"/>
        <w:rPr>
          <w:rFonts w:asciiTheme="minorBidi" w:hAnsiTheme="minorBidi"/>
          <w:color w:val="000000" w:themeColor="text1"/>
          <w:lang w:val="fr-FR"/>
        </w:rPr>
      </w:pPr>
      <w:r w:rsidRPr="00CC2AD3">
        <w:rPr>
          <w:rFonts w:asciiTheme="minorBidi" w:hAnsiTheme="minorBidi"/>
          <w:color w:val="000000" w:themeColor="text1"/>
        </w:rPr>
        <w:t xml:space="preserve">1. Edinga-Melenge BE, Yakam AT, Nansseu JR, et al. Reference intervals for serum cystatin C and serum creatinine in an adult sub-Saharan African population. </w:t>
      </w:r>
      <w:r w:rsidRPr="00CC2AD3">
        <w:rPr>
          <w:rFonts w:asciiTheme="minorBidi" w:hAnsiTheme="minorBidi"/>
          <w:color w:val="000000" w:themeColor="text1"/>
          <w:lang w:val="fr-FR"/>
        </w:rPr>
        <w:t xml:space="preserve">BMC Clin </w:t>
      </w:r>
      <w:proofErr w:type="spellStart"/>
      <w:r w:rsidRPr="00CC2AD3">
        <w:rPr>
          <w:rFonts w:asciiTheme="minorBidi" w:hAnsiTheme="minorBidi"/>
          <w:color w:val="000000" w:themeColor="text1"/>
          <w:lang w:val="fr-FR"/>
        </w:rPr>
        <w:t>Pathol</w:t>
      </w:r>
      <w:proofErr w:type="spellEnd"/>
      <w:r w:rsidRPr="00CC2AD3">
        <w:rPr>
          <w:rFonts w:asciiTheme="minorBidi" w:hAnsiTheme="minorBidi"/>
          <w:color w:val="000000" w:themeColor="text1"/>
          <w:lang w:val="fr-FR"/>
        </w:rPr>
        <w:t xml:space="preserve">. </w:t>
      </w:r>
      <w:proofErr w:type="gramStart"/>
      <w:r w:rsidRPr="00CC2AD3">
        <w:rPr>
          <w:rFonts w:asciiTheme="minorBidi" w:hAnsiTheme="minorBidi"/>
          <w:color w:val="000000" w:themeColor="text1"/>
          <w:lang w:val="fr-FR"/>
        </w:rPr>
        <w:t>2019;</w:t>
      </w:r>
      <w:proofErr w:type="gramEnd"/>
      <w:r w:rsidRPr="00CC2AD3">
        <w:rPr>
          <w:rFonts w:asciiTheme="minorBidi" w:hAnsiTheme="minorBidi"/>
          <w:color w:val="000000" w:themeColor="text1"/>
          <w:lang w:val="fr-FR"/>
        </w:rPr>
        <w:t>19:4. doi:10.1186/s12907-019-0086-7.</w:t>
      </w:r>
    </w:p>
    <w:p w14:paraId="2F3E2919" w14:textId="77777777" w:rsidR="00470038" w:rsidRPr="00CC2AD3" w:rsidRDefault="00000000">
      <w:pPr>
        <w:ind w:left="170" w:hanging="170"/>
        <w:rPr>
          <w:rFonts w:asciiTheme="minorBidi" w:hAnsiTheme="minorBidi"/>
          <w:color w:val="000000" w:themeColor="text1"/>
        </w:rPr>
      </w:pPr>
      <w:r w:rsidRPr="00CC2AD3">
        <w:rPr>
          <w:rFonts w:asciiTheme="minorBidi" w:hAnsiTheme="minorBidi"/>
          <w:color w:val="000000" w:themeColor="text1"/>
          <w:lang w:val="fr-FR"/>
        </w:rPr>
        <w:t xml:space="preserve">2. </w:t>
      </w:r>
      <w:proofErr w:type="spellStart"/>
      <w:r w:rsidRPr="00CC2AD3">
        <w:rPr>
          <w:rFonts w:asciiTheme="minorBidi" w:hAnsiTheme="minorBidi"/>
          <w:color w:val="000000" w:themeColor="text1"/>
          <w:lang w:val="fr-FR"/>
        </w:rPr>
        <w:t>Bukabau</w:t>
      </w:r>
      <w:proofErr w:type="spellEnd"/>
      <w:r w:rsidRPr="00CC2AD3">
        <w:rPr>
          <w:rFonts w:asciiTheme="minorBidi" w:hAnsiTheme="minorBidi"/>
          <w:color w:val="000000" w:themeColor="text1"/>
          <w:lang w:val="fr-FR"/>
        </w:rPr>
        <w:t xml:space="preserve"> JB, Cavalier E, </w:t>
      </w:r>
      <w:proofErr w:type="spellStart"/>
      <w:r w:rsidRPr="00CC2AD3">
        <w:rPr>
          <w:rFonts w:asciiTheme="minorBidi" w:hAnsiTheme="minorBidi"/>
          <w:color w:val="000000" w:themeColor="text1"/>
          <w:lang w:val="fr-FR"/>
        </w:rPr>
        <w:t>Pottel</w:t>
      </w:r>
      <w:proofErr w:type="spellEnd"/>
      <w:r w:rsidRPr="00CC2AD3">
        <w:rPr>
          <w:rFonts w:asciiTheme="minorBidi" w:hAnsiTheme="minorBidi"/>
          <w:color w:val="000000" w:themeColor="text1"/>
          <w:lang w:val="fr-FR"/>
        </w:rPr>
        <w:t xml:space="preserve"> H, et al. </w:t>
      </w:r>
      <w:r w:rsidRPr="00CC2AD3">
        <w:rPr>
          <w:rFonts w:asciiTheme="minorBidi" w:hAnsiTheme="minorBidi"/>
          <w:color w:val="000000" w:themeColor="text1"/>
        </w:rPr>
        <w:t>Reference intervals for serum creatinine for healthy adults in central Africa: a post-hoc analysis. BMC Nephrol. 2025;26:607. doi:10.1186/s12882-025-04538-w.</w:t>
      </w:r>
    </w:p>
    <w:p w14:paraId="7EBB6BA3" w14:textId="77777777" w:rsidR="00470038" w:rsidRPr="00CC2AD3" w:rsidRDefault="00000000">
      <w:pPr>
        <w:ind w:left="170" w:hanging="170"/>
        <w:rPr>
          <w:rFonts w:asciiTheme="minorBidi" w:hAnsiTheme="minorBidi"/>
          <w:color w:val="000000" w:themeColor="text1"/>
        </w:rPr>
      </w:pPr>
      <w:r w:rsidRPr="00CC2AD3">
        <w:rPr>
          <w:rFonts w:asciiTheme="minorBidi" w:hAnsiTheme="minorBidi"/>
          <w:color w:val="000000" w:themeColor="text1"/>
        </w:rPr>
        <w:t>3. Karita E, Ketter N, Price MA, et al. CLSI-derived hematology and biochemistry reference intervals for healthy adults in eastern and southern Africa. PLoS One. 2009;4(2):e4401. doi:10.1371/journal.pone.0004401.</w:t>
      </w:r>
    </w:p>
    <w:p w14:paraId="771D37F5" w14:textId="77777777" w:rsidR="00470038" w:rsidRDefault="00000000">
      <w:pPr>
        <w:ind w:left="170" w:hanging="170"/>
        <w:rPr>
          <w:rFonts w:asciiTheme="minorBidi" w:hAnsiTheme="minorBidi"/>
          <w:color w:val="000000" w:themeColor="text1"/>
        </w:rPr>
      </w:pPr>
      <w:r w:rsidRPr="00CC2AD3">
        <w:rPr>
          <w:rFonts w:asciiTheme="minorBidi" w:hAnsiTheme="minorBidi"/>
          <w:color w:val="000000" w:themeColor="text1"/>
        </w:rPr>
        <w:t xml:space="preserve">4. Fiseha T, Alemayehu E, Mohammed Adem O, Eshetu B, Gebreweld A. Reference intervals for common clinical chemistry parameters in healthy adults of Northeast Ethiopia. PLoS One. 2022;17(11):e0276825. </w:t>
      </w:r>
      <w:proofErr w:type="gramStart"/>
      <w:r w:rsidRPr="00CC2AD3">
        <w:rPr>
          <w:rFonts w:asciiTheme="minorBidi" w:hAnsiTheme="minorBidi"/>
          <w:color w:val="000000" w:themeColor="text1"/>
        </w:rPr>
        <w:t>doi:10.1371/journal.pone</w:t>
      </w:r>
      <w:proofErr w:type="gramEnd"/>
      <w:r w:rsidRPr="00CC2AD3">
        <w:rPr>
          <w:rFonts w:asciiTheme="minorBidi" w:hAnsiTheme="minorBidi"/>
          <w:color w:val="000000" w:themeColor="text1"/>
        </w:rPr>
        <w:t>.0276825.</w:t>
      </w:r>
    </w:p>
    <w:p w14:paraId="2843AD58" w14:textId="475DC297" w:rsidR="00CC2AD3" w:rsidRDefault="00CC2AD3">
      <w:pPr>
        <w:rPr>
          <w:rFonts w:asciiTheme="minorBidi" w:hAnsiTheme="minorBidi"/>
          <w:color w:val="000000" w:themeColor="text1"/>
        </w:rPr>
      </w:pPr>
      <w:r>
        <w:rPr>
          <w:rFonts w:asciiTheme="minorBidi" w:hAnsiTheme="minorBidi"/>
          <w:color w:val="000000" w:themeColor="text1"/>
        </w:rPr>
        <w:br w:type="page"/>
      </w:r>
    </w:p>
    <w:p w14:paraId="3829976B" w14:textId="77777777" w:rsidR="00CC2AD3" w:rsidRPr="00F14BCC" w:rsidRDefault="00CC2AD3" w:rsidP="00CC2AD3">
      <w:pPr>
        <w:pStyle w:val="Titre"/>
        <w:jc w:val="center"/>
        <w:rPr>
          <w:rFonts w:asciiTheme="minorBidi" w:hAnsiTheme="minorBidi" w:cstheme="minorBidi"/>
          <w:color w:val="000000" w:themeColor="text1"/>
        </w:rPr>
      </w:pPr>
      <w:r w:rsidRPr="00F14BCC">
        <w:rPr>
          <w:rFonts w:asciiTheme="minorBidi" w:hAnsiTheme="minorBidi" w:cstheme="minorBidi"/>
          <w:color w:val="000000" w:themeColor="text1"/>
        </w:rPr>
        <w:lastRenderedPageBreak/>
        <w:t>STROBE Statement — Checklist for Cross-Sectional Studies</w:t>
      </w:r>
    </w:p>
    <w:p w14:paraId="2EA2AA88" w14:textId="77777777" w:rsidR="00CC2AD3" w:rsidRPr="00F14BCC" w:rsidRDefault="00CC2AD3" w:rsidP="00CC2AD3">
      <w:pPr>
        <w:jc w:val="center"/>
        <w:rPr>
          <w:rFonts w:asciiTheme="minorBidi" w:hAnsiTheme="minorBidi"/>
          <w:color w:val="000000" w:themeColor="text1"/>
        </w:rPr>
      </w:pPr>
      <w:r w:rsidRPr="00F14BCC">
        <w:rPr>
          <w:rFonts w:asciiTheme="minorBidi" w:hAnsiTheme="minorBidi"/>
          <w:i/>
          <w:color w:val="000000" w:themeColor="text1"/>
          <w:sz w:val="18"/>
        </w:rPr>
        <w:t>Serum Creatinine Reference Interval and Discordance with Manufacturer-Supplied Limits in Apparently Healthy Mauritanian Adult Male Blood Donors: A Cross-Sectional Study</w:t>
      </w:r>
    </w:p>
    <w:p w14:paraId="3174E1E6" w14:textId="77777777" w:rsidR="00CC2AD3" w:rsidRPr="00F14BCC" w:rsidRDefault="00CC2AD3" w:rsidP="00CC2AD3">
      <w:pPr>
        <w:rPr>
          <w:rFonts w:asciiTheme="minorBidi" w:hAnsiTheme="minorBidi"/>
          <w:color w:val="000000" w:themeColor="text1"/>
        </w:rPr>
      </w:pPr>
      <w:r w:rsidRPr="00F14BCC">
        <w:rPr>
          <w:rFonts w:asciiTheme="minorBidi" w:hAnsiTheme="minorBidi"/>
          <w:b/>
          <w:color w:val="000000" w:themeColor="text1"/>
          <w:sz w:val="17"/>
        </w:rPr>
        <w:t>Page numbers correspond to the final BMC Nephrology-formatted manuscript (24 pages).</w:t>
      </w:r>
    </w:p>
    <w:tbl>
      <w:tblPr>
        <w:tblStyle w:val="Grilledutableau"/>
        <w:tblW w:w="0" w:type="auto"/>
        <w:jc w:val="center"/>
        <w:tblLook w:val="04A0" w:firstRow="1" w:lastRow="0" w:firstColumn="1" w:lastColumn="0" w:noHBand="0" w:noVBand="1"/>
      </w:tblPr>
      <w:tblGrid>
        <w:gridCol w:w="3620"/>
        <w:gridCol w:w="3620"/>
        <w:gridCol w:w="3620"/>
        <w:gridCol w:w="3620"/>
      </w:tblGrid>
      <w:tr w:rsidR="00CC2AD3" w:rsidRPr="00F14BCC" w14:paraId="76AC2758" w14:textId="77777777" w:rsidTr="005D34C5">
        <w:trPr>
          <w:cantSplit/>
          <w:tblHeader/>
          <w:jc w:val="center"/>
        </w:trPr>
        <w:tc>
          <w:tcPr>
            <w:tcW w:w="3620" w:type="dxa"/>
            <w:shd w:val="clear" w:color="auto" w:fill="D9EAF7"/>
          </w:tcPr>
          <w:p w14:paraId="6C0AFAC3" w14:textId="77777777" w:rsidR="00CC2AD3" w:rsidRPr="00F14BCC" w:rsidRDefault="00CC2AD3" w:rsidP="005D34C5">
            <w:pPr>
              <w:jc w:val="center"/>
              <w:rPr>
                <w:rFonts w:asciiTheme="minorBidi" w:hAnsiTheme="minorBidi"/>
                <w:color w:val="000000" w:themeColor="text1"/>
              </w:rPr>
            </w:pPr>
            <w:r w:rsidRPr="00F14BCC">
              <w:rPr>
                <w:rFonts w:asciiTheme="minorBidi" w:hAnsiTheme="minorBidi"/>
                <w:b/>
                <w:color w:val="000000" w:themeColor="text1"/>
                <w:sz w:val="17"/>
              </w:rPr>
              <w:t>Item</w:t>
            </w:r>
          </w:p>
        </w:tc>
        <w:tc>
          <w:tcPr>
            <w:tcW w:w="3620" w:type="dxa"/>
            <w:shd w:val="clear" w:color="auto" w:fill="D9EAF7"/>
          </w:tcPr>
          <w:p w14:paraId="7C42EC3E" w14:textId="77777777" w:rsidR="00CC2AD3" w:rsidRPr="00F14BCC" w:rsidRDefault="00CC2AD3" w:rsidP="005D34C5">
            <w:pPr>
              <w:jc w:val="center"/>
              <w:rPr>
                <w:rFonts w:asciiTheme="minorBidi" w:hAnsiTheme="minorBidi"/>
                <w:color w:val="000000" w:themeColor="text1"/>
              </w:rPr>
            </w:pPr>
            <w:r w:rsidRPr="00F14BCC">
              <w:rPr>
                <w:rFonts w:asciiTheme="minorBidi" w:hAnsiTheme="minorBidi"/>
                <w:b/>
                <w:color w:val="000000" w:themeColor="text1"/>
                <w:sz w:val="17"/>
              </w:rPr>
              <w:t>Section/topic</w:t>
            </w:r>
          </w:p>
        </w:tc>
        <w:tc>
          <w:tcPr>
            <w:tcW w:w="3620" w:type="dxa"/>
            <w:shd w:val="clear" w:color="auto" w:fill="D9EAF7"/>
          </w:tcPr>
          <w:p w14:paraId="2E6E0BD3" w14:textId="77777777" w:rsidR="00CC2AD3" w:rsidRPr="00F14BCC" w:rsidRDefault="00CC2AD3" w:rsidP="005D34C5">
            <w:pPr>
              <w:jc w:val="center"/>
              <w:rPr>
                <w:rFonts w:asciiTheme="minorBidi" w:hAnsiTheme="minorBidi"/>
                <w:color w:val="000000" w:themeColor="text1"/>
              </w:rPr>
            </w:pPr>
            <w:r w:rsidRPr="00F14BCC">
              <w:rPr>
                <w:rFonts w:asciiTheme="minorBidi" w:hAnsiTheme="minorBidi"/>
                <w:b/>
                <w:color w:val="000000" w:themeColor="text1"/>
                <w:sz w:val="17"/>
              </w:rPr>
              <w:t>STROBE recommendation</w:t>
            </w:r>
          </w:p>
        </w:tc>
        <w:tc>
          <w:tcPr>
            <w:tcW w:w="3620" w:type="dxa"/>
            <w:shd w:val="clear" w:color="auto" w:fill="D9EAF7"/>
          </w:tcPr>
          <w:p w14:paraId="4EC85686" w14:textId="77777777" w:rsidR="00CC2AD3" w:rsidRPr="00F14BCC" w:rsidRDefault="00CC2AD3" w:rsidP="005D34C5">
            <w:pPr>
              <w:jc w:val="center"/>
              <w:rPr>
                <w:rFonts w:asciiTheme="minorBidi" w:hAnsiTheme="minorBidi"/>
                <w:color w:val="000000" w:themeColor="text1"/>
              </w:rPr>
            </w:pPr>
            <w:r w:rsidRPr="00F14BCC">
              <w:rPr>
                <w:rFonts w:asciiTheme="minorBidi" w:hAnsiTheme="minorBidi"/>
                <w:b/>
                <w:color w:val="000000" w:themeColor="text1"/>
                <w:sz w:val="17"/>
              </w:rPr>
              <w:t>Where reported in manuscript</w:t>
            </w:r>
          </w:p>
        </w:tc>
      </w:tr>
      <w:tr w:rsidR="00CC2AD3" w:rsidRPr="00F14BCC" w14:paraId="32951FCB" w14:textId="77777777" w:rsidTr="005D34C5">
        <w:trPr>
          <w:cantSplit/>
          <w:jc w:val="center"/>
        </w:trPr>
        <w:tc>
          <w:tcPr>
            <w:tcW w:w="3620" w:type="dxa"/>
          </w:tcPr>
          <w:p w14:paraId="456E64E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1a</w:t>
            </w:r>
          </w:p>
        </w:tc>
        <w:tc>
          <w:tcPr>
            <w:tcW w:w="3620" w:type="dxa"/>
          </w:tcPr>
          <w:p w14:paraId="372227E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Title and abstract</w:t>
            </w:r>
          </w:p>
        </w:tc>
        <w:tc>
          <w:tcPr>
            <w:tcW w:w="3620" w:type="dxa"/>
          </w:tcPr>
          <w:p w14:paraId="34624414"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Indicate the study’s design with a commonly used term in the title or the abstract.</w:t>
            </w:r>
          </w:p>
        </w:tc>
        <w:tc>
          <w:tcPr>
            <w:tcW w:w="3620" w:type="dxa"/>
          </w:tcPr>
          <w:p w14:paraId="38DA87B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 1 — the title explicitly states “A Cross-Sectional Study”; pp. 1–2 — Abstract Methods identifies a single-</w:t>
            </w:r>
            <w:proofErr w:type="spellStart"/>
            <w:r w:rsidRPr="00F14BCC">
              <w:rPr>
                <w:rFonts w:asciiTheme="minorBidi" w:hAnsiTheme="minorBidi"/>
                <w:color w:val="000000" w:themeColor="text1"/>
                <w:sz w:val="16"/>
              </w:rPr>
              <w:t>centre</w:t>
            </w:r>
            <w:proofErr w:type="spellEnd"/>
            <w:r w:rsidRPr="00F14BCC">
              <w:rPr>
                <w:rFonts w:asciiTheme="minorBidi" w:hAnsiTheme="minorBidi"/>
                <w:color w:val="000000" w:themeColor="text1"/>
                <w:sz w:val="16"/>
              </w:rPr>
              <w:t xml:space="preserve"> cross-sectional study.</w:t>
            </w:r>
          </w:p>
        </w:tc>
      </w:tr>
      <w:tr w:rsidR="00CC2AD3" w:rsidRPr="00F14BCC" w14:paraId="0101B4C4" w14:textId="77777777" w:rsidTr="005D34C5">
        <w:trPr>
          <w:cantSplit/>
          <w:jc w:val="center"/>
        </w:trPr>
        <w:tc>
          <w:tcPr>
            <w:tcW w:w="3620" w:type="dxa"/>
          </w:tcPr>
          <w:p w14:paraId="1DF17DF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1b</w:t>
            </w:r>
          </w:p>
        </w:tc>
        <w:tc>
          <w:tcPr>
            <w:tcW w:w="3620" w:type="dxa"/>
          </w:tcPr>
          <w:p w14:paraId="5479868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Title and abstract</w:t>
            </w:r>
          </w:p>
        </w:tc>
        <w:tc>
          <w:tcPr>
            <w:tcW w:w="3620" w:type="dxa"/>
          </w:tcPr>
          <w:p w14:paraId="552ACC2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Provide in the abstract an informative and balanced summary of what was done and what was found.</w:t>
            </w:r>
          </w:p>
        </w:tc>
        <w:tc>
          <w:tcPr>
            <w:tcW w:w="3620" w:type="dxa"/>
          </w:tcPr>
          <w:p w14:paraId="65E799B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1–2 — structured Abstract (Background, Methods, Results, Conclusions) reports the population, assay, reference-interval approach, principal estimates, discordance and interpretation.</w:t>
            </w:r>
          </w:p>
        </w:tc>
      </w:tr>
      <w:tr w:rsidR="00CC2AD3" w:rsidRPr="00F14BCC" w14:paraId="6F42F3AE" w14:textId="77777777" w:rsidTr="005D34C5">
        <w:trPr>
          <w:cantSplit/>
          <w:jc w:val="center"/>
        </w:trPr>
        <w:tc>
          <w:tcPr>
            <w:tcW w:w="3620" w:type="dxa"/>
          </w:tcPr>
          <w:p w14:paraId="3980732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2</w:t>
            </w:r>
          </w:p>
        </w:tc>
        <w:tc>
          <w:tcPr>
            <w:tcW w:w="3620" w:type="dxa"/>
          </w:tcPr>
          <w:p w14:paraId="0FCEA8F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Background/rationale</w:t>
            </w:r>
          </w:p>
        </w:tc>
        <w:tc>
          <w:tcPr>
            <w:tcW w:w="3620" w:type="dxa"/>
          </w:tcPr>
          <w:p w14:paraId="0634CC1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Explain the scientific background and rationale for the investigation being reported.</w:t>
            </w:r>
          </w:p>
        </w:tc>
        <w:tc>
          <w:tcPr>
            <w:tcW w:w="3620" w:type="dxa"/>
          </w:tcPr>
          <w:p w14:paraId="32868FAF"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3–4 — role and determinants of serum creatinine, distinction between reference intervals and clinical decision limits, method dependence, African heterogeneity and lack of Mauritanian data.</w:t>
            </w:r>
          </w:p>
        </w:tc>
      </w:tr>
      <w:tr w:rsidR="00CC2AD3" w:rsidRPr="00F14BCC" w14:paraId="1793D06C" w14:textId="77777777" w:rsidTr="005D34C5">
        <w:trPr>
          <w:cantSplit/>
          <w:jc w:val="center"/>
        </w:trPr>
        <w:tc>
          <w:tcPr>
            <w:tcW w:w="3620" w:type="dxa"/>
          </w:tcPr>
          <w:p w14:paraId="768B428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3</w:t>
            </w:r>
          </w:p>
        </w:tc>
        <w:tc>
          <w:tcPr>
            <w:tcW w:w="3620" w:type="dxa"/>
          </w:tcPr>
          <w:p w14:paraId="57836F6F"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Objectives</w:t>
            </w:r>
          </w:p>
        </w:tc>
        <w:tc>
          <w:tcPr>
            <w:tcW w:w="3620" w:type="dxa"/>
          </w:tcPr>
          <w:p w14:paraId="6856D90D"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State specific objectives, including any prespecified hypotheses.</w:t>
            </w:r>
          </w:p>
        </w:tc>
        <w:tc>
          <w:tcPr>
            <w:tcW w:w="3620" w:type="dxa"/>
          </w:tcPr>
          <w:p w14:paraId="66D1BED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 4 — primary objective: derive a candidate serum creatinine reference interval and quantify discordance with manufacturer limits; secondary analyses examine age and BMI. No formal prespecified hypotheses were stated.</w:t>
            </w:r>
          </w:p>
        </w:tc>
      </w:tr>
      <w:tr w:rsidR="00CC2AD3" w:rsidRPr="00F14BCC" w14:paraId="36124BB4" w14:textId="77777777" w:rsidTr="005D34C5">
        <w:trPr>
          <w:cantSplit/>
          <w:jc w:val="center"/>
        </w:trPr>
        <w:tc>
          <w:tcPr>
            <w:tcW w:w="3620" w:type="dxa"/>
          </w:tcPr>
          <w:p w14:paraId="1CAF723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4</w:t>
            </w:r>
          </w:p>
        </w:tc>
        <w:tc>
          <w:tcPr>
            <w:tcW w:w="3620" w:type="dxa"/>
          </w:tcPr>
          <w:p w14:paraId="11BC62B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Study design</w:t>
            </w:r>
          </w:p>
        </w:tc>
        <w:tc>
          <w:tcPr>
            <w:tcW w:w="3620" w:type="dxa"/>
          </w:tcPr>
          <w:p w14:paraId="0323168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Present key elements of study design early in the paper.</w:t>
            </w:r>
          </w:p>
        </w:tc>
        <w:tc>
          <w:tcPr>
            <w:tcW w:w="3620" w:type="dxa"/>
          </w:tcPr>
          <w:p w14:paraId="742477B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 4 — Methods, Study design and setting: single-</w:t>
            </w:r>
            <w:proofErr w:type="spellStart"/>
            <w:r w:rsidRPr="00F14BCC">
              <w:rPr>
                <w:rFonts w:asciiTheme="minorBidi" w:hAnsiTheme="minorBidi"/>
                <w:color w:val="000000" w:themeColor="text1"/>
                <w:sz w:val="16"/>
              </w:rPr>
              <w:t>centre</w:t>
            </w:r>
            <w:proofErr w:type="spellEnd"/>
            <w:r w:rsidRPr="00F14BCC">
              <w:rPr>
                <w:rFonts w:asciiTheme="minorBidi" w:hAnsiTheme="minorBidi"/>
                <w:color w:val="000000" w:themeColor="text1"/>
                <w:sz w:val="16"/>
              </w:rPr>
              <w:t xml:space="preserve"> cross-sectional study with consecutive recruitment and CLSI EP28-A3c framework.</w:t>
            </w:r>
          </w:p>
        </w:tc>
      </w:tr>
      <w:tr w:rsidR="00CC2AD3" w:rsidRPr="00F14BCC" w14:paraId="3344C1CC" w14:textId="77777777" w:rsidTr="005D34C5">
        <w:trPr>
          <w:cantSplit/>
          <w:jc w:val="center"/>
        </w:trPr>
        <w:tc>
          <w:tcPr>
            <w:tcW w:w="3620" w:type="dxa"/>
          </w:tcPr>
          <w:p w14:paraId="76EF123A"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5</w:t>
            </w:r>
          </w:p>
        </w:tc>
        <w:tc>
          <w:tcPr>
            <w:tcW w:w="3620" w:type="dxa"/>
          </w:tcPr>
          <w:p w14:paraId="4C9B331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Setting</w:t>
            </w:r>
          </w:p>
        </w:tc>
        <w:tc>
          <w:tcPr>
            <w:tcW w:w="3620" w:type="dxa"/>
          </w:tcPr>
          <w:p w14:paraId="79046C5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Describe the setting, locations, and relevant dates, including periods of recruitment, exposure, follow-up, and data collection.</w:t>
            </w:r>
          </w:p>
        </w:tc>
        <w:tc>
          <w:tcPr>
            <w:tcW w:w="3620" w:type="dxa"/>
          </w:tcPr>
          <w:p w14:paraId="39BD6E7F"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 4 — National Blood Transfusion Centre, Nouakchott; recruitment 9 May–26 November 2024. Follow-up was not applicable.</w:t>
            </w:r>
          </w:p>
        </w:tc>
      </w:tr>
      <w:tr w:rsidR="00CC2AD3" w:rsidRPr="00F14BCC" w14:paraId="60AB6CE7" w14:textId="77777777" w:rsidTr="005D34C5">
        <w:trPr>
          <w:cantSplit/>
          <w:jc w:val="center"/>
        </w:trPr>
        <w:tc>
          <w:tcPr>
            <w:tcW w:w="3620" w:type="dxa"/>
          </w:tcPr>
          <w:p w14:paraId="6FCB89C5"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6a</w:t>
            </w:r>
          </w:p>
        </w:tc>
        <w:tc>
          <w:tcPr>
            <w:tcW w:w="3620" w:type="dxa"/>
          </w:tcPr>
          <w:p w14:paraId="6E71428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Participants</w:t>
            </w:r>
          </w:p>
        </w:tc>
        <w:tc>
          <w:tcPr>
            <w:tcW w:w="3620" w:type="dxa"/>
          </w:tcPr>
          <w:p w14:paraId="0A12078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Give the eligibility criteria, and the sources and methods of selection of participants.</w:t>
            </w:r>
          </w:p>
        </w:tc>
        <w:tc>
          <w:tcPr>
            <w:tcW w:w="3620" w:type="dxa"/>
          </w:tcPr>
          <w:p w14:paraId="70B81285"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 xml:space="preserve">pp. 4–5 — adults ≥18 years eligible for blood donation after standardized </w:t>
            </w:r>
            <w:proofErr w:type="spellStart"/>
            <w:r w:rsidRPr="00F14BCC">
              <w:rPr>
                <w:rFonts w:asciiTheme="minorBidi" w:hAnsiTheme="minorBidi"/>
                <w:color w:val="000000" w:themeColor="text1"/>
                <w:sz w:val="16"/>
              </w:rPr>
              <w:t>predonation</w:t>
            </w:r>
            <w:proofErr w:type="spellEnd"/>
            <w:r w:rsidRPr="00F14BCC">
              <w:rPr>
                <w:rFonts w:asciiTheme="minorBidi" w:hAnsiTheme="minorBidi"/>
                <w:color w:val="000000" w:themeColor="text1"/>
                <w:sz w:val="16"/>
              </w:rPr>
              <w:t xml:space="preserve"> screening; exclusions include chronic disease, relevant medication, known renal/hepatic/thyroid disease, and obesity; consecutive recruitment.</w:t>
            </w:r>
          </w:p>
        </w:tc>
      </w:tr>
      <w:tr w:rsidR="00CC2AD3" w:rsidRPr="00F14BCC" w14:paraId="2217B1A3" w14:textId="77777777" w:rsidTr="005D34C5">
        <w:trPr>
          <w:cantSplit/>
          <w:jc w:val="center"/>
        </w:trPr>
        <w:tc>
          <w:tcPr>
            <w:tcW w:w="3620" w:type="dxa"/>
          </w:tcPr>
          <w:p w14:paraId="2B7DCC0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6b</w:t>
            </w:r>
          </w:p>
        </w:tc>
        <w:tc>
          <w:tcPr>
            <w:tcW w:w="3620" w:type="dxa"/>
          </w:tcPr>
          <w:p w14:paraId="1409414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Participants</w:t>
            </w:r>
          </w:p>
        </w:tc>
        <w:tc>
          <w:tcPr>
            <w:tcW w:w="3620" w:type="dxa"/>
          </w:tcPr>
          <w:p w14:paraId="4218EEC5"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For matched studies, give matching criteria and numbers of exposed and unexposed.</w:t>
            </w:r>
          </w:p>
        </w:tc>
        <w:tc>
          <w:tcPr>
            <w:tcW w:w="3620" w:type="dxa"/>
          </w:tcPr>
          <w:p w14:paraId="518CD01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Not applicable — this was not a matched study.</w:t>
            </w:r>
          </w:p>
        </w:tc>
      </w:tr>
      <w:tr w:rsidR="00CC2AD3" w:rsidRPr="00F14BCC" w14:paraId="2FB18CBC" w14:textId="77777777" w:rsidTr="005D34C5">
        <w:trPr>
          <w:cantSplit/>
          <w:jc w:val="center"/>
        </w:trPr>
        <w:tc>
          <w:tcPr>
            <w:tcW w:w="3620" w:type="dxa"/>
          </w:tcPr>
          <w:p w14:paraId="0206854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7</w:t>
            </w:r>
          </w:p>
        </w:tc>
        <w:tc>
          <w:tcPr>
            <w:tcW w:w="3620" w:type="dxa"/>
          </w:tcPr>
          <w:p w14:paraId="4F34683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Variables</w:t>
            </w:r>
          </w:p>
        </w:tc>
        <w:tc>
          <w:tcPr>
            <w:tcW w:w="3620" w:type="dxa"/>
          </w:tcPr>
          <w:p w14:paraId="288FA56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Clearly define all outcomes, exposures, predictors, potential confounders, and effect modifiers. Give diagnostic criteria, if applicable.</w:t>
            </w:r>
          </w:p>
        </w:tc>
        <w:tc>
          <w:tcPr>
            <w:tcW w:w="3620" w:type="dxa"/>
          </w:tcPr>
          <w:p w14:paraId="29C96EEF"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4–8 — serum creatinine/reference interval is the primary outcome; age, sex and BMI are predictors; discordance is defined using the manufacturer male interval &lt;7.0 or &gt;12.0 mg/L.</w:t>
            </w:r>
          </w:p>
        </w:tc>
      </w:tr>
      <w:tr w:rsidR="00CC2AD3" w:rsidRPr="00F14BCC" w14:paraId="1A150547" w14:textId="77777777" w:rsidTr="005D34C5">
        <w:trPr>
          <w:cantSplit/>
          <w:jc w:val="center"/>
        </w:trPr>
        <w:tc>
          <w:tcPr>
            <w:tcW w:w="3620" w:type="dxa"/>
          </w:tcPr>
          <w:p w14:paraId="4970CDD5"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8</w:t>
            </w:r>
          </w:p>
        </w:tc>
        <w:tc>
          <w:tcPr>
            <w:tcW w:w="3620" w:type="dxa"/>
          </w:tcPr>
          <w:p w14:paraId="07952D7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Data sources/measurement</w:t>
            </w:r>
          </w:p>
        </w:tc>
        <w:tc>
          <w:tcPr>
            <w:tcW w:w="3620" w:type="dxa"/>
          </w:tcPr>
          <w:p w14:paraId="00FCD8FD"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For each variable of interest, give sources of data and details of methods of assessment. Describe comparability of assessment methods if there is more than one group.</w:t>
            </w:r>
          </w:p>
        </w:tc>
        <w:tc>
          <w:tcPr>
            <w:tcW w:w="3620" w:type="dxa"/>
          </w:tcPr>
          <w:p w14:paraId="7F1D1755"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 xml:space="preserve">pp. 5–7 — SECA weight/height measurements; </w:t>
            </w:r>
            <w:proofErr w:type="spellStart"/>
            <w:r w:rsidRPr="00F14BCC">
              <w:rPr>
                <w:rFonts w:asciiTheme="minorBidi" w:hAnsiTheme="minorBidi"/>
                <w:color w:val="000000" w:themeColor="text1"/>
                <w:sz w:val="16"/>
              </w:rPr>
              <w:t>BioSystems</w:t>
            </w:r>
            <w:proofErr w:type="spellEnd"/>
            <w:r w:rsidRPr="00F14BCC">
              <w:rPr>
                <w:rFonts w:asciiTheme="minorBidi" w:hAnsiTheme="minorBidi"/>
                <w:color w:val="000000" w:themeColor="text1"/>
                <w:sz w:val="16"/>
              </w:rPr>
              <w:t xml:space="preserve"> A15 compensated fixed-time kinetic </w:t>
            </w:r>
            <w:proofErr w:type="spellStart"/>
            <w:r w:rsidRPr="00F14BCC">
              <w:rPr>
                <w:rFonts w:asciiTheme="minorBidi" w:hAnsiTheme="minorBidi"/>
                <w:color w:val="000000" w:themeColor="text1"/>
                <w:sz w:val="16"/>
              </w:rPr>
              <w:t>Jaffé</w:t>
            </w:r>
            <w:proofErr w:type="spellEnd"/>
            <w:r w:rsidRPr="00F14BCC">
              <w:rPr>
                <w:rFonts w:asciiTheme="minorBidi" w:hAnsiTheme="minorBidi"/>
                <w:color w:val="000000" w:themeColor="text1"/>
                <w:sz w:val="16"/>
              </w:rPr>
              <w:t xml:space="preserve"> assay; wavelength, compensation, analytical range, calibration, IDMS traceability and internal QC are reported.</w:t>
            </w:r>
          </w:p>
        </w:tc>
      </w:tr>
      <w:tr w:rsidR="00CC2AD3" w:rsidRPr="00F14BCC" w14:paraId="3456A1C1" w14:textId="77777777" w:rsidTr="005D34C5">
        <w:trPr>
          <w:cantSplit/>
          <w:jc w:val="center"/>
        </w:trPr>
        <w:tc>
          <w:tcPr>
            <w:tcW w:w="3620" w:type="dxa"/>
          </w:tcPr>
          <w:p w14:paraId="33783B4D"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lastRenderedPageBreak/>
              <w:t>9</w:t>
            </w:r>
          </w:p>
        </w:tc>
        <w:tc>
          <w:tcPr>
            <w:tcW w:w="3620" w:type="dxa"/>
          </w:tcPr>
          <w:p w14:paraId="2687CFE4"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Bias</w:t>
            </w:r>
          </w:p>
        </w:tc>
        <w:tc>
          <w:tcPr>
            <w:tcW w:w="3620" w:type="dxa"/>
          </w:tcPr>
          <w:p w14:paraId="433F2C4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Describe any efforts to address potential sources of bias.</w:t>
            </w:r>
          </w:p>
        </w:tc>
        <w:tc>
          <w:tcPr>
            <w:tcW w:w="3620" w:type="dxa"/>
          </w:tcPr>
          <w:p w14:paraId="6992807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4–9 and 15–16 — consecutive recruitment, standardized donor screening and anthropometry, analytical QC, prespecified outlier rules, sensitivity analyses; limitations discuss selection/generalizability and unmeasured determinants.</w:t>
            </w:r>
          </w:p>
        </w:tc>
      </w:tr>
      <w:tr w:rsidR="00CC2AD3" w:rsidRPr="00F14BCC" w14:paraId="75C54102" w14:textId="77777777" w:rsidTr="005D34C5">
        <w:trPr>
          <w:cantSplit/>
          <w:jc w:val="center"/>
        </w:trPr>
        <w:tc>
          <w:tcPr>
            <w:tcW w:w="3620" w:type="dxa"/>
          </w:tcPr>
          <w:p w14:paraId="7A884B1E"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10</w:t>
            </w:r>
          </w:p>
        </w:tc>
        <w:tc>
          <w:tcPr>
            <w:tcW w:w="3620" w:type="dxa"/>
          </w:tcPr>
          <w:p w14:paraId="59B6AE3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Study size</w:t>
            </w:r>
          </w:p>
        </w:tc>
        <w:tc>
          <w:tcPr>
            <w:tcW w:w="3620" w:type="dxa"/>
          </w:tcPr>
          <w:p w14:paraId="5046589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Explain how the study size was arrived at.</w:t>
            </w:r>
          </w:p>
        </w:tc>
        <w:tc>
          <w:tcPr>
            <w:tcW w:w="3620" w:type="dxa"/>
          </w:tcPr>
          <w:p w14:paraId="35C2305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 5 — no formal hypothesis-testing calculation; CLSI EP28-A3c recommends ≥120 reference individuals per partition; criterion met for men but not women.</w:t>
            </w:r>
          </w:p>
        </w:tc>
      </w:tr>
      <w:tr w:rsidR="00CC2AD3" w:rsidRPr="00F14BCC" w14:paraId="6589AE05" w14:textId="77777777" w:rsidTr="005D34C5">
        <w:trPr>
          <w:cantSplit/>
          <w:jc w:val="center"/>
        </w:trPr>
        <w:tc>
          <w:tcPr>
            <w:tcW w:w="3620" w:type="dxa"/>
          </w:tcPr>
          <w:p w14:paraId="2B5BEDE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11</w:t>
            </w:r>
          </w:p>
        </w:tc>
        <w:tc>
          <w:tcPr>
            <w:tcW w:w="3620" w:type="dxa"/>
          </w:tcPr>
          <w:p w14:paraId="00C27A4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Quantitative variables</w:t>
            </w:r>
          </w:p>
        </w:tc>
        <w:tc>
          <w:tcPr>
            <w:tcW w:w="3620" w:type="dxa"/>
          </w:tcPr>
          <w:p w14:paraId="3FD9DAF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Explain how quantitative variables were handled in the analyses. If applicable, describe which groupings were chosen and why.</w:t>
            </w:r>
          </w:p>
        </w:tc>
        <w:tc>
          <w:tcPr>
            <w:tcW w:w="3620" w:type="dxa"/>
          </w:tcPr>
          <w:p w14:paraId="23B1580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5, 7–9 — BMI calculation reported; age scaled per 10 years and BMI per 5 kg/m² in regression; age/BMI category comparisons and continuous Spearman correlations described.</w:t>
            </w:r>
          </w:p>
        </w:tc>
      </w:tr>
      <w:tr w:rsidR="00CC2AD3" w:rsidRPr="00F14BCC" w14:paraId="0A8499AA" w14:textId="77777777" w:rsidTr="005D34C5">
        <w:trPr>
          <w:cantSplit/>
          <w:jc w:val="center"/>
        </w:trPr>
        <w:tc>
          <w:tcPr>
            <w:tcW w:w="3620" w:type="dxa"/>
          </w:tcPr>
          <w:p w14:paraId="6DE5F49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12a</w:t>
            </w:r>
          </w:p>
        </w:tc>
        <w:tc>
          <w:tcPr>
            <w:tcW w:w="3620" w:type="dxa"/>
          </w:tcPr>
          <w:p w14:paraId="29E551F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Statistical methods</w:t>
            </w:r>
          </w:p>
        </w:tc>
        <w:tc>
          <w:tcPr>
            <w:tcW w:w="3620" w:type="dxa"/>
          </w:tcPr>
          <w:p w14:paraId="5D858BF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Describe all statistical methods, including those used to control for confounding.</w:t>
            </w:r>
          </w:p>
        </w:tc>
        <w:tc>
          <w:tcPr>
            <w:tcW w:w="3620" w:type="dxa"/>
          </w:tcPr>
          <w:p w14:paraId="6756DDB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7–9 — non-parametric RI estimation, bootstrap confidence intervals, group-comparison tests, Harris–Boyd assessment, correlations, HC3 linear regression, modified Poisson regression and exploratory quantile regression.</w:t>
            </w:r>
          </w:p>
        </w:tc>
      </w:tr>
      <w:tr w:rsidR="00CC2AD3" w:rsidRPr="00F14BCC" w14:paraId="3636ACC0" w14:textId="77777777" w:rsidTr="005D34C5">
        <w:trPr>
          <w:cantSplit/>
          <w:jc w:val="center"/>
        </w:trPr>
        <w:tc>
          <w:tcPr>
            <w:tcW w:w="3620" w:type="dxa"/>
          </w:tcPr>
          <w:p w14:paraId="1C07BC9E"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12b</w:t>
            </w:r>
          </w:p>
        </w:tc>
        <w:tc>
          <w:tcPr>
            <w:tcW w:w="3620" w:type="dxa"/>
          </w:tcPr>
          <w:p w14:paraId="6FDBB32A"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Statistical methods</w:t>
            </w:r>
          </w:p>
        </w:tc>
        <w:tc>
          <w:tcPr>
            <w:tcW w:w="3620" w:type="dxa"/>
          </w:tcPr>
          <w:p w14:paraId="5A75542F"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Describe any methods used to examine subgroups and interactions.</w:t>
            </w:r>
          </w:p>
        </w:tc>
        <w:tc>
          <w:tcPr>
            <w:tcW w:w="3620" w:type="dxa"/>
          </w:tcPr>
          <w:p w14:paraId="622B67B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7–9 — sex-specific partitioning assessment, primary male RI and male-only secondary analyses. No formal interaction model was used.</w:t>
            </w:r>
          </w:p>
        </w:tc>
      </w:tr>
      <w:tr w:rsidR="00CC2AD3" w:rsidRPr="00F14BCC" w14:paraId="4F9464A0" w14:textId="77777777" w:rsidTr="005D34C5">
        <w:trPr>
          <w:cantSplit/>
          <w:jc w:val="center"/>
        </w:trPr>
        <w:tc>
          <w:tcPr>
            <w:tcW w:w="3620" w:type="dxa"/>
          </w:tcPr>
          <w:p w14:paraId="6A8E105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12c</w:t>
            </w:r>
          </w:p>
        </w:tc>
        <w:tc>
          <w:tcPr>
            <w:tcW w:w="3620" w:type="dxa"/>
          </w:tcPr>
          <w:p w14:paraId="671614ED"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Statistical methods</w:t>
            </w:r>
          </w:p>
        </w:tc>
        <w:tc>
          <w:tcPr>
            <w:tcW w:w="3620" w:type="dxa"/>
          </w:tcPr>
          <w:p w14:paraId="552DA5D5"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Explain how missing data were addressed.</w:t>
            </w:r>
          </w:p>
        </w:tc>
        <w:tc>
          <w:tcPr>
            <w:tcW w:w="3620" w:type="dxa"/>
          </w:tcPr>
          <w:p w14:paraId="533FBF2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4–5 and Table 1, p. 23 — inclusion required complete creatinine, demographic and anthropometric data; no data were missing in the analytical dataset; no imputation was performed.</w:t>
            </w:r>
          </w:p>
        </w:tc>
      </w:tr>
      <w:tr w:rsidR="00CC2AD3" w:rsidRPr="00F14BCC" w14:paraId="12D6A62C" w14:textId="77777777" w:rsidTr="005D34C5">
        <w:trPr>
          <w:cantSplit/>
          <w:jc w:val="center"/>
        </w:trPr>
        <w:tc>
          <w:tcPr>
            <w:tcW w:w="3620" w:type="dxa"/>
          </w:tcPr>
          <w:p w14:paraId="0AE52FD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12d</w:t>
            </w:r>
          </w:p>
        </w:tc>
        <w:tc>
          <w:tcPr>
            <w:tcW w:w="3620" w:type="dxa"/>
          </w:tcPr>
          <w:p w14:paraId="1568D2D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Statistical methods</w:t>
            </w:r>
          </w:p>
        </w:tc>
        <w:tc>
          <w:tcPr>
            <w:tcW w:w="3620" w:type="dxa"/>
          </w:tcPr>
          <w:p w14:paraId="716CB75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If applicable, describe analytical methods taking account of sampling strategy.</w:t>
            </w:r>
          </w:p>
        </w:tc>
        <w:tc>
          <w:tcPr>
            <w:tcW w:w="3620" w:type="dxa"/>
          </w:tcPr>
          <w:p w14:paraId="72C1E0B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Not applicable — no complex survey sampling or weighting was used.</w:t>
            </w:r>
          </w:p>
        </w:tc>
      </w:tr>
      <w:tr w:rsidR="00CC2AD3" w:rsidRPr="00F14BCC" w14:paraId="43CB5858" w14:textId="77777777" w:rsidTr="005D34C5">
        <w:trPr>
          <w:cantSplit/>
          <w:jc w:val="center"/>
        </w:trPr>
        <w:tc>
          <w:tcPr>
            <w:tcW w:w="3620" w:type="dxa"/>
          </w:tcPr>
          <w:p w14:paraId="4FB1A9C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12e</w:t>
            </w:r>
          </w:p>
        </w:tc>
        <w:tc>
          <w:tcPr>
            <w:tcW w:w="3620" w:type="dxa"/>
          </w:tcPr>
          <w:p w14:paraId="6DCBB95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Statistical methods</w:t>
            </w:r>
          </w:p>
        </w:tc>
        <w:tc>
          <w:tcPr>
            <w:tcW w:w="3620" w:type="dxa"/>
          </w:tcPr>
          <w:p w14:paraId="3B9254B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Describe any sensitivity analyses.</w:t>
            </w:r>
          </w:p>
        </w:tc>
        <w:tc>
          <w:tcPr>
            <w:tcW w:w="3620" w:type="dxa"/>
          </w:tcPr>
          <w:p w14:paraId="77C7B72E"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7–9 and 10–11 — reference limits recalculated after excluding Tukey-flagged observations; modified Poisson analysis repeated after exclusion of the 15 flagged observations.</w:t>
            </w:r>
          </w:p>
        </w:tc>
      </w:tr>
      <w:tr w:rsidR="00CC2AD3" w:rsidRPr="00F14BCC" w14:paraId="6F95B59B" w14:textId="77777777" w:rsidTr="005D34C5">
        <w:trPr>
          <w:cantSplit/>
          <w:jc w:val="center"/>
        </w:trPr>
        <w:tc>
          <w:tcPr>
            <w:tcW w:w="3620" w:type="dxa"/>
          </w:tcPr>
          <w:p w14:paraId="6B0912E4"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13a</w:t>
            </w:r>
          </w:p>
        </w:tc>
        <w:tc>
          <w:tcPr>
            <w:tcW w:w="3620" w:type="dxa"/>
          </w:tcPr>
          <w:p w14:paraId="5626966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Participants</w:t>
            </w:r>
          </w:p>
        </w:tc>
        <w:tc>
          <w:tcPr>
            <w:tcW w:w="3620" w:type="dxa"/>
          </w:tcPr>
          <w:p w14:paraId="21641AA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Report numbers of individuals at each stage of the study.</w:t>
            </w:r>
          </w:p>
        </w:tc>
        <w:tc>
          <w:tcPr>
            <w:tcW w:w="3620" w:type="dxa"/>
          </w:tcPr>
          <w:p w14:paraId="185E2A9E"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 9 — analytical dataset n=288, including 272 men and 16 women; no records excluded after data-quality checks. The number initially screened for donation is not separately reported.</w:t>
            </w:r>
          </w:p>
        </w:tc>
      </w:tr>
      <w:tr w:rsidR="00CC2AD3" w:rsidRPr="00F14BCC" w14:paraId="569DA074" w14:textId="77777777" w:rsidTr="005D34C5">
        <w:trPr>
          <w:cantSplit/>
          <w:jc w:val="center"/>
        </w:trPr>
        <w:tc>
          <w:tcPr>
            <w:tcW w:w="3620" w:type="dxa"/>
          </w:tcPr>
          <w:p w14:paraId="5D64DCB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13b</w:t>
            </w:r>
          </w:p>
        </w:tc>
        <w:tc>
          <w:tcPr>
            <w:tcW w:w="3620" w:type="dxa"/>
          </w:tcPr>
          <w:p w14:paraId="0174376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Participants</w:t>
            </w:r>
          </w:p>
        </w:tc>
        <w:tc>
          <w:tcPr>
            <w:tcW w:w="3620" w:type="dxa"/>
          </w:tcPr>
          <w:p w14:paraId="627EBCAA"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Give reasons for non-participation at each stage.</w:t>
            </w:r>
          </w:p>
        </w:tc>
        <w:tc>
          <w:tcPr>
            <w:tcW w:w="3620" w:type="dxa"/>
          </w:tcPr>
          <w:p w14:paraId="3318B9D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4–5 — eligibility/exclusion criteria are reported; p. 9 states no records were excluded after analytical quality checks. Reasons for non-participation before analytical inclusion were not enumerated.</w:t>
            </w:r>
          </w:p>
        </w:tc>
      </w:tr>
      <w:tr w:rsidR="00CC2AD3" w:rsidRPr="00F14BCC" w14:paraId="7B270AD2" w14:textId="77777777" w:rsidTr="005D34C5">
        <w:trPr>
          <w:cantSplit/>
          <w:jc w:val="center"/>
        </w:trPr>
        <w:tc>
          <w:tcPr>
            <w:tcW w:w="3620" w:type="dxa"/>
          </w:tcPr>
          <w:p w14:paraId="782162F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13c</w:t>
            </w:r>
          </w:p>
        </w:tc>
        <w:tc>
          <w:tcPr>
            <w:tcW w:w="3620" w:type="dxa"/>
          </w:tcPr>
          <w:p w14:paraId="33DDD1D4"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Participants</w:t>
            </w:r>
          </w:p>
        </w:tc>
        <w:tc>
          <w:tcPr>
            <w:tcW w:w="3620" w:type="dxa"/>
          </w:tcPr>
          <w:p w14:paraId="5FC78BDA"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Consider use of a flow diagram.</w:t>
            </w:r>
          </w:p>
        </w:tc>
        <w:tc>
          <w:tcPr>
            <w:tcW w:w="3620" w:type="dxa"/>
          </w:tcPr>
          <w:p w14:paraId="054D223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Not included. A flow diagram was considered unnecessary because the analytical dataset comprised all 288 participants with complete required data and no post-inclusion exclusions.</w:t>
            </w:r>
          </w:p>
        </w:tc>
      </w:tr>
      <w:tr w:rsidR="00CC2AD3" w:rsidRPr="00F14BCC" w14:paraId="49F73B5F" w14:textId="77777777" w:rsidTr="005D34C5">
        <w:trPr>
          <w:cantSplit/>
          <w:jc w:val="center"/>
        </w:trPr>
        <w:tc>
          <w:tcPr>
            <w:tcW w:w="3620" w:type="dxa"/>
          </w:tcPr>
          <w:p w14:paraId="23D70EE1"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14a</w:t>
            </w:r>
          </w:p>
        </w:tc>
        <w:tc>
          <w:tcPr>
            <w:tcW w:w="3620" w:type="dxa"/>
          </w:tcPr>
          <w:p w14:paraId="0C62997F"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Descriptive data</w:t>
            </w:r>
          </w:p>
        </w:tc>
        <w:tc>
          <w:tcPr>
            <w:tcW w:w="3620" w:type="dxa"/>
          </w:tcPr>
          <w:p w14:paraId="3DA742C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Give characteristics of study participants and information on exposures and potential confounders.</w:t>
            </w:r>
          </w:p>
        </w:tc>
        <w:tc>
          <w:tcPr>
            <w:tcW w:w="3620" w:type="dxa"/>
          </w:tcPr>
          <w:p w14:paraId="54B8A0A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 9 and Table 1, p. 23 — age, weight, height, BMI and serum creatinine overall and by sex.</w:t>
            </w:r>
          </w:p>
        </w:tc>
      </w:tr>
      <w:tr w:rsidR="00CC2AD3" w:rsidRPr="00F14BCC" w14:paraId="3FB64683" w14:textId="77777777" w:rsidTr="005D34C5">
        <w:trPr>
          <w:cantSplit/>
          <w:jc w:val="center"/>
        </w:trPr>
        <w:tc>
          <w:tcPr>
            <w:tcW w:w="3620" w:type="dxa"/>
          </w:tcPr>
          <w:p w14:paraId="2CAD812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14b</w:t>
            </w:r>
          </w:p>
        </w:tc>
        <w:tc>
          <w:tcPr>
            <w:tcW w:w="3620" w:type="dxa"/>
          </w:tcPr>
          <w:p w14:paraId="1740A69D"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Descriptive data</w:t>
            </w:r>
          </w:p>
        </w:tc>
        <w:tc>
          <w:tcPr>
            <w:tcW w:w="3620" w:type="dxa"/>
          </w:tcPr>
          <w:p w14:paraId="264488AA"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Indicate number of participants with missing data for each variable of interest.</w:t>
            </w:r>
          </w:p>
        </w:tc>
        <w:tc>
          <w:tcPr>
            <w:tcW w:w="3620" w:type="dxa"/>
          </w:tcPr>
          <w:p w14:paraId="2E3B9B01"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Table 1, p. 23 — note states that no data were missing (N=288).</w:t>
            </w:r>
          </w:p>
        </w:tc>
      </w:tr>
      <w:tr w:rsidR="00CC2AD3" w:rsidRPr="00F14BCC" w14:paraId="764F26FF" w14:textId="77777777" w:rsidTr="005D34C5">
        <w:trPr>
          <w:cantSplit/>
          <w:jc w:val="center"/>
        </w:trPr>
        <w:tc>
          <w:tcPr>
            <w:tcW w:w="3620" w:type="dxa"/>
          </w:tcPr>
          <w:p w14:paraId="4EBBDE9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lastRenderedPageBreak/>
              <w:t>14c</w:t>
            </w:r>
          </w:p>
        </w:tc>
        <w:tc>
          <w:tcPr>
            <w:tcW w:w="3620" w:type="dxa"/>
          </w:tcPr>
          <w:p w14:paraId="1856256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Descriptive data</w:t>
            </w:r>
          </w:p>
        </w:tc>
        <w:tc>
          <w:tcPr>
            <w:tcW w:w="3620" w:type="dxa"/>
          </w:tcPr>
          <w:p w14:paraId="3BE51018" w14:textId="77777777" w:rsidR="00CC2AD3" w:rsidRPr="00F14BCC" w:rsidRDefault="00CC2AD3" w:rsidP="005D34C5">
            <w:pPr>
              <w:rPr>
                <w:rFonts w:asciiTheme="minorBidi" w:hAnsiTheme="minorBidi"/>
                <w:color w:val="000000" w:themeColor="text1"/>
              </w:rPr>
            </w:pPr>
            <w:proofErr w:type="spellStart"/>
            <w:r w:rsidRPr="00F14BCC">
              <w:rPr>
                <w:rFonts w:asciiTheme="minorBidi" w:hAnsiTheme="minorBidi"/>
                <w:color w:val="000000" w:themeColor="text1"/>
                <w:sz w:val="16"/>
              </w:rPr>
              <w:t>Summarise</w:t>
            </w:r>
            <w:proofErr w:type="spellEnd"/>
            <w:r w:rsidRPr="00F14BCC">
              <w:rPr>
                <w:rFonts w:asciiTheme="minorBidi" w:hAnsiTheme="minorBidi"/>
                <w:color w:val="000000" w:themeColor="text1"/>
                <w:sz w:val="16"/>
              </w:rPr>
              <w:t xml:space="preserve"> follow-up time, if appropriate.</w:t>
            </w:r>
          </w:p>
        </w:tc>
        <w:tc>
          <w:tcPr>
            <w:tcW w:w="3620" w:type="dxa"/>
          </w:tcPr>
          <w:p w14:paraId="5DA74D5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Not applicable — cross-sectional study without follow-up.</w:t>
            </w:r>
          </w:p>
        </w:tc>
      </w:tr>
      <w:tr w:rsidR="00CC2AD3" w:rsidRPr="00F14BCC" w14:paraId="7E801EA7" w14:textId="77777777" w:rsidTr="005D34C5">
        <w:trPr>
          <w:cantSplit/>
          <w:jc w:val="center"/>
        </w:trPr>
        <w:tc>
          <w:tcPr>
            <w:tcW w:w="3620" w:type="dxa"/>
          </w:tcPr>
          <w:p w14:paraId="5597F26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15</w:t>
            </w:r>
          </w:p>
        </w:tc>
        <w:tc>
          <w:tcPr>
            <w:tcW w:w="3620" w:type="dxa"/>
          </w:tcPr>
          <w:p w14:paraId="413B5DA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Outcome data</w:t>
            </w:r>
          </w:p>
        </w:tc>
        <w:tc>
          <w:tcPr>
            <w:tcW w:w="3620" w:type="dxa"/>
          </w:tcPr>
          <w:p w14:paraId="1D853374"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Report numbers of outcome events or summary measures.</w:t>
            </w:r>
          </w:p>
        </w:tc>
        <w:tc>
          <w:tcPr>
            <w:tcW w:w="3620" w:type="dxa"/>
          </w:tcPr>
          <w:p w14:paraId="1A13A3D0"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9–11; Table 2, p. 23; Table 4, p. 24 — creatinine distribution and candidate RIs reported; 61/272 men (22.4%) outside manufacturer interval, including 52 (19.1%) above the upper limit.</w:t>
            </w:r>
          </w:p>
        </w:tc>
      </w:tr>
      <w:tr w:rsidR="00CC2AD3" w:rsidRPr="00F14BCC" w14:paraId="182812C9" w14:textId="77777777" w:rsidTr="005D34C5">
        <w:trPr>
          <w:cantSplit/>
          <w:jc w:val="center"/>
        </w:trPr>
        <w:tc>
          <w:tcPr>
            <w:tcW w:w="3620" w:type="dxa"/>
          </w:tcPr>
          <w:p w14:paraId="1424E06F"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16a</w:t>
            </w:r>
          </w:p>
        </w:tc>
        <w:tc>
          <w:tcPr>
            <w:tcW w:w="3620" w:type="dxa"/>
          </w:tcPr>
          <w:p w14:paraId="65C2CE3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Main results</w:t>
            </w:r>
          </w:p>
        </w:tc>
        <w:tc>
          <w:tcPr>
            <w:tcW w:w="3620" w:type="dxa"/>
          </w:tcPr>
          <w:p w14:paraId="7D6E60F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Give unadjusted estimates and, if applicable, confounder-adjusted estimates and their precision. Make clear which confounders were adjusted for and why.</w:t>
            </w:r>
          </w:p>
        </w:tc>
        <w:tc>
          <w:tcPr>
            <w:tcW w:w="3620" w:type="dxa"/>
          </w:tcPr>
          <w:p w14:paraId="0E8B7C31"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 xml:space="preserve">pp. 10–11; Table 3, pp. 23–24; Table 4, p. 24 — crude and adjusted β estimates and </w:t>
            </w:r>
            <w:proofErr w:type="spellStart"/>
            <w:r w:rsidRPr="00F14BCC">
              <w:rPr>
                <w:rFonts w:asciiTheme="minorBidi" w:hAnsiTheme="minorBidi"/>
                <w:color w:val="000000" w:themeColor="text1"/>
                <w:sz w:val="16"/>
              </w:rPr>
              <w:t>aPRs</w:t>
            </w:r>
            <w:proofErr w:type="spellEnd"/>
            <w:r w:rsidRPr="00F14BCC">
              <w:rPr>
                <w:rFonts w:asciiTheme="minorBidi" w:hAnsiTheme="minorBidi"/>
                <w:color w:val="000000" w:themeColor="text1"/>
                <w:sz w:val="16"/>
              </w:rPr>
              <w:t xml:space="preserve"> with 95% CIs; covariates are specified in Methods and table notes.</w:t>
            </w:r>
          </w:p>
        </w:tc>
      </w:tr>
      <w:tr w:rsidR="00CC2AD3" w:rsidRPr="00F14BCC" w14:paraId="0CDBF75A" w14:textId="77777777" w:rsidTr="005D34C5">
        <w:trPr>
          <w:cantSplit/>
          <w:jc w:val="center"/>
        </w:trPr>
        <w:tc>
          <w:tcPr>
            <w:tcW w:w="3620" w:type="dxa"/>
          </w:tcPr>
          <w:p w14:paraId="5465583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16b</w:t>
            </w:r>
          </w:p>
        </w:tc>
        <w:tc>
          <w:tcPr>
            <w:tcW w:w="3620" w:type="dxa"/>
          </w:tcPr>
          <w:p w14:paraId="4EF66D2E"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Main results</w:t>
            </w:r>
          </w:p>
        </w:tc>
        <w:tc>
          <w:tcPr>
            <w:tcW w:w="3620" w:type="dxa"/>
          </w:tcPr>
          <w:p w14:paraId="5EC75BD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Report category boundaries when continuous variables were categorized.</w:t>
            </w:r>
          </w:p>
        </w:tc>
        <w:tc>
          <w:tcPr>
            <w:tcW w:w="3620" w:type="dxa"/>
          </w:tcPr>
          <w:p w14:paraId="211A668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8 and 11 — manufacturer interval boundaries are explicit (&lt;7.0 or &gt;12.0 mg/L). Age/BMI categorical analyses are supplementary; the main models retain age and BMI as continuous variables.</w:t>
            </w:r>
          </w:p>
        </w:tc>
      </w:tr>
      <w:tr w:rsidR="00CC2AD3" w:rsidRPr="00F14BCC" w14:paraId="364C5FBD" w14:textId="77777777" w:rsidTr="005D34C5">
        <w:trPr>
          <w:cantSplit/>
          <w:jc w:val="center"/>
        </w:trPr>
        <w:tc>
          <w:tcPr>
            <w:tcW w:w="3620" w:type="dxa"/>
          </w:tcPr>
          <w:p w14:paraId="6DACF4E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16c</w:t>
            </w:r>
          </w:p>
        </w:tc>
        <w:tc>
          <w:tcPr>
            <w:tcW w:w="3620" w:type="dxa"/>
          </w:tcPr>
          <w:p w14:paraId="1F3C77D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Main results</w:t>
            </w:r>
          </w:p>
        </w:tc>
        <w:tc>
          <w:tcPr>
            <w:tcW w:w="3620" w:type="dxa"/>
          </w:tcPr>
          <w:p w14:paraId="6DCE7434"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If relevant, consider translating estimates of relative risk into absolute risk for a meaningful time period.</w:t>
            </w:r>
          </w:p>
        </w:tc>
        <w:tc>
          <w:tcPr>
            <w:tcW w:w="3620" w:type="dxa"/>
          </w:tcPr>
          <w:p w14:paraId="244CEDD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Not applicable — no longitudinal risk was estimated. Absolute discordance prevalence (22.4%) is reported.</w:t>
            </w:r>
          </w:p>
        </w:tc>
      </w:tr>
      <w:tr w:rsidR="00CC2AD3" w:rsidRPr="00F14BCC" w14:paraId="757DA4D9" w14:textId="77777777" w:rsidTr="005D34C5">
        <w:trPr>
          <w:cantSplit/>
          <w:jc w:val="center"/>
        </w:trPr>
        <w:tc>
          <w:tcPr>
            <w:tcW w:w="3620" w:type="dxa"/>
          </w:tcPr>
          <w:p w14:paraId="2B01B652"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17</w:t>
            </w:r>
          </w:p>
        </w:tc>
        <w:tc>
          <w:tcPr>
            <w:tcW w:w="3620" w:type="dxa"/>
          </w:tcPr>
          <w:p w14:paraId="7BBC276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Other analyses</w:t>
            </w:r>
          </w:p>
        </w:tc>
        <w:tc>
          <w:tcPr>
            <w:tcW w:w="3620" w:type="dxa"/>
          </w:tcPr>
          <w:p w14:paraId="7C407C6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Report other analyses done—e.g., analyses of subgroups and interactions, and sensitivity analyses.</w:t>
            </w:r>
          </w:p>
        </w:tc>
        <w:tc>
          <w:tcPr>
            <w:tcW w:w="3620" w:type="dxa"/>
          </w:tcPr>
          <w:p w14:paraId="50F22B8D"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10–12 and Supplementary Tables S1–S2 — male-only analyses, outlier-exclusion sensitivity analyses, and exploratory quantile regression.</w:t>
            </w:r>
          </w:p>
        </w:tc>
      </w:tr>
      <w:tr w:rsidR="00CC2AD3" w:rsidRPr="00F14BCC" w14:paraId="550C02A4" w14:textId="77777777" w:rsidTr="005D34C5">
        <w:trPr>
          <w:cantSplit/>
          <w:jc w:val="center"/>
        </w:trPr>
        <w:tc>
          <w:tcPr>
            <w:tcW w:w="3620" w:type="dxa"/>
          </w:tcPr>
          <w:p w14:paraId="702A16D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18</w:t>
            </w:r>
          </w:p>
        </w:tc>
        <w:tc>
          <w:tcPr>
            <w:tcW w:w="3620" w:type="dxa"/>
          </w:tcPr>
          <w:p w14:paraId="19BBE3D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Key results</w:t>
            </w:r>
          </w:p>
        </w:tc>
        <w:tc>
          <w:tcPr>
            <w:tcW w:w="3620" w:type="dxa"/>
          </w:tcPr>
          <w:p w14:paraId="58209AED" w14:textId="77777777" w:rsidR="00CC2AD3" w:rsidRPr="00F14BCC" w:rsidRDefault="00CC2AD3" w:rsidP="005D34C5">
            <w:pPr>
              <w:rPr>
                <w:rFonts w:asciiTheme="minorBidi" w:hAnsiTheme="minorBidi"/>
                <w:color w:val="000000" w:themeColor="text1"/>
              </w:rPr>
            </w:pPr>
            <w:proofErr w:type="spellStart"/>
            <w:r w:rsidRPr="00F14BCC">
              <w:rPr>
                <w:rFonts w:asciiTheme="minorBidi" w:hAnsiTheme="minorBidi"/>
                <w:color w:val="000000" w:themeColor="text1"/>
                <w:sz w:val="16"/>
              </w:rPr>
              <w:t>Summarise</w:t>
            </w:r>
            <w:proofErr w:type="spellEnd"/>
            <w:r w:rsidRPr="00F14BCC">
              <w:rPr>
                <w:rFonts w:asciiTheme="minorBidi" w:hAnsiTheme="minorBidi"/>
                <w:color w:val="000000" w:themeColor="text1"/>
                <w:sz w:val="16"/>
              </w:rPr>
              <w:t xml:space="preserve"> key results with reference to study objectives.</w:t>
            </w:r>
          </w:p>
        </w:tc>
        <w:tc>
          <w:tcPr>
            <w:tcW w:w="3620" w:type="dxa"/>
          </w:tcPr>
          <w:p w14:paraId="75E45E8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12 and 16 — Discussion opening and final synthesis summarize the 6.50–15.10 mg/L candidate RI, 22.4% discordance and implications for local verification.</w:t>
            </w:r>
          </w:p>
        </w:tc>
      </w:tr>
      <w:tr w:rsidR="00CC2AD3" w:rsidRPr="00F14BCC" w14:paraId="3F310C2C" w14:textId="77777777" w:rsidTr="005D34C5">
        <w:trPr>
          <w:cantSplit/>
          <w:jc w:val="center"/>
        </w:trPr>
        <w:tc>
          <w:tcPr>
            <w:tcW w:w="3620" w:type="dxa"/>
          </w:tcPr>
          <w:p w14:paraId="48CE2911"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19</w:t>
            </w:r>
          </w:p>
        </w:tc>
        <w:tc>
          <w:tcPr>
            <w:tcW w:w="3620" w:type="dxa"/>
          </w:tcPr>
          <w:p w14:paraId="280A42B3"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Limitations</w:t>
            </w:r>
          </w:p>
        </w:tc>
        <w:tc>
          <w:tcPr>
            <w:tcW w:w="3620" w:type="dxa"/>
          </w:tcPr>
          <w:p w14:paraId="2CAD987B"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Discuss limitations of the study, taking into account sources of potential bias or imprecision. Discuss direction and magnitude of potential bias.</w:t>
            </w:r>
          </w:p>
        </w:tc>
        <w:tc>
          <w:tcPr>
            <w:tcW w:w="3620" w:type="dxa"/>
          </w:tcPr>
          <w:p w14:paraId="1ABF7D27"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pp. 15–16 — single urban blood-donor population, predominance of young men, exclusion of obesity/chronic disease, no study-specific renal assessment, unavailable biological determinants, and incomplete study-period analytical imprecision data.</w:t>
            </w:r>
          </w:p>
        </w:tc>
      </w:tr>
      <w:tr w:rsidR="00CC2AD3" w:rsidRPr="00F14BCC" w14:paraId="4BEBAE61" w14:textId="77777777" w:rsidTr="005D34C5">
        <w:trPr>
          <w:cantSplit/>
          <w:jc w:val="center"/>
        </w:trPr>
        <w:tc>
          <w:tcPr>
            <w:tcW w:w="3620" w:type="dxa"/>
          </w:tcPr>
          <w:p w14:paraId="57ACC701"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20</w:t>
            </w:r>
          </w:p>
        </w:tc>
        <w:tc>
          <w:tcPr>
            <w:tcW w:w="3620" w:type="dxa"/>
          </w:tcPr>
          <w:p w14:paraId="1A5B551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Interpretation</w:t>
            </w:r>
          </w:p>
        </w:tc>
        <w:tc>
          <w:tcPr>
            <w:tcW w:w="3620" w:type="dxa"/>
          </w:tcPr>
          <w:p w14:paraId="3CDC4A7E"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Give a cautious overall interpretation considering objectives, limitations, multiplicity of analyses, similar studies, and other relevant evidence.</w:t>
            </w:r>
          </w:p>
        </w:tc>
        <w:tc>
          <w:tcPr>
            <w:tcW w:w="3620" w:type="dxa"/>
          </w:tcPr>
          <w:p w14:paraId="6A229644"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 xml:space="preserve">pp. 12–16 — distinguishes RIs from clinical decision thresholds, compares African evidence, treats BMI and quantile findings as exploratory, and discusses </w:t>
            </w:r>
            <w:proofErr w:type="spellStart"/>
            <w:r w:rsidRPr="00F14BCC">
              <w:rPr>
                <w:rFonts w:asciiTheme="minorBidi" w:hAnsiTheme="minorBidi"/>
                <w:color w:val="000000" w:themeColor="text1"/>
                <w:sz w:val="16"/>
              </w:rPr>
              <w:t>Jaffé</w:t>
            </w:r>
            <w:proofErr w:type="spellEnd"/>
            <w:r w:rsidRPr="00F14BCC">
              <w:rPr>
                <w:rFonts w:asciiTheme="minorBidi" w:hAnsiTheme="minorBidi"/>
                <w:color w:val="000000" w:themeColor="text1"/>
                <w:sz w:val="16"/>
              </w:rPr>
              <w:t xml:space="preserve"> method specificity and outlier sensitivity.</w:t>
            </w:r>
          </w:p>
        </w:tc>
      </w:tr>
      <w:tr w:rsidR="00CC2AD3" w:rsidRPr="00F14BCC" w14:paraId="09E64D51" w14:textId="77777777" w:rsidTr="005D34C5">
        <w:trPr>
          <w:cantSplit/>
          <w:jc w:val="center"/>
        </w:trPr>
        <w:tc>
          <w:tcPr>
            <w:tcW w:w="3620" w:type="dxa"/>
          </w:tcPr>
          <w:p w14:paraId="2B8DACDC"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21</w:t>
            </w:r>
          </w:p>
        </w:tc>
        <w:tc>
          <w:tcPr>
            <w:tcW w:w="3620" w:type="dxa"/>
          </w:tcPr>
          <w:p w14:paraId="752D43CB" w14:textId="77777777" w:rsidR="00CC2AD3" w:rsidRPr="00F14BCC" w:rsidRDefault="00CC2AD3" w:rsidP="005D34C5">
            <w:pPr>
              <w:rPr>
                <w:rFonts w:asciiTheme="minorBidi" w:hAnsiTheme="minorBidi"/>
                <w:color w:val="000000" w:themeColor="text1"/>
              </w:rPr>
            </w:pPr>
            <w:proofErr w:type="spellStart"/>
            <w:r w:rsidRPr="00F14BCC">
              <w:rPr>
                <w:rFonts w:asciiTheme="minorBidi" w:hAnsiTheme="minorBidi"/>
                <w:color w:val="000000" w:themeColor="text1"/>
                <w:sz w:val="16"/>
              </w:rPr>
              <w:t>Generalisability</w:t>
            </w:r>
            <w:proofErr w:type="spellEnd"/>
          </w:p>
        </w:tc>
        <w:tc>
          <w:tcPr>
            <w:tcW w:w="3620" w:type="dxa"/>
          </w:tcPr>
          <w:p w14:paraId="648EB4B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 xml:space="preserve">Discuss the </w:t>
            </w:r>
            <w:proofErr w:type="spellStart"/>
            <w:r w:rsidRPr="00F14BCC">
              <w:rPr>
                <w:rFonts w:asciiTheme="minorBidi" w:hAnsiTheme="minorBidi"/>
                <w:color w:val="000000" w:themeColor="text1"/>
                <w:sz w:val="16"/>
              </w:rPr>
              <w:t>generalisability</w:t>
            </w:r>
            <w:proofErr w:type="spellEnd"/>
            <w:r w:rsidRPr="00F14BCC">
              <w:rPr>
                <w:rFonts w:asciiTheme="minorBidi" w:hAnsiTheme="minorBidi"/>
                <w:color w:val="000000" w:themeColor="text1"/>
                <w:sz w:val="16"/>
              </w:rPr>
              <w:t xml:space="preserve"> (external validity) of the study results.</w:t>
            </w:r>
          </w:p>
        </w:tc>
        <w:tc>
          <w:tcPr>
            <w:tcW w:w="3620" w:type="dxa"/>
          </w:tcPr>
          <w:p w14:paraId="51B78E98"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 xml:space="preserve">pp. 15–16 — limits generalization to women, older adults, rural populations and people ineligible for blood donation; calls for larger </w:t>
            </w:r>
            <w:proofErr w:type="spellStart"/>
            <w:r w:rsidRPr="00F14BCC">
              <w:rPr>
                <w:rFonts w:asciiTheme="minorBidi" w:hAnsiTheme="minorBidi"/>
                <w:color w:val="000000" w:themeColor="text1"/>
                <w:sz w:val="16"/>
              </w:rPr>
              <w:t>multicentre</w:t>
            </w:r>
            <w:proofErr w:type="spellEnd"/>
            <w:r w:rsidRPr="00F14BCC">
              <w:rPr>
                <w:rFonts w:asciiTheme="minorBidi" w:hAnsiTheme="minorBidi"/>
                <w:color w:val="000000" w:themeColor="text1"/>
                <w:sz w:val="16"/>
              </w:rPr>
              <w:t xml:space="preserve"> validation.</w:t>
            </w:r>
          </w:p>
        </w:tc>
      </w:tr>
      <w:tr w:rsidR="00CC2AD3" w:rsidRPr="00F14BCC" w14:paraId="51C1911A" w14:textId="77777777" w:rsidTr="005D34C5">
        <w:trPr>
          <w:cantSplit/>
          <w:jc w:val="center"/>
        </w:trPr>
        <w:tc>
          <w:tcPr>
            <w:tcW w:w="3620" w:type="dxa"/>
          </w:tcPr>
          <w:p w14:paraId="6330C5B6"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22</w:t>
            </w:r>
          </w:p>
        </w:tc>
        <w:tc>
          <w:tcPr>
            <w:tcW w:w="3620" w:type="dxa"/>
          </w:tcPr>
          <w:p w14:paraId="611DB42D"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Funding</w:t>
            </w:r>
          </w:p>
        </w:tc>
        <w:tc>
          <w:tcPr>
            <w:tcW w:w="3620" w:type="dxa"/>
          </w:tcPr>
          <w:p w14:paraId="4B96131D"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Give the source of funding and the role of the funders for the present study and, if applicable, for the original study on which the present article is based.</w:t>
            </w:r>
          </w:p>
        </w:tc>
        <w:tc>
          <w:tcPr>
            <w:tcW w:w="3620" w:type="dxa"/>
          </w:tcPr>
          <w:p w14:paraId="57682789" w14:textId="77777777" w:rsidR="00CC2AD3" w:rsidRPr="00F14BCC" w:rsidRDefault="00CC2AD3" w:rsidP="005D34C5">
            <w:pPr>
              <w:rPr>
                <w:rFonts w:asciiTheme="minorBidi" w:hAnsiTheme="minorBidi"/>
                <w:color w:val="000000" w:themeColor="text1"/>
              </w:rPr>
            </w:pPr>
            <w:r w:rsidRPr="00F14BCC">
              <w:rPr>
                <w:rFonts w:asciiTheme="minorBidi" w:hAnsiTheme="minorBidi"/>
                <w:color w:val="000000" w:themeColor="text1"/>
                <w:sz w:val="16"/>
              </w:rPr>
              <w:t>p. 17 — no specific grant from public, commercial or not-for-profit funding agencies.</w:t>
            </w:r>
          </w:p>
        </w:tc>
      </w:tr>
    </w:tbl>
    <w:p w14:paraId="09E88696" w14:textId="77777777" w:rsidR="00CC2AD3" w:rsidRPr="00F14BCC" w:rsidRDefault="00CC2AD3" w:rsidP="00CC2AD3">
      <w:pPr>
        <w:rPr>
          <w:rFonts w:asciiTheme="minorBidi" w:hAnsiTheme="minorBidi"/>
          <w:color w:val="000000" w:themeColor="text1"/>
        </w:rPr>
      </w:pPr>
    </w:p>
    <w:p w14:paraId="72FEE87A" w14:textId="77777777" w:rsidR="00CC2AD3" w:rsidRPr="00CC2AD3" w:rsidRDefault="00CC2AD3">
      <w:pPr>
        <w:ind w:left="170" w:hanging="170"/>
        <w:rPr>
          <w:rFonts w:asciiTheme="minorBidi" w:hAnsiTheme="minorBidi"/>
          <w:color w:val="000000" w:themeColor="text1"/>
        </w:rPr>
      </w:pPr>
    </w:p>
    <w:sectPr w:rsidR="00CC2AD3" w:rsidRPr="00CC2AD3" w:rsidSect="00034616">
      <w:footerReference w:type="default" r:id="rId9"/>
      <w:pgSz w:w="15840" w:h="12240" w:orient="landscape"/>
      <w:pgMar w:top="794" w:right="680" w:bottom="794"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8435D" w14:textId="77777777" w:rsidR="00F037E1" w:rsidRDefault="00F037E1">
      <w:pPr>
        <w:spacing w:after="0" w:line="240" w:lineRule="auto"/>
      </w:pPr>
      <w:r>
        <w:separator/>
      </w:r>
    </w:p>
  </w:endnote>
  <w:endnote w:type="continuationSeparator" w:id="0">
    <w:p w14:paraId="54EB4882" w14:textId="77777777" w:rsidR="00F037E1" w:rsidRDefault="00F03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5481A" w14:textId="77777777" w:rsidR="00470038" w:rsidRDefault="00000000">
    <w:pPr>
      <w:pStyle w:val="Pieddepage"/>
      <w:jc w:val="center"/>
    </w:pPr>
    <w:r>
      <w:rPr>
        <w:sz w:val="16"/>
      </w:rPr>
      <w:t>Supplementary Material — BMC Nephrology submission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418D" w14:textId="77777777" w:rsidR="00470038" w:rsidRDefault="00000000">
    <w:pPr>
      <w:pStyle w:val="Pieddepage"/>
      <w:jc w:val="center"/>
    </w:pPr>
    <w:r>
      <w:rPr>
        <w:sz w:val="16"/>
      </w:rPr>
      <w:t>Supplementary Material — BMC Nephrology submission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6E12B" w14:textId="77777777" w:rsidR="00F037E1" w:rsidRDefault="00F037E1">
      <w:pPr>
        <w:spacing w:after="0" w:line="240" w:lineRule="auto"/>
      </w:pPr>
      <w:r>
        <w:separator/>
      </w:r>
    </w:p>
  </w:footnote>
  <w:footnote w:type="continuationSeparator" w:id="0">
    <w:p w14:paraId="61107723" w14:textId="77777777" w:rsidR="00F037E1" w:rsidRDefault="00F037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568808805">
    <w:abstractNumId w:val="8"/>
  </w:num>
  <w:num w:numId="2" w16cid:durableId="475336941">
    <w:abstractNumId w:val="6"/>
  </w:num>
  <w:num w:numId="3" w16cid:durableId="618342986">
    <w:abstractNumId w:val="5"/>
  </w:num>
  <w:num w:numId="4" w16cid:durableId="1002271545">
    <w:abstractNumId w:val="4"/>
  </w:num>
  <w:num w:numId="5" w16cid:durableId="382288210">
    <w:abstractNumId w:val="7"/>
  </w:num>
  <w:num w:numId="6" w16cid:durableId="1506165213">
    <w:abstractNumId w:val="3"/>
  </w:num>
  <w:num w:numId="7" w16cid:durableId="1793669353">
    <w:abstractNumId w:val="2"/>
  </w:num>
  <w:num w:numId="8" w16cid:durableId="1414278199">
    <w:abstractNumId w:val="1"/>
  </w:num>
  <w:num w:numId="9" w16cid:durableId="368457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0038"/>
    <w:rsid w:val="00AA1D8D"/>
    <w:rsid w:val="00B40813"/>
    <w:rsid w:val="00B47730"/>
    <w:rsid w:val="00CB0664"/>
    <w:rsid w:val="00CC2AD3"/>
    <w:rsid w:val="00F037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4DDD56"/>
  <w14:defaultImageDpi w14:val="300"/>
  <w15:docId w15:val="{AE38C07C-97B3-4B38-BB16-967E3DB45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2132</Words>
  <Characters>11730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Mohamed Vall El Kebir</cp:lastModifiedBy>
  <cp:revision>2</cp:revision>
  <dcterms:created xsi:type="dcterms:W3CDTF">2013-12-23T23:15:00Z</dcterms:created>
  <dcterms:modified xsi:type="dcterms:W3CDTF">2026-08-25T15:08:00Z</dcterms:modified>
  <cp:category/>
</cp:coreProperties>
</file>