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Table S1.</w:t>
      </w:r>
      <w:r>
        <w:t xml:space="preserve"> </w:t>
      </w:r>
      <w:r>
        <w:t xml:space="preserve">Anatomical substrate of infective endocarditis, by period</w:t>
      </w:r>
    </w:p>
    <w:tbl>
      <w:tblPr>
        <w:tblStyle w:val="Table"/>
        <w:tblW w:type="pct" w:w="500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Variable</w:t>
            </w:r>
          </w:p>
        </w:tc>
        <w:tc>
          <w:tcPr/>
          <w:p>
            <w:pPr>
              <w:pStyle w:val="Compact"/>
              <w:jc w:val="left"/>
            </w:pPr>
            <w:r>
              <w:t xml:space="preserve">Total</w:t>
            </w:r>
          </w:p>
        </w:tc>
        <w:tc>
          <w:tcPr/>
          <w:p>
            <w:pPr>
              <w:pStyle w:val="Compact"/>
              <w:jc w:val="left"/>
            </w:pPr>
            <w:r>
              <w:t xml:space="preserve">Pre-pandemic</w:t>
            </w:r>
          </w:p>
        </w:tc>
        <w:tc>
          <w:tcPr/>
          <w:p>
            <w:pPr>
              <w:pStyle w:val="Compact"/>
              <w:jc w:val="left"/>
            </w:pPr>
            <w:r>
              <w:t xml:space="preserve">Pandemic</w:t>
            </w:r>
          </w:p>
        </w:tc>
        <w:tc>
          <w:tcPr/>
          <w:p>
            <w:pPr>
              <w:pStyle w:val="Compact"/>
              <w:jc w:val="left"/>
            </w:pPr>
            <w:r>
              <w:t xml:space="preserve">Post-pandemic</w:t>
            </w:r>
          </w:p>
        </w:tc>
        <w:tc>
          <w:tcPr/>
          <w:p>
            <w:pPr>
              <w:pStyle w:val="Compact"/>
              <w:jc w:val="left"/>
            </w:pPr>
            <w:r>
              <w:t xml:space="preserve">p</w:t>
            </w:r>
          </w:p>
        </w:tc>
      </w:tr>
      <w:tr>
        <w:tc>
          <w:tcPr/>
          <w:p>
            <w:pPr>
              <w:pStyle w:val="Compact"/>
              <w:jc w:val="left"/>
            </w:pPr>
            <w:r>
              <w:rPr>
                <w:bCs/>
                <w:b/>
              </w:rPr>
              <w:t xml:space="preserve">Side involved</w:t>
            </w:r>
            <w:r>
              <w:t xml:space="preserve"> </w:t>
            </w:r>
            <w:r>
              <w:t xml:space="preserve">(n = 86 / 36 / 67)</w:t>
            </w:r>
          </w:p>
        </w:tc>
        <w:tc>
          <w:tcPr/>
          <w:p>
            <w:pPr>
              <w:pStyle w:val="Compact"/>
            </w:pPr>
          </w:p>
        </w:tc>
        <w:tc>
          <w:tcPr/>
          <w:p>
            <w:pPr>
              <w:pStyle w:val="Compact"/>
            </w:pPr>
          </w:p>
        </w:tc>
        <w:tc>
          <w:tcPr/>
          <w:p>
            <w:pPr>
              <w:pStyle w:val="Compact"/>
            </w:pPr>
          </w:p>
        </w:tc>
        <w:tc>
          <w:tcPr/>
          <w:p>
            <w:pPr>
              <w:pStyle w:val="Compact"/>
            </w:pPr>
          </w:p>
        </w:tc>
        <w:tc>
          <w:tcPr/>
          <w:p>
            <w:pPr>
              <w:pStyle w:val="Compact"/>
              <w:jc w:val="left"/>
            </w:pPr>
            <w:r>
              <w:t xml:space="preserve">0.945</w:t>
            </w:r>
          </w:p>
        </w:tc>
      </w:tr>
      <w:tr>
        <w:tc>
          <w:tcPr/>
          <w:p>
            <w:pPr>
              <w:pStyle w:val="Compact"/>
              <w:jc w:val="left"/>
            </w:pPr>
            <w:r>
              <w:t xml:space="preserve">Left-sided, n (%)</w:t>
            </w:r>
          </w:p>
        </w:tc>
        <w:tc>
          <w:tcPr/>
          <w:p>
            <w:pPr>
              <w:pStyle w:val="Compact"/>
              <w:jc w:val="left"/>
            </w:pPr>
            <w:r>
              <w:t xml:space="preserve">148 (78.3)</w:t>
            </w:r>
          </w:p>
        </w:tc>
        <w:tc>
          <w:tcPr/>
          <w:p>
            <w:pPr>
              <w:pStyle w:val="Compact"/>
              <w:jc w:val="left"/>
            </w:pPr>
            <w:r>
              <w:t xml:space="preserve">69 (80.2)</w:t>
            </w:r>
          </w:p>
        </w:tc>
        <w:tc>
          <w:tcPr/>
          <w:p>
            <w:pPr>
              <w:pStyle w:val="Compact"/>
              <w:jc w:val="left"/>
            </w:pPr>
            <w:r>
              <w:t xml:space="preserve">29 (80.6)</w:t>
            </w:r>
          </w:p>
        </w:tc>
        <w:tc>
          <w:tcPr/>
          <w:p>
            <w:pPr>
              <w:pStyle w:val="Compact"/>
              <w:jc w:val="left"/>
            </w:pPr>
            <w:r>
              <w:t xml:space="preserve">50 (74.6)</w:t>
            </w:r>
          </w:p>
        </w:tc>
        <w:tc>
          <w:tcPr/>
          <w:p>
            <w:pPr>
              <w:pStyle w:val="Compact"/>
            </w:pPr>
          </w:p>
        </w:tc>
      </w:tr>
      <w:tr>
        <w:tc>
          <w:tcPr/>
          <w:p>
            <w:pPr>
              <w:pStyle w:val="Compact"/>
              <w:jc w:val="left"/>
            </w:pPr>
            <w:r>
              <w:t xml:space="preserve">Right-sided, n (%)</w:t>
            </w:r>
          </w:p>
        </w:tc>
        <w:tc>
          <w:tcPr/>
          <w:p>
            <w:pPr>
              <w:pStyle w:val="Compact"/>
              <w:jc w:val="left"/>
            </w:pPr>
            <w:r>
              <w:t xml:space="preserve">36 (19.0)</w:t>
            </w:r>
          </w:p>
        </w:tc>
        <w:tc>
          <w:tcPr/>
          <w:p>
            <w:pPr>
              <w:pStyle w:val="Compact"/>
              <w:jc w:val="left"/>
            </w:pPr>
            <w:r>
              <w:t xml:space="preserve">15 (17.4)</w:t>
            </w:r>
          </w:p>
        </w:tc>
        <w:tc>
          <w:tcPr/>
          <w:p>
            <w:pPr>
              <w:pStyle w:val="Compact"/>
              <w:jc w:val="left"/>
            </w:pPr>
            <w:r>
              <w:t xml:space="preserve">6 (16.7)</w:t>
            </w:r>
          </w:p>
        </w:tc>
        <w:tc>
          <w:tcPr/>
          <w:p>
            <w:pPr>
              <w:pStyle w:val="Compact"/>
              <w:jc w:val="left"/>
            </w:pPr>
            <w:r>
              <w:t xml:space="preserve">15 (22.4)</w:t>
            </w:r>
          </w:p>
        </w:tc>
        <w:tc>
          <w:tcPr/>
          <w:p>
            <w:pPr>
              <w:pStyle w:val="Compact"/>
            </w:pPr>
          </w:p>
        </w:tc>
      </w:tr>
      <w:tr>
        <w:tc>
          <w:tcPr/>
          <w:p>
            <w:pPr>
              <w:pStyle w:val="Compact"/>
              <w:jc w:val="left"/>
            </w:pPr>
            <w:r>
              <w:t xml:space="preserve">Bilateral, n (%)</w:t>
            </w:r>
          </w:p>
        </w:tc>
        <w:tc>
          <w:tcPr/>
          <w:p>
            <w:pPr>
              <w:pStyle w:val="Compact"/>
              <w:jc w:val="left"/>
            </w:pPr>
            <w:r>
              <w:t xml:space="preserve">5 (2.6)</w:t>
            </w:r>
          </w:p>
        </w:tc>
        <w:tc>
          <w:tcPr/>
          <w:p>
            <w:pPr>
              <w:pStyle w:val="Compact"/>
              <w:jc w:val="left"/>
            </w:pPr>
            <w:r>
              <w:t xml:space="preserve">2 (2.3)</w:t>
            </w:r>
          </w:p>
        </w:tc>
        <w:tc>
          <w:tcPr/>
          <w:p>
            <w:pPr>
              <w:pStyle w:val="Compact"/>
              <w:jc w:val="left"/>
            </w:pPr>
            <w:r>
              <w:t xml:space="preserve">1 (2.8)</w:t>
            </w:r>
          </w:p>
        </w:tc>
        <w:tc>
          <w:tcPr/>
          <w:p>
            <w:pPr>
              <w:pStyle w:val="Compact"/>
              <w:jc w:val="left"/>
            </w:pPr>
            <w:r>
              <w:t xml:space="preserve">2 (3.0)</w:t>
            </w:r>
          </w:p>
        </w:tc>
        <w:tc>
          <w:tcPr/>
          <w:p>
            <w:pPr>
              <w:pStyle w:val="Compact"/>
            </w:pPr>
          </w:p>
        </w:tc>
      </w:tr>
      <w:tr>
        <w:tc>
          <w:tcPr/>
          <w:p>
            <w:pPr>
              <w:pStyle w:val="Compact"/>
              <w:jc w:val="left"/>
            </w:pPr>
            <w:r>
              <w:rPr>
                <w:bCs/>
                <w:b/>
              </w:rPr>
              <w:t xml:space="preserve">Site of infection</w:t>
            </w:r>
            <w:r>
              <w:t xml:space="preserve"> </w:t>
            </w:r>
            <w:r>
              <w:t xml:space="preserve">(n = 86 / 36 / 66)</w:t>
            </w:r>
          </w:p>
        </w:tc>
        <w:tc>
          <w:tcPr/>
          <w:p>
            <w:pPr>
              <w:pStyle w:val="Compact"/>
            </w:pPr>
          </w:p>
        </w:tc>
        <w:tc>
          <w:tcPr/>
          <w:p>
            <w:pPr>
              <w:pStyle w:val="Compact"/>
            </w:pPr>
          </w:p>
        </w:tc>
        <w:tc>
          <w:tcPr/>
          <w:p>
            <w:pPr>
              <w:pStyle w:val="Compact"/>
            </w:pPr>
          </w:p>
        </w:tc>
        <w:tc>
          <w:tcPr/>
          <w:p>
            <w:pPr>
              <w:pStyle w:val="Compact"/>
            </w:pPr>
          </w:p>
        </w:tc>
        <w:tc>
          <w:tcPr/>
          <w:p>
            <w:pPr>
              <w:pStyle w:val="Compact"/>
              <w:jc w:val="left"/>
            </w:pPr>
            <w:r>
              <w:t xml:space="preserve">0.924</w:t>
            </w:r>
          </w:p>
        </w:tc>
      </w:tr>
      <w:tr>
        <w:tc>
          <w:tcPr/>
          <w:p>
            <w:pPr>
              <w:pStyle w:val="Compact"/>
              <w:jc w:val="left"/>
            </w:pPr>
            <w:r>
              <w:t xml:space="preserve">Aortic valve, n (%)</w:t>
            </w:r>
          </w:p>
        </w:tc>
        <w:tc>
          <w:tcPr/>
          <w:p>
            <w:pPr>
              <w:pStyle w:val="Compact"/>
              <w:jc w:val="left"/>
            </w:pPr>
            <w:r>
              <w:t xml:space="preserve">90 (47.9)</w:t>
            </w:r>
          </w:p>
        </w:tc>
        <w:tc>
          <w:tcPr/>
          <w:p>
            <w:pPr>
              <w:pStyle w:val="Compact"/>
              <w:jc w:val="left"/>
            </w:pPr>
            <w:r>
              <w:t xml:space="preserve">39 (45.3)</w:t>
            </w:r>
          </w:p>
        </w:tc>
        <w:tc>
          <w:tcPr/>
          <w:p>
            <w:pPr>
              <w:pStyle w:val="Compact"/>
              <w:jc w:val="left"/>
            </w:pPr>
            <w:r>
              <w:t xml:space="preserve">20 (55.6)</w:t>
            </w:r>
          </w:p>
        </w:tc>
        <w:tc>
          <w:tcPr/>
          <w:p>
            <w:pPr>
              <w:pStyle w:val="Compact"/>
              <w:jc w:val="left"/>
            </w:pPr>
            <w:r>
              <w:t xml:space="preserve">31 (47.0)</w:t>
            </w:r>
          </w:p>
        </w:tc>
        <w:tc>
          <w:tcPr/>
          <w:p>
            <w:pPr>
              <w:pStyle w:val="Compact"/>
            </w:pPr>
          </w:p>
        </w:tc>
      </w:tr>
      <w:tr>
        <w:tc>
          <w:tcPr/>
          <w:p>
            <w:pPr>
              <w:pStyle w:val="Compact"/>
              <w:jc w:val="left"/>
            </w:pPr>
            <w:r>
              <w:t xml:space="preserve">Mitral valve, n (%)</w:t>
            </w:r>
          </w:p>
        </w:tc>
        <w:tc>
          <w:tcPr/>
          <w:p>
            <w:pPr>
              <w:pStyle w:val="Compact"/>
              <w:jc w:val="left"/>
            </w:pPr>
            <w:r>
              <w:t xml:space="preserve">56 (29.8)</w:t>
            </w:r>
          </w:p>
        </w:tc>
        <w:tc>
          <w:tcPr/>
          <w:p>
            <w:pPr>
              <w:pStyle w:val="Compact"/>
              <w:jc w:val="left"/>
            </w:pPr>
            <w:r>
              <w:t xml:space="preserve">29 (33.7)</w:t>
            </w:r>
          </w:p>
        </w:tc>
        <w:tc>
          <w:tcPr/>
          <w:p>
            <w:pPr>
              <w:pStyle w:val="Compact"/>
              <w:jc w:val="left"/>
            </w:pPr>
            <w:r>
              <w:t xml:space="preserve">9 (25.0)</w:t>
            </w:r>
          </w:p>
        </w:tc>
        <w:tc>
          <w:tcPr/>
          <w:p>
            <w:pPr>
              <w:pStyle w:val="Compact"/>
              <w:jc w:val="left"/>
            </w:pPr>
            <w:r>
              <w:t xml:space="preserve">18 (27.3)</w:t>
            </w:r>
          </w:p>
        </w:tc>
        <w:tc>
          <w:tcPr/>
          <w:p>
            <w:pPr>
              <w:pStyle w:val="Compact"/>
            </w:pPr>
          </w:p>
        </w:tc>
      </w:tr>
      <w:tr>
        <w:tc>
          <w:tcPr/>
          <w:p>
            <w:pPr>
              <w:pStyle w:val="Compact"/>
              <w:jc w:val="left"/>
            </w:pPr>
            <w:r>
              <w:t xml:space="preserve">Tricuspid valve, n (%)</w:t>
            </w:r>
          </w:p>
        </w:tc>
        <w:tc>
          <w:tcPr/>
          <w:p>
            <w:pPr>
              <w:pStyle w:val="Compact"/>
              <w:jc w:val="left"/>
            </w:pPr>
            <w:r>
              <w:t xml:space="preserve">24 (12.8)</w:t>
            </w:r>
          </w:p>
        </w:tc>
        <w:tc>
          <w:tcPr/>
          <w:p>
            <w:pPr>
              <w:pStyle w:val="Compact"/>
              <w:jc w:val="left"/>
            </w:pPr>
            <w:r>
              <w:t xml:space="preserve">10 (11.6)</w:t>
            </w:r>
          </w:p>
        </w:tc>
        <w:tc>
          <w:tcPr/>
          <w:p>
            <w:pPr>
              <w:pStyle w:val="Compact"/>
              <w:jc w:val="left"/>
            </w:pPr>
            <w:r>
              <w:t xml:space="preserve">3 (8.3)</w:t>
            </w:r>
          </w:p>
        </w:tc>
        <w:tc>
          <w:tcPr/>
          <w:p>
            <w:pPr>
              <w:pStyle w:val="Compact"/>
              <w:jc w:val="left"/>
            </w:pPr>
            <w:r>
              <w:t xml:space="preserve">11 (16.7)</w:t>
            </w:r>
          </w:p>
        </w:tc>
        <w:tc>
          <w:tcPr/>
          <w:p>
            <w:pPr>
              <w:pStyle w:val="Compact"/>
            </w:pPr>
          </w:p>
        </w:tc>
      </w:tr>
      <w:tr>
        <w:tc>
          <w:tcPr/>
          <w:p>
            <w:pPr>
              <w:pStyle w:val="Compact"/>
              <w:jc w:val="left"/>
            </w:pPr>
            <w:r>
              <w:t xml:space="preserve">Multivalvular, n (%)</w:t>
            </w:r>
          </w:p>
        </w:tc>
        <w:tc>
          <w:tcPr/>
          <w:p>
            <w:pPr>
              <w:pStyle w:val="Compact"/>
              <w:jc w:val="left"/>
            </w:pPr>
            <w:r>
              <w:t xml:space="preserve">7 (3.7)</w:t>
            </w:r>
          </w:p>
        </w:tc>
        <w:tc>
          <w:tcPr/>
          <w:p>
            <w:pPr>
              <w:pStyle w:val="Compact"/>
              <w:jc w:val="left"/>
            </w:pPr>
            <w:r>
              <w:t xml:space="preserve">3 (3.5)</w:t>
            </w:r>
          </w:p>
        </w:tc>
        <w:tc>
          <w:tcPr/>
          <w:p>
            <w:pPr>
              <w:pStyle w:val="Compact"/>
              <w:jc w:val="left"/>
            </w:pPr>
            <w:r>
              <w:t xml:space="preserve">2 (5.6)</w:t>
            </w:r>
          </w:p>
        </w:tc>
        <w:tc>
          <w:tcPr/>
          <w:p>
            <w:pPr>
              <w:pStyle w:val="Compact"/>
              <w:jc w:val="left"/>
            </w:pPr>
            <w:r>
              <w:t xml:space="preserve">2 (3.0)</w:t>
            </w:r>
          </w:p>
        </w:tc>
        <w:tc>
          <w:tcPr/>
          <w:p>
            <w:pPr>
              <w:pStyle w:val="Compact"/>
            </w:pPr>
          </w:p>
        </w:tc>
      </w:tr>
      <w:tr>
        <w:tc>
          <w:tcPr/>
          <w:p>
            <w:pPr>
              <w:pStyle w:val="Compact"/>
              <w:jc w:val="left"/>
            </w:pPr>
            <w:r>
              <w:t xml:space="preserve">Device lead only, n (%)</w:t>
            </w:r>
          </w:p>
        </w:tc>
        <w:tc>
          <w:tcPr/>
          <w:p>
            <w:pPr>
              <w:pStyle w:val="Compact"/>
              <w:jc w:val="left"/>
            </w:pPr>
            <w:r>
              <w:t xml:space="preserve">11 (5.9)</w:t>
            </w:r>
          </w:p>
        </w:tc>
        <w:tc>
          <w:tcPr/>
          <w:p>
            <w:pPr>
              <w:pStyle w:val="Compact"/>
              <w:jc w:val="left"/>
            </w:pPr>
            <w:r>
              <w:t xml:space="preserve">5 (5.8)</w:t>
            </w:r>
          </w:p>
        </w:tc>
        <w:tc>
          <w:tcPr/>
          <w:p>
            <w:pPr>
              <w:pStyle w:val="Compact"/>
              <w:jc w:val="left"/>
            </w:pPr>
            <w:r>
              <w:t xml:space="preserve">2 (5.6)</w:t>
            </w:r>
          </w:p>
        </w:tc>
        <w:tc>
          <w:tcPr/>
          <w:p>
            <w:pPr>
              <w:pStyle w:val="Compact"/>
              <w:jc w:val="left"/>
            </w:pPr>
            <w:r>
              <w:t xml:space="preserve">4 (6.1)</w:t>
            </w:r>
          </w:p>
        </w:tc>
        <w:tc>
          <w:tcPr/>
          <w:p>
            <w:pPr>
              <w:pStyle w:val="Compact"/>
            </w:pPr>
          </w:p>
        </w:tc>
      </w:tr>
      <w:tr>
        <w:tc>
          <w:tcPr/>
          <w:p>
            <w:pPr>
              <w:pStyle w:val="Compact"/>
              <w:jc w:val="left"/>
            </w:pPr>
            <w:r>
              <w:rPr>
                <w:bCs/>
                <w:b/>
              </w:rPr>
              <w:t xml:space="preserve">Type of substrate</w:t>
            </w:r>
            <w:r>
              <w:t xml:space="preserve"> </w:t>
            </w:r>
            <w:r>
              <w:t xml:space="preserve">(n = 86 / 34 / 66)</w:t>
            </w:r>
          </w:p>
        </w:tc>
        <w:tc>
          <w:tcPr/>
          <w:p>
            <w:pPr>
              <w:pStyle w:val="Compact"/>
            </w:pPr>
          </w:p>
        </w:tc>
        <w:tc>
          <w:tcPr/>
          <w:p>
            <w:pPr>
              <w:pStyle w:val="Compact"/>
            </w:pPr>
          </w:p>
        </w:tc>
        <w:tc>
          <w:tcPr/>
          <w:p>
            <w:pPr>
              <w:pStyle w:val="Compact"/>
            </w:pPr>
          </w:p>
        </w:tc>
        <w:tc>
          <w:tcPr/>
          <w:p>
            <w:pPr>
              <w:pStyle w:val="Compact"/>
            </w:pPr>
          </w:p>
        </w:tc>
        <w:tc>
          <w:tcPr/>
          <w:p>
            <w:pPr>
              <w:pStyle w:val="Compact"/>
              <w:jc w:val="left"/>
            </w:pPr>
            <w:r>
              <w:t xml:space="preserve">0.704</w:t>
            </w:r>
          </w:p>
        </w:tc>
      </w:tr>
      <w:tr>
        <w:tc>
          <w:tcPr/>
          <w:p>
            <w:pPr>
              <w:pStyle w:val="Compact"/>
              <w:jc w:val="left"/>
            </w:pPr>
            <w:r>
              <w:t xml:space="preserve">Native valve, n (%)</w:t>
            </w:r>
          </w:p>
        </w:tc>
        <w:tc>
          <w:tcPr/>
          <w:p>
            <w:pPr>
              <w:pStyle w:val="Compact"/>
              <w:jc w:val="left"/>
            </w:pPr>
            <w:r>
              <w:t xml:space="preserve">126 (67.7)</w:t>
            </w:r>
          </w:p>
        </w:tc>
        <w:tc>
          <w:tcPr/>
          <w:p>
            <w:pPr>
              <w:pStyle w:val="Compact"/>
              <w:jc w:val="left"/>
            </w:pPr>
            <w:r>
              <w:t xml:space="preserve">56 (65.1)</w:t>
            </w:r>
          </w:p>
        </w:tc>
        <w:tc>
          <w:tcPr/>
          <w:p>
            <w:pPr>
              <w:pStyle w:val="Compact"/>
              <w:jc w:val="left"/>
            </w:pPr>
            <w:r>
              <w:t xml:space="preserve">21 (61.8)</w:t>
            </w:r>
          </w:p>
        </w:tc>
        <w:tc>
          <w:tcPr/>
          <w:p>
            <w:pPr>
              <w:pStyle w:val="Compact"/>
              <w:jc w:val="left"/>
            </w:pPr>
            <w:r>
              <w:t xml:space="preserve">49 (74.2)</w:t>
            </w:r>
          </w:p>
        </w:tc>
        <w:tc>
          <w:tcPr/>
          <w:p>
            <w:pPr>
              <w:pStyle w:val="Compact"/>
            </w:pPr>
          </w:p>
        </w:tc>
      </w:tr>
      <w:tr>
        <w:tc>
          <w:tcPr/>
          <w:p>
            <w:pPr>
              <w:pStyle w:val="Compact"/>
              <w:jc w:val="left"/>
            </w:pPr>
            <w:r>
              <w:t xml:space="preserve">Prosthetic valve, n (%)</w:t>
            </w:r>
          </w:p>
        </w:tc>
        <w:tc>
          <w:tcPr/>
          <w:p>
            <w:pPr>
              <w:pStyle w:val="Compact"/>
              <w:jc w:val="left"/>
            </w:pPr>
            <w:r>
              <w:t xml:space="preserve">51 (27.4)</w:t>
            </w:r>
          </w:p>
        </w:tc>
        <w:tc>
          <w:tcPr/>
          <w:p>
            <w:pPr>
              <w:pStyle w:val="Compact"/>
              <w:jc w:val="left"/>
            </w:pPr>
            <w:r>
              <w:t xml:space="preserve">26 (30.2)</w:t>
            </w:r>
          </w:p>
        </w:tc>
        <w:tc>
          <w:tcPr/>
          <w:p>
            <w:pPr>
              <w:pStyle w:val="Compact"/>
              <w:jc w:val="left"/>
            </w:pPr>
            <w:r>
              <w:t xml:space="preserve">11 (32.4)</w:t>
            </w:r>
          </w:p>
        </w:tc>
        <w:tc>
          <w:tcPr/>
          <w:p>
            <w:pPr>
              <w:pStyle w:val="Compact"/>
              <w:jc w:val="left"/>
            </w:pPr>
            <w:r>
              <w:t xml:space="preserve">14 (21.2)</w:t>
            </w:r>
          </w:p>
        </w:tc>
        <w:tc>
          <w:tcPr/>
          <w:p>
            <w:pPr>
              <w:pStyle w:val="Compact"/>
            </w:pPr>
          </w:p>
        </w:tc>
      </w:tr>
      <w:tr>
        <w:tc>
          <w:tcPr/>
          <w:p>
            <w:pPr>
              <w:pStyle w:val="Compact"/>
              <w:jc w:val="left"/>
            </w:pPr>
            <w:r>
              <w:t xml:space="preserve">Cardiac device-related (CDRIE), n (%)</w:t>
            </w:r>
          </w:p>
        </w:tc>
        <w:tc>
          <w:tcPr/>
          <w:p>
            <w:pPr>
              <w:pStyle w:val="Compact"/>
              <w:jc w:val="left"/>
            </w:pPr>
            <w:r>
              <w:t xml:space="preserve">9 (4.8)</w:t>
            </w:r>
          </w:p>
        </w:tc>
        <w:tc>
          <w:tcPr/>
          <w:p>
            <w:pPr>
              <w:pStyle w:val="Compact"/>
              <w:jc w:val="left"/>
            </w:pPr>
            <w:r>
              <w:t xml:space="preserve">4 (4.7)</w:t>
            </w:r>
          </w:p>
        </w:tc>
        <w:tc>
          <w:tcPr/>
          <w:p>
            <w:pPr>
              <w:pStyle w:val="Compact"/>
              <w:jc w:val="left"/>
            </w:pPr>
            <w:r>
              <w:t xml:space="preserve">2 (5.9)</w:t>
            </w:r>
          </w:p>
        </w:tc>
        <w:tc>
          <w:tcPr/>
          <w:p>
            <w:pPr>
              <w:pStyle w:val="Compact"/>
              <w:jc w:val="left"/>
            </w:pPr>
            <w:r>
              <w:t xml:space="preserve">3 (4.5)</w:t>
            </w:r>
          </w:p>
        </w:tc>
        <w:tc>
          <w:tcPr/>
          <w:p>
            <w:pPr>
              <w:pStyle w:val="Compact"/>
            </w:pPr>
          </w:p>
        </w:tc>
      </w:tr>
    </w:tbl>
    <w:p>
      <w:pPr>
        <w:pStyle w:val="BodyText"/>
      </w:pPr>
      <w:r>
        <w:t xml:space="preserve">Percentages are calculated on the number of patients with the variable recorded in each period; denominators are given in the bold sub-heading of each block. Each p-value refers to the comparison of the whole distribution across the three periods (margin-preserving permutation test, 20,000 replicates). No patient had isolated pulmonary valve involvement.</w:t>
      </w:r>
    </w:p>
    <w:p>
      <w:pPr>
        <w:pStyle w:val="BodyText"/>
      </w:pPr>
      <w:r>
        <w:t xml:space="preserve">The site of infection was not recorded for one post-pandemic patient, and the type of substrate for two pandemic and one post-pandemic patient. The anatomical substrate did not differ across the three periods on any of the three comparisons.</w:t>
      </w:r>
    </w:p>
    <w:p>
      <w:pPr>
        <w:pStyle w:val="BodyText"/>
      </w:pPr>
      <w:r>
        <w:t xml:space="preserve">CDRIE, cardiac device-related infective endocarditis.</w:t>
      </w:r>
    </w:p>
    <w:p>
      <w:r>
        <w:pict>
          <v:rect style="width:0;height:1.5pt" o:hralign="center" o:hrstd="t" o:hr="t"/>
        </w:pict>
      </w:r>
    </w:p>
    <w:p>
      <w:pPr>
        <w:pStyle w:val="FirstParagraph"/>
      </w:pPr>
      <w:r>
        <w:rPr>
          <w:bCs/>
          <w:b/>
        </w:rPr>
        <w:t xml:space="preserve">Table S2.</w:t>
      </w:r>
      <w:r>
        <w:t xml:space="preserve"> </w:t>
      </w:r>
      <w:r>
        <w:t xml:space="preserve">Surgical indication, performance and timing, by period</w:t>
      </w:r>
    </w:p>
    <w:tbl>
      <w:tblPr>
        <w:tblStyle w:val="Table"/>
        <w:tblW w:type="pct" w:w="500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Variable</w:t>
            </w:r>
          </w:p>
        </w:tc>
        <w:tc>
          <w:tcPr/>
          <w:p>
            <w:pPr>
              <w:pStyle w:val="Compact"/>
              <w:jc w:val="left"/>
            </w:pPr>
            <w:r>
              <w:t xml:space="preserve">Total</w:t>
            </w:r>
          </w:p>
        </w:tc>
        <w:tc>
          <w:tcPr/>
          <w:p>
            <w:pPr>
              <w:pStyle w:val="Compact"/>
              <w:jc w:val="left"/>
            </w:pPr>
            <w:r>
              <w:t xml:space="preserve">Pre-pandemic</w:t>
            </w:r>
          </w:p>
        </w:tc>
        <w:tc>
          <w:tcPr/>
          <w:p>
            <w:pPr>
              <w:pStyle w:val="Compact"/>
              <w:jc w:val="left"/>
            </w:pPr>
            <w:r>
              <w:t xml:space="preserve">Pandemic</w:t>
            </w:r>
          </w:p>
        </w:tc>
        <w:tc>
          <w:tcPr/>
          <w:p>
            <w:pPr>
              <w:pStyle w:val="Compact"/>
              <w:jc w:val="left"/>
            </w:pPr>
            <w:r>
              <w:t xml:space="preserve">Post-pandemic</w:t>
            </w:r>
          </w:p>
        </w:tc>
        <w:tc>
          <w:tcPr/>
          <w:p>
            <w:pPr>
              <w:pStyle w:val="Compact"/>
              <w:jc w:val="left"/>
            </w:pPr>
            <w:r>
              <w:t xml:space="preserve">p</w:t>
            </w:r>
          </w:p>
        </w:tc>
      </w:tr>
      <w:tr>
        <w:tc>
          <w:tcPr/>
          <w:p>
            <w:pPr>
              <w:pStyle w:val="Compact"/>
              <w:jc w:val="left"/>
            </w:pPr>
            <w:r>
              <w:rPr>
                <w:bCs/>
                <w:b/>
              </w:rPr>
              <w:t xml:space="preserve">All patients</w:t>
            </w:r>
            <w:r>
              <w:t xml:space="preserve"> </w:t>
            </w:r>
            <w:r>
              <w:t xml:space="preserve">(n = 86 / 36 / 67)</w:t>
            </w:r>
          </w:p>
        </w:tc>
        <w:tc>
          <w:tcPr/>
          <w:p>
            <w:pPr>
              <w:pStyle w:val="Compact"/>
            </w:pPr>
          </w:p>
        </w:tc>
        <w:tc>
          <w:tcPr/>
          <w:p>
            <w:pPr>
              <w:pStyle w:val="Compact"/>
            </w:pPr>
          </w:p>
        </w:tc>
        <w:tc>
          <w:tcPr/>
          <w:p>
            <w:pPr>
              <w:pStyle w:val="Compact"/>
            </w:pPr>
          </w:p>
        </w:tc>
        <w:tc>
          <w:tcPr/>
          <w:p>
            <w:pPr>
              <w:pStyle w:val="Compact"/>
            </w:pPr>
          </w:p>
        </w:tc>
        <w:tc>
          <w:tcPr/>
          <w:p>
            <w:pPr>
              <w:pStyle w:val="Compact"/>
              <w:jc w:val="left"/>
            </w:pPr>
            <w:r>
              <w:rPr>
                <w:bCs/>
                <w:b/>
              </w:rPr>
              <w:t xml:space="preserve">&lt;0.001</w:t>
            </w:r>
          </w:p>
        </w:tc>
      </w:tr>
      <w:tr>
        <w:tc>
          <w:tcPr/>
          <w:p>
            <w:pPr>
              <w:pStyle w:val="Compact"/>
              <w:jc w:val="left"/>
            </w:pPr>
            <w:r>
              <w:t xml:space="preserve">Surgical indication present, n (%)</w:t>
            </w:r>
          </w:p>
        </w:tc>
        <w:tc>
          <w:tcPr/>
          <w:p>
            <w:pPr>
              <w:pStyle w:val="Compact"/>
              <w:jc w:val="left"/>
            </w:pPr>
            <w:r>
              <w:t xml:space="preserve">116 (61.4)</w:t>
            </w:r>
          </w:p>
        </w:tc>
        <w:tc>
          <w:tcPr/>
          <w:p>
            <w:pPr>
              <w:pStyle w:val="Compact"/>
              <w:jc w:val="left"/>
            </w:pPr>
            <w:r>
              <w:t xml:space="preserve">38 (44.2)</w:t>
            </w:r>
          </w:p>
        </w:tc>
        <w:tc>
          <w:tcPr/>
          <w:p>
            <w:pPr>
              <w:pStyle w:val="Compact"/>
              <w:jc w:val="left"/>
            </w:pPr>
            <w:r>
              <w:t xml:space="preserve">26 (72.2)</w:t>
            </w:r>
          </w:p>
        </w:tc>
        <w:tc>
          <w:tcPr/>
          <w:p>
            <w:pPr>
              <w:pStyle w:val="Compact"/>
              <w:jc w:val="left"/>
            </w:pPr>
            <w:r>
              <w:t xml:space="preserve">52 (77.6)</w:t>
            </w:r>
          </w:p>
        </w:tc>
        <w:tc>
          <w:tcPr/>
          <w:p>
            <w:pPr>
              <w:pStyle w:val="Compact"/>
            </w:pPr>
          </w:p>
        </w:tc>
      </w:tr>
      <w:tr>
        <w:tc>
          <w:tcPr/>
          <w:p>
            <w:pPr>
              <w:pStyle w:val="Compact"/>
              <w:jc w:val="left"/>
            </w:pPr>
            <w:r>
              <w:t xml:space="preserve">No surgical indication, n (%)</w:t>
            </w:r>
          </w:p>
        </w:tc>
        <w:tc>
          <w:tcPr/>
          <w:p>
            <w:pPr>
              <w:pStyle w:val="Compact"/>
              <w:jc w:val="left"/>
            </w:pPr>
            <w:r>
              <w:t xml:space="preserve">73 (38.6)</w:t>
            </w:r>
          </w:p>
        </w:tc>
        <w:tc>
          <w:tcPr/>
          <w:p>
            <w:pPr>
              <w:pStyle w:val="Compact"/>
              <w:jc w:val="left"/>
            </w:pPr>
            <w:r>
              <w:t xml:space="preserve">48 (55.8)</w:t>
            </w:r>
          </w:p>
        </w:tc>
        <w:tc>
          <w:tcPr/>
          <w:p>
            <w:pPr>
              <w:pStyle w:val="Compact"/>
              <w:jc w:val="left"/>
            </w:pPr>
            <w:r>
              <w:t xml:space="preserve">10 (27.8)</w:t>
            </w:r>
          </w:p>
        </w:tc>
        <w:tc>
          <w:tcPr/>
          <w:p>
            <w:pPr>
              <w:pStyle w:val="Compact"/>
              <w:jc w:val="left"/>
            </w:pPr>
            <w:r>
              <w:t xml:space="preserve">15 (22.4)</w:t>
            </w:r>
          </w:p>
        </w:tc>
        <w:tc>
          <w:tcPr/>
          <w:p>
            <w:pPr>
              <w:pStyle w:val="Compact"/>
            </w:pPr>
          </w:p>
        </w:tc>
      </w:tr>
      <w:tr>
        <w:tc>
          <w:tcPr/>
          <w:p>
            <w:pPr>
              <w:pStyle w:val="Compact"/>
              <w:jc w:val="left"/>
            </w:pPr>
            <w:r>
              <w:rPr>
                <w:bCs/>
                <w:b/>
              </w:rPr>
              <w:t xml:space="preserve">Patients with a surgical indication</w:t>
            </w:r>
            <w:r>
              <w:t xml:space="preserve"> </w:t>
            </w:r>
            <w:r>
              <w:t xml:space="preserve">(n = 38 / 26 / 52)</w:t>
            </w:r>
          </w:p>
        </w:tc>
        <w:tc>
          <w:tcPr/>
          <w:p>
            <w:pPr>
              <w:pStyle w:val="Compact"/>
            </w:pPr>
          </w:p>
        </w:tc>
        <w:tc>
          <w:tcPr/>
          <w:p>
            <w:pPr>
              <w:pStyle w:val="Compact"/>
            </w:pPr>
          </w:p>
        </w:tc>
        <w:tc>
          <w:tcPr/>
          <w:p>
            <w:pPr>
              <w:pStyle w:val="Compact"/>
            </w:pPr>
          </w:p>
        </w:tc>
        <w:tc>
          <w:tcPr/>
          <w:p>
            <w:pPr>
              <w:pStyle w:val="Compact"/>
            </w:pPr>
          </w:p>
        </w:tc>
        <w:tc>
          <w:tcPr/>
          <w:p>
            <w:pPr>
              <w:pStyle w:val="Compact"/>
              <w:jc w:val="left"/>
            </w:pPr>
            <w:r>
              <w:t xml:space="preserve">0.446</w:t>
            </w:r>
          </w:p>
        </w:tc>
      </w:tr>
      <w:tr>
        <w:tc>
          <w:tcPr/>
          <w:p>
            <w:pPr>
              <w:pStyle w:val="Compact"/>
              <w:jc w:val="left"/>
            </w:pPr>
            <w:r>
              <w:t xml:space="preserve">Surgery performed, n (%)</w:t>
            </w:r>
          </w:p>
        </w:tc>
        <w:tc>
          <w:tcPr/>
          <w:p>
            <w:pPr>
              <w:pStyle w:val="Compact"/>
              <w:jc w:val="left"/>
            </w:pPr>
            <w:r>
              <w:t xml:space="preserve">81 (69.8)</w:t>
            </w:r>
          </w:p>
        </w:tc>
        <w:tc>
          <w:tcPr/>
          <w:p>
            <w:pPr>
              <w:pStyle w:val="Compact"/>
              <w:jc w:val="left"/>
            </w:pPr>
            <w:r>
              <w:t xml:space="preserve">29 (76.3)</w:t>
            </w:r>
          </w:p>
        </w:tc>
        <w:tc>
          <w:tcPr/>
          <w:p>
            <w:pPr>
              <w:pStyle w:val="Compact"/>
              <w:jc w:val="left"/>
            </w:pPr>
            <w:r>
              <w:t xml:space="preserve">16 (61.5)</w:t>
            </w:r>
          </w:p>
        </w:tc>
        <w:tc>
          <w:tcPr/>
          <w:p>
            <w:pPr>
              <w:pStyle w:val="Compact"/>
              <w:jc w:val="left"/>
            </w:pPr>
            <w:r>
              <w:t xml:space="preserve">36 (69.2)</w:t>
            </w:r>
          </w:p>
        </w:tc>
        <w:tc>
          <w:tcPr/>
          <w:p>
            <w:pPr>
              <w:pStyle w:val="Compact"/>
            </w:pPr>
          </w:p>
        </w:tc>
      </w:tr>
      <w:tr>
        <w:tc>
          <w:tcPr/>
          <w:p>
            <w:pPr>
              <w:pStyle w:val="Compact"/>
              <w:jc w:val="left"/>
            </w:pPr>
            <w:r>
              <w:t xml:space="preserve">Indicated surgery not performed, n (%)</w:t>
            </w:r>
          </w:p>
        </w:tc>
        <w:tc>
          <w:tcPr/>
          <w:p>
            <w:pPr>
              <w:pStyle w:val="Compact"/>
              <w:jc w:val="left"/>
            </w:pPr>
            <w:r>
              <w:t xml:space="preserve">35 (30.2)</w:t>
            </w:r>
          </w:p>
        </w:tc>
        <w:tc>
          <w:tcPr/>
          <w:p>
            <w:pPr>
              <w:pStyle w:val="Compact"/>
              <w:jc w:val="left"/>
            </w:pPr>
            <w:r>
              <w:t xml:space="preserve">9 (23.7)</w:t>
            </w:r>
          </w:p>
        </w:tc>
        <w:tc>
          <w:tcPr/>
          <w:p>
            <w:pPr>
              <w:pStyle w:val="Compact"/>
              <w:jc w:val="left"/>
            </w:pPr>
            <w:r>
              <w:t xml:space="preserve">10 (38.5)</w:t>
            </w:r>
          </w:p>
        </w:tc>
        <w:tc>
          <w:tcPr/>
          <w:p>
            <w:pPr>
              <w:pStyle w:val="Compact"/>
              <w:jc w:val="left"/>
            </w:pPr>
            <w:r>
              <w:t xml:space="preserve">16 (30.8)</w:t>
            </w:r>
          </w:p>
        </w:tc>
        <w:tc>
          <w:tcPr/>
          <w:p>
            <w:pPr>
              <w:pStyle w:val="Compact"/>
            </w:pPr>
          </w:p>
        </w:tc>
      </w:tr>
      <w:tr>
        <w:tc>
          <w:tcPr/>
          <w:p>
            <w:pPr>
              <w:pStyle w:val="Compact"/>
              <w:jc w:val="left"/>
            </w:pPr>
            <w:r>
              <w:rPr>
                <w:bCs/>
                <w:b/>
              </w:rPr>
              <w:t xml:space="preserve">Urgency of the indication</w:t>
            </w:r>
            <w:r>
              <w:t xml:space="preserve"> </w:t>
            </w:r>
            <w:r>
              <w:t xml:space="preserve">(n = 38 / 26 / 48)</w:t>
            </w:r>
          </w:p>
        </w:tc>
        <w:tc>
          <w:tcPr/>
          <w:p>
            <w:pPr>
              <w:pStyle w:val="Compact"/>
            </w:pPr>
          </w:p>
        </w:tc>
        <w:tc>
          <w:tcPr/>
          <w:p>
            <w:pPr>
              <w:pStyle w:val="Compact"/>
            </w:pPr>
          </w:p>
        </w:tc>
        <w:tc>
          <w:tcPr/>
          <w:p>
            <w:pPr>
              <w:pStyle w:val="Compact"/>
            </w:pPr>
          </w:p>
        </w:tc>
        <w:tc>
          <w:tcPr/>
          <w:p>
            <w:pPr>
              <w:pStyle w:val="Compact"/>
            </w:pPr>
          </w:p>
        </w:tc>
        <w:tc>
          <w:tcPr/>
          <w:p>
            <w:pPr>
              <w:pStyle w:val="Compact"/>
              <w:jc w:val="left"/>
            </w:pPr>
            <w:r>
              <w:rPr>
                <w:bCs/>
                <w:b/>
              </w:rPr>
              <w:t xml:space="preserve">0.002</w:t>
            </w:r>
          </w:p>
        </w:tc>
      </w:tr>
      <w:tr>
        <w:tc>
          <w:tcPr/>
          <w:p>
            <w:pPr>
              <w:pStyle w:val="Compact"/>
              <w:jc w:val="left"/>
            </w:pPr>
            <w:r>
              <w:t xml:space="preserve">Urgent, n (%)</w:t>
            </w:r>
          </w:p>
        </w:tc>
        <w:tc>
          <w:tcPr/>
          <w:p>
            <w:pPr>
              <w:pStyle w:val="Compact"/>
              <w:jc w:val="left"/>
            </w:pPr>
            <w:r>
              <w:t xml:space="preserve">91 (81.2)</w:t>
            </w:r>
          </w:p>
        </w:tc>
        <w:tc>
          <w:tcPr/>
          <w:p>
            <w:pPr>
              <w:pStyle w:val="Compact"/>
              <w:jc w:val="left"/>
            </w:pPr>
            <w:r>
              <w:t xml:space="preserve">27 (71.1)</w:t>
            </w:r>
          </w:p>
        </w:tc>
        <w:tc>
          <w:tcPr/>
          <w:p>
            <w:pPr>
              <w:pStyle w:val="Compact"/>
              <w:jc w:val="left"/>
            </w:pPr>
            <w:r>
              <w:t xml:space="preserve">19 (73.1)</w:t>
            </w:r>
          </w:p>
        </w:tc>
        <w:tc>
          <w:tcPr/>
          <w:p>
            <w:pPr>
              <w:pStyle w:val="Compact"/>
              <w:jc w:val="left"/>
            </w:pPr>
            <w:r>
              <w:t xml:space="preserve">45 (93.8)</w:t>
            </w:r>
          </w:p>
        </w:tc>
        <w:tc>
          <w:tcPr/>
          <w:p>
            <w:pPr>
              <w:pStyle w:val="Compact"/>
            </w:pPr>
          </w:p>
        </w:tc>
      </w:tr>
      <w:tr>
        <w:tc>
          <w:tcPr/>
          <w:p>
            <w:pPr>
              <w:pStyle w:val="Compact"/>
              <w:jc w:val="left"/>
            </w:pPr>
            <w:r>
              <w:t xml:space="preserve">Emergency, n (%)</w:t>
            </w:r>
          </w:p>
        </w:tc>
        <w:tc>
          <w:tcPr/>
          <w:p>
            <w:pPr>
              <w:pStyle w:val="Compact"/>
              <w:jc w:val="left"/>
            </w:pPr>
            <w:r>
              <w:t xml:space="preserve">5 (4.5)</w:t>
            </w:r>
          </w:p>
        </w:tc>
        <w:tc>
          <w:tcPr/>
          <w:p>
            <w:pPr>
              <w:pStyle w:val="Compact"/>
              <w:jc w:val="left"/>
            </w:pPr>
            <w:r>
              <w:t xml:space="preserve">0 (0.0)</w:t>
            </w:r>
          </w:p>
        </w:tc>
        <w:tc>
          <w:tcPr/>
          <w:p>
            <w:pPr>
              <w:pStyle w:val="Compact"/>
              <w:jc w:val="left"/>
            </w:pPr>
            <w:r>
              <w:t xml:space="preserve">3 (11.5)</w:t>
            </w:r>
          </w:p>
        </w:tc>
        <w:tc>
          <w:tcPr/>
          <w:p>
            <w:pPr>
              <w:pStyle w:val="Compact"/>
              <w:jc w:val="left"/>
            </w:pPr>
            <w:r>
              <w:t xml:space="preserve">2 (4.2)</w:t>
            </w:r>
          </w:p>
        </w:tc>
        <w:tc>
          <w:tcPr/>
          <w:p>
            <w:pPr>
              <w:pStyle w:val="Compact"/>
            </w:pPr>
          </w:p>
        </w:tc>
      </w:tr>
      <w:tr>
        <w:tc>
          <w:tcPr/>
          <w:p>
            <w:pPr>
              <w:pStyle w:val="Compact"/>
              <w:jc w:val="left"/>
            </w:pPr>
            <w:r>
              <w:t xml:space="preserve">Elective, n (%)</w:t>
            </w:r>
          </w:p>
        </w:tc>
        <w:tc>
          <w:tcPr/>
          <w:p>
            <w:pPr>
              <w:pStyle w:val="Compact"/>
              <w:jc w:val="left"/>
            </w:pPr>
            <w:r>
              <w:t xml:space="preserve">16 (14.3)</w:t>
            </w:r>
          </w:p>
        </w:tc>
        <w:tc>
          <w:tcPr/>
          <w:p>
            <w:pPr>
              <w:pStyle w:val="Compact"/>
              <w:jc w:val="left"/>
            </w:pPr>
            <w:r>
              <w:t xml:space="preserve">11 (28.9)</w:t>
            </w:r>
          </w:p>
        </w:tc>
        <w:tc>
          <w:tcPr/>
          <w:p>
            <w:pPr>
              <w:pStyle w:val="Compact"/>
              <w:jc w:val="left"/>
            </w:pPr>
            <w:r>
              <w:t xml:space="preserve">4 (15.4)</w:t>
            </w:r>
          </w:p>
        </w:tc>
        <w:tc>
          <w:tcPr/>
          <w:p>
            <w:pPr>
              <w:pStyle w:val="Compact"/>
              <w:jc w:val="left"/>
            </w:pPr>
            <w:r>
              <w:t xml:space="preserve">1 (2.1)</w:t>
            </w:r>
          </w:p>
        </w:tc>
        <w:tc>
          <w:tcPr/>
          <w:p>
            <w:pPr>
              <w:pStyle w:val="Compact"/>
            </w:pPr>
          </w:p>
        </w:tc>
      </w:tr>
      <w:tr>
        <w:tc>
          <w:tcPr/>
          <w:p>
            <w:pPr>
              <w:pStyle w:val="Compact"/>
              <w:jc w:val="left"/>
            </w:pPr>
            <w:r>
              <w:rPr>
                <w:bCs/>
                <w:b/>
              </w:rPr>
              <w:t xml:space="preserve">Patients undergoing surgery</w:t>
            </w:r>
            <w:r>
              <w:t xml:space="preserve"> </w:t>
            </w:r>
            <w:r>
              <w:t xml:space="preserve">(n = 29 / 16 / 35)</w:t>
            </w:r>
          </w:p>
        </w:tc>
        <w:tc>
          <w:tcPr/>
          <w:p>
            <w:pPr>
              <w:pStyle w:val="Compact"/>
            </w:pPr>
          </w:p>
        </w:tc>
        <w:tc>
          <w:tcPr/>
          <w:p>
            <w:pPr>
              <w:pStyle w:val="Compact"/>
            </w:pPr>
          </w:p>
        </w:tc>
        <w:tc>
          <w:tcPr/>
          <w:p>
            <w:pPr>
              <w:pStyle w:val="Compact"/>
            </w:pPr>
          </w:p>
        </w:tc>
        <w:tc>
          <w:tcPr/>
          <w:p>
            <w:pPr>
              <w:pStyle w:val="Compact"/>
            </w:pPr>
          </w:p>
        </w:tc>
        <w:tc>
          <w:tcPr/>
          <w:p>
            <w:pPr>
              <w:pStyle w:val="Compact"/>
              <w:jc w:val="left"/>
            </w:pPr>
            <w:r>
              <w:t xml:space="preserve">0.246</w:t>
            </w:r>
          </w:p>
        </w:tc>
      </w:tr>
      <w:tr>
        <w:tc>
          <w:tcPr/>
          <w:p>
            <w:pPr>
              <w:pStyle w:val="Compact"/>
              <w:jc w:val="left"/>
            </w:pPr>
            <w:r>
              <w:t xml:space="preserve">Surgery within the recommended time, n (%)</w:t>
            </w:r>
          </w:p>
        </w:tc>
        <w:tc>
          <w:tcPr/>
          <w:p>
            <w:pPr>
              <w:pStyle w:val="Compact"/>
              <w:jc w:val="left"/>
            </w:pPr>
            <w:r>
              <w:t xml:space="preserve">31 (38.8)</w:t>
            </w:r>
          </w:p>
        </w:tc>
        <w:tc>
          <w:tcPr/>
          <w:p>
            <w:pPr>
              <w:pStyle w:val="Compact"/>
              <w:jc w:val="left"/>
            </w:pPr>
            <w:r>
              <w:t xml:space="preserve">14 (48.3)</w:t>
            </w:r>
          </w:p>
        </w:tc>
        <w:tc>
          <w:tcPr/>
          <w:p>
            <w:pPr>
              <w:pStyle w:val="Compact"/>
              <w:jc w:val="left"/>
            </w:pPr>
            <w:r>
              <w:t xml:space="preserve">7 (43.8)</w:t>
            </w:r>
          </w:p>
        </w:tc>
        <w:tc>
          <w:tcPr/>
          <w:p>
            <w:pPr>
              <w:pStyle w:val="Compact"/>
              <w:jc w:val="left"/>
            </w:pPr>
            <w:r>
              <w:t xml:space="preserve">10 (28.6)</w:t>
            </w:r>
          </w:p>
        </w:tc>
        <w:tc>
          <w:tcPr/>
          <w:p>
            <w:pPr>
              <w:pStyle w:val="Compact"/>
            </w:pPr>
          </w:p>
        </w:tc>
      </w:tr>
      <w:tr>
        <w:tc>
          <w:tcPr/>
          <w:p>
            <w:pPr>
              <w:pStyle w:val="Compact"/>
              <w:jc w:val="left"/>
            </w:pPr>
            <w:r>
              <w:t xml:space="preserve">Surgery delayed beyond the recommended time, n (%)</w:t>
            </w:r>
          </w:p>
        </w:tc>
        <w:tc>
          <w:tcPr/>
          <w:p>
            <w:pPr>
              <w:pStyle w:val="Compact"/>
              <w:jc w:val="left"/>
            </w:pPr>
            <w:r>
              <w:t xml:space="preserve">49 (61.2)</w:t>
            </w:r>
          </w:p>
        </w:tc>
        <w:tc>
          <w:tcPr/>
          <w:p>
            <w:pPr>
              <w:pStyle w:val="Compact"/>
              <w:jc w:val="left"/>
            </w:pPr>
            <w:r>
              <w:t xml:space="preserve">15 (51.7)</w:t>
            </w:r>
          </w:p>
        </w:tc>
        <w:tc>
          <w:tcPr/>
          <w:p>
            <w:pPr>
              <w:pStyle w:val="Compact"/>
              <w:jc w:val="left"/>
            </w:pPr>
            <w:r>
              <w:t xml:space="preserve">9 (56.2)</w:t>
            </w:r>
          </w:p>
        </w:tc>
        <w:tc>
          <w:tcPr/>
          <w:p>
            <w:pPr>
              <w:pStyle w:val="Compact"/>
              <w:jc w:val="left"/>
            </w:pPr>
            <w:r>
              <w:t xml:space="preserve">25 (71.4)</w:t>
            </w:r>
          </w:p>
        </w:tc>
        <w:tc>
          <w:tcPr/>
          <w:p>
            <w:pPr>
              <w:pStyle w:val="Compact"/>
            </w:pPr>
          </w:p>
        </w:tc>
      </w:tr>
    </w:tbl>
    <w:p>
      <w:pPr>
        <w:pStyle w:val="BodyText"/>
      </w:pPr>
      <w:r>
        <w:t xml:space="preserve">Percentages are calculated on the denominator given in the bold sub-heading of each block. Recommended timing follows the ESC guidelines in force at the time of admission: within 24 hours for an emergency indication and within 48 hours for an urgent indication. Values in bold are statistically significant at p &lt; 0.05.</w:t>
      </w:r>
    </w:p>
    <w:p>
      <w:pPr>
        <w:pStyle w:val="BodyText"/>
      </w:pPr>
      <w:r>
        <w:t xml:space="preserve">The urgency of the indication was not classified for four post-pandemic patients who met a surgical indication, and the timing of surgery was not recorded for one of the 81 operated patients. Collapsing the urgency categories into urgent or emergency versus elective, the proportion of non-elective indications rose from 27/38 (71.1%) before the pandemic to 47/48 (97.9%) afterwards (p &lt; 0.001).</w:t>
      </w:r>
    </w:p>
    <w:p>
      <w:pPr>
        <w:pStyle w:val="BodyText"/>
      </w:pPr>
      <w:r>
        <w:t xml:space="preserve">In the previous version of this table, the percentages for</w:t>
      </w:r>
      <w:r>
        <w:t xml:space="preserve"> </w:t>
      </w:r>
      <w:r>
        <w:t xml:space="preserve">“</w:t>
      </w:r>
      <w:r>
        <w:t xml:space="preserve">surgery performed</w:t>
      </w:r>
      <w:r>
        <w:t xml:space="preserve">”</w:t>
      </w:r>
      <w:r>
        <w:t xml:space="preserve"> </w:t>
      </w:r>
      <w:r>
        <w:t xml:space="preserve">and</w:t>
      </w:r>
      <w:r>
        <w:t xml:space="preserve"> </w:t>
      </w:r>
      <w:r>
        <w:t xml:space="preserve">“</w:t>
      </w:r>
      <w:r>
        <w:t xml:space="preserve">indicated surgery not performed</w:t>
      </w:r>
      <w:r>
        <w:t xml:space="preserve">”</w:t>
      </w:r>
      <w:r>
        <w:t xml:space="preserve"> </w:t>
      </w:r>
      <w:r>
        <w:t xml:space="preserve">were calculated on the whole cohort in the pre-pandemic group and on patients with a surgical indication in the post-pandemic group. Recalculated on a single denominator, the difference between the pre-pandemic and post-pandemic groups is not statistically significant (9/38, 23.7% versus 16/52, 30.8%; p = 0.446 across the three periods and p = 0.459 for the pre-pandemic versus post-pandemic comparison).</w:t>
      </w:r>
    </w:p>
    <w:p>
      <w:r>
        <w:pict>
          <v:rect style="width:0;height:1.5pt" o:hralign="center" o:hrstd="t" o:hr="t"/>
        </w:pict>
      </w:r>
    </w:p>
    <w:bookmarkStart w:id="22" w:name="supplementary-material"/>
    <w:p>
      <w:pPr>
        <w:pStyle w:val="Heading1"/>
      </w:pPr>
      <w:r>
        <w:t xml:space="preserve">Supplementary Material</w:t>
      </w:r>
    </w:p>
    <w:bookmarkStart w:id="20" w:name="supplementary-methods"/>
    <w:p>
      <w:pPr>
        <w:pStyle w:val="Heading2"/>
      </w:pPr>
      <w:r>
        <w:t xml:space="preserve">Supplementary Methods</w:t>
      </w:r>
    </w:p>
    <w:p>
      <w:pPr>
        <w:pStyle w:val="FirstParagraph"/>
      </w:pPr>
      <w:r>
        <w:rPr>
          <w:bCs/>
          <w:b/>
        </w:rPr>
        <w:t xml:space="preserve">Handling of sparse contingency tables.</w:t>
      </w:r>
      <w:r>
        <w:t xml:space="preserve"> </w:t>
      </w:r>
      <w:r>
        <w:t xml:space="preserve">Where any expected cell count fell below five, the chi-square approximation is unreliable. For 2 × 2 tables the Fisher exact test was used. For larger tables an exact test by complete enumeration is computationally prohibitive, so a margin-preserving permutation test was applied: the period labels were randomly permuted across patients 20,000 times, which preserves both the row and the column margins exactly, and the two-sided p-value was taken as the proportion of permuted tables whose Pearson chi-square statistic equalled or exceeded the observed value. This approach is valid for tables of any dimension and avoids collapsing rare aetiological or anatomical categories, which would otherwise discard clinically meaningful distinctions.</w:t>
      </w:r>
    </w:p>
    <w:p>
      <w:pPr>
        <w:pStyle w:val="BodyText"/>
      </w:pPr>
      <w:r>
        <w:rPr>
          <w:bCs/>
          <w:b/>
        </w:rPr>
        <w:t xml:space="preserve">Handling of missing data.</w:t>
      </w:r>
      <w:r>
        <w:t xml:space="preserve"> </w:t>
      </w:r>
      <w:r>
        <w:t xml:space="preserve">No imputation was performed. Descriptive percentages are calculated on the number of patients in whom each variable was recorded within each period, and these denominators are stated in the footnotes of Tables 1, 2, S1 and S2. Regression models were fitted on complete cases for the covariates included; the number of patients contributing to each univariable estimate is given in Table 3, and the final multivariable model was fitted on 184 of 189 patients. To avoid a substantial loss of sample, candidate covariates with more than 20% missing values were not eligible for the multivariable model; this rule excluded only the PaO2/FiO2 ratio (35% missing).</w:t>
      </w:r>
    </w:p>
    <w:p>
      <w:pPr>
        <w:pStyle w:val="BodyText"/>
      </w:pPr>
      <w:r>
        <w:rPr>
          <w:bCs/>
          <w:b/>
        </w:rPr>
        <w:t xml:space="preserve">Model building.</w:t>
      </w:r>
      <w:r>
        <w:t xml:space="preserve"> </w:t>
      </w:r>
      <w:r>
        <w:t xml:space="preserve">Fifteen covariates selected a priori were tested univariably. Those with p &lt; 0.10 and fewer than 20% missing values entered a multivariable model, from which covariates were removed by backward elimination until all retained terms had p &lt; 0.10. The two study-period indicator variables were forced into the model at every step and were not eligible for elimination, so that the period effect is estimated adjusted for baseline severity regardless of its own significance. Covariates eliminated in sequence were acute heart failure, embolic complication, age, creatinine &gt;2 mg/dL and failure to perform indicated surgery.</w:t>
      </w:r>
    </w:p>
    <w:bookmarkEnd w:id="20"/>
    <w:bookmarkStart w:id="21" w:name="additional-limitations"/>
    <w:p>
      <w:pPr>
        <w:pStyle w:val="Heading2"/>
      </w:pPr>
      <w:r>
        <w:t xml:space="preserve">Additional limitations</w:t>
      </w:r>
    </w:p>
    <w:p>
      <w:pPr>
        <w:pStyle w:val="FirstParagraph"/>
      </w:pPr>
      <w:r>
        <w:t xml:space="preserve">The following limitations supplement those discussed in the main text.</w:t>
      </w:r>
    </w:p>
    <w:p>
      <w:pPr>
        <w:pStyle w:val="BodyText"/>
      </w:pPr>
      <w:r>
        <w:rPr>
          <w:bCs/>
          <w:b/>
        </w:rPr>
        <w:t xml:space="preserve">Drift in diagnostic practice.</w:t>
      </w:r>
      <w:r>
        <w:t xml:space="preserve"> </w:t>
      </w:r>
      <w:r>
        <w:t xml:space="preserve">Over an eight-year period the availability of transoesophageal echocardiography, 18F-FDG PET/CT and molecular microbiology changed, and these changes were not quantified. Greater diagnostic intensity in the later period would tend to increase both case ascertainment and apparent severity. The fall in culture-negative infective endocarditis, from 24.7% to 11.9%, is consistent with such a change, as is the tighter clustering of recorded left ventricular ejection fraction values in the post-pandemic group.</w:t>
      </w:r>
    </w:p>
    <w:p>
      <w:pPr>
        <w:pStyle w:val="BodyText"/>
      </w:pPr>
      <w:r>
        <w:rPr>
          <w:bCs/>
          <w:b/>
        </w:rPr>
        <w:t xml:space="preserve">Selective measurement of physiological variables.</w:t>
      </w:r>
      <w:r>
        <w:t xml:space="preserve"> </w:t>
      </w:r>
      <w:r>
        <w:t xml:space="preserve">Arterial lactate was recorded in 122 of 189 patients and the PaO2/FiO2 ratio in 123, and both were measured preferentially in the sickest patients. Their univariable estimates are therefore likely to be affected by selection, which is one reason the PaO2/FiO2 ratio was not carried into the multivariable model.</w:t>
      </w:r>
    </w:p>
    <w:p>
      <w:pPr>
        <w:pStyle w:val="BodyText"/>
      </w:pPr>
      <w:r>
        <w:rPr>
          <w:bCs/>
          <w:b/>
        </w:rPr>
        <w:t xml:space="preserve">Reverse causation in the surgical covariate.</w:t>
      </w:r>
      <w:r>
        <w:t xml:space="preserve"> </w:t>
      </w:r>
      <w:r>
        <w:t xml:space="preserve">Failure to perform surgery in a patient meeting a guideline-based indication includes patients who died before the planned intervention, so this variable is partly determined by the outcome itself. It is reported univariably for completeness but did not survive backward elimination, and its estimate should not be read causally.</w:t>
      </w:r>
    </w:p>
    <w:p>
      <w:pPr>
        <w:pStyle w:val="BodyText"/>
      </w:pPr>
      <w:r>
        <w:rPr>
          <w:bCs/>
          <w:b/>
        </w:rPr>
        <w:t xml:space="preserve">Multiplicity.</w:t>
      </w:r>
      <w:r>
        <w:t xml:space="preserve"> </w:t>
      </w:r>
      <w:r>
        <w:t xml:space="preserve">More than fifty comparisons were performed without correction, so some of the significant results reported here may be false positives. The internal consistency of the severity variables provides only partial reassurance. We note that the two findings on which the interpretation principally rests — the rise in</w:t>
      </w:r>
      <w:r>
        <w:t xml:space="preserve"> </w:t>
      </w:r>
      <w:r>
        <w:rPr>
          <w:iCs/>
          <w:i/>
        </w:rPr>
        <w:t xml:space="preserve">Staphylococcus aureus</w:t>
      </w:r>
      <w:r>
        <w:t xml:space="preserve"> </w:t>
      </w:r>
      <w:r>
        <w:t xml:space="preserve">and the rise in comorbidity burden — are also the two with the smallest p-values.</w:t>
      </w:r>
    </w:p>
    <w:p>
      <w:pPr>
        <w:pStyle w:val="BodyText"/>
      </w:pPr>
      <w:r>
        <w:rPr>
          <w:bCs/>
          <w:b/>
        </w:rPr>
        <w:t xml:space="preserve">Generalisability.</w:t>
      </w:r>
      <w:r>
        <w:t xml:space="preserve"> </w:t>
      </w:r>
      <w:r>
        <w:t xml:space="preserve">The catchment area has an older-than-national age structure and a well-established local infective endocarditis pathway, which limits generalisability in both directions.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2026-08-20T06:40:39Z</dcterms:created>
  <dcterms:modified xsi:type="dcterms:W3CDTF">2026-08-20T06:40:39Z</dcterms:modified>
</cp:coreProperties>
</file>

<file path=docProps/custom.xml><?xml version="1.0" encoding="utf-8"?>
<Properties xmlns="http://schemas.openxmlformats.org/officeDocument/2006/custom-properties" xmlns:vt="http://schemas.openxmlformats.org/officeDocument/2006/docPropsVTypes"/>
</file>