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82C6"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SUPPLEMENTARY MATERIAL</w:t>
      </w:r>
    </w:p>
    <w:p w14:paraId="3DEF8C12"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b/>
          <w:bCs/>
          <w:sz w:val="20"/>
          <w:szCs w:val="20"/>
        </w:rPr>
        <w:t>For the manuscript:</w:t>
      </w:r>
    </w:p>
    <w:p w14:paraId="4E6F2AA2" w14:textId="77777777" w:rsidR="00FC54D4" w:rsidRDefault="00FC54D4" w:rsidP="002F2B3E">
      <w:pPr>
        <w:spacing w:line="240" w:lineRule="auto"/>
        <w:jc w:val="both"/>
        <w:rPr>
          <w:rFonts w:ascii="Times New Roman" w:hAnsi="Times New Roman" w:cs="Times New Roman"/>
          <w:b/>
          <w:bCs/>
          <w:sz w:val="22"/>
          <w:szCs w:val="22"/>
        </w:rPr>
      </w:pPr>
      <w:r w:rsidRPr="008F48BC">
        <w:rPr>
          <w:rFonts w:ascii="Times New Roman" w:hAnsi="Times New Roman" w:cs="Times New Roman"/>
          <w:b/>
          <w:bCs/>
          <w:sz w:val="22"/>
          <w:szCs w:val="22"/>
        </w:rPr>
        <w:t>Digital Games and Climate-Crisis Education: An Analytical Study of DOMINO: “The Little One” through Serious Games, Persuasive Games, and Ecological Literacy</w:t>
      </w:r>
    </w:p>
    <w:p w14:paraId="415CB68A"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Contents</w:t>
      </w:r>
    </w:p>
    <w:tbl>
      <w:tblPr>
        <w:tblStyle w:val="PlainTable1"/>
        <w:tblW w:w="9064" w:type="dxa"/>
        <w:tblLook w:val="04A0" w:firstRow="1" w:lastRow="0" w:firstColumn="1" w:lastColumn="0" w:noHBand="0" w:noVBand="1"/>
      </w:tblPr>
      <w:tblGrid>
        <w:gridCol w:w="636"/>
        <w:gridCol w:w="2765"/>
        <w:gridCol w:w="5663"/>
      </w:tblGrid>
      <w:tr w:rsidR="00E66CB6" w:rsidRPr="00E66CB6" w14:paraId="0A089EB4" w14:textId="77777777" w:rsidTr="00BB5B09">
        <w:trPr>
          <w:cnfStyle w:val="100000000000" w:firstRow="1" w:lastRow="0" w:firstColumn="0" w:lastColumn="0" w:oddVBand="0" w:evenVBand="0" w:oddHBand="0"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0" w:type="auto"/>
            <w:hideMark/>
          </w:tcPr>
          <w:p w14:paraId="1CD3A4ED" w14:textId="77777777" w:rsidR="00E66CB6" w:rsidRPr="00E66CB6" w:rsidRDefault="00E66CB6" w:rsidP="00BB5B09">
            <w:pPr>
              <w:jc w:val="both"/>
              <w:rPr>
                <w:rFonts w:ascii="Times New Roman" w:hAnsi="Times New Roman" w:cs="Times New Roman"/>
                <w:b w:val="0"/>
                <w:bCs w:val="0"/>
                <w:sz w:val="18"/>
                <w:szCs w:val="18"/>
              </w:rPr>
            </w:pPr>
            <w:r w:rsidRPr="00E66CB6">
              <w:rPr>
                <w:rFonts w:ascii="Times New Roman" w:hAnsi="Times New Roman" w:cs="Times New Roman"/>
                <w:sz w:val="18"/>
                <w:szCs w:val="18"/>
              </w:rPr>
              <w:t>No</w:t>
            </w:r>
          </w:p>
        </w:tc>
        <w:tc>
          <w:tcPr>
            <w:tcW w:w="0" w:type="auto"/>
            <w:hideMark/>
          </w:tcPr>
          <w:p w14:paraId="7E6AD4F0" w14:textId="77777777" w:rsidR="00E66CB6" w:rsidRPr="00E66CB6" w:rsidRDefault="00E66CB6" w:rsidP="00BB5B0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66CB6">
              <w:rPr>
                <w:rFonts w:ascii="Times New Roman" w:hAnsi="Times New Roman" w:cs="Times New Roman"/>
                <w:sz w:val="18"/>
                <w:szCs w:val="18"/>
              </w:rPr>
              <w:t>Title</w:t>
            </w:r>
          </w:p>
        </w:tc>
        <w:tc>
          <w:tcPr>
            <w:tcW w:w="0" w:type="auto"/>
            <w:hideMark/>
          </w:tcPr>
          <w:p w14:paraId="6377E7E8" w14:textId="77777777" w:rsidR="00E66CB6" w:rsidRPr="00E66CB6" w:rsidRDefault="00E66CB6" w:rsidP="00BB5B0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66CB6">
              <w:rPr>
                <w:rFonts w:ascii="Times New Roman" w:hAnsi="Times New Roman" w:cs="Times New Roman"/>
                <w:sz w:val="18"/>
                <w:szCs w:val="18"/>
              </w:rPr>
              <w:t>Description</w:t>
            </w:r>
          </w:p>
        </w:tc>
      </w:tr>
      <w:tr w:rsidR="00E66CB6" w:rsidRPr="00E66CB6" w14:paraId="50CA0447" w14:textId="77777777" w:rsidTr="00BB5B09">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0" w:type="auto"/>
            <w:hideMark/>
          </w:tcPr>
          <w:p w14:paraId="07BD16B1" w14:textId="77777777" w:rsidR="00E66CB6" w:rsidRPr="00E66CB6" w:rsidRDefault="00E66CB6" w:rsidP="00BB5B09">
            <w:pPr>
              <w:jc w:val="both"/>
              <w:rPr>
                <w:rFonts w:ascii="Times New Roman" w:hAnsi="Times New Roman" w:cs="Times New Roman"/>
                <w:sz w:val="18"/>
                <w:szCs w:val="18"/>
              </w:rPr>
            </w:pPr>
            <w:r w:rsidRPr="00E66CB6">
              <w:rPr>
                <w:rFonts w:ascii="Times New Roman" w:hAnsi="Times New Roman" w:cs="Times New Roman"/>
                <w:sz w:val="18"/>
                <w:szCs w:val="18"/>
              </w:rPr>
              <w:t>SM</w:t>
            </w:r>
            <w:r w:rsidRPr="00E66CB6">
              <w:rPr>
                <w:rFonts w:ascii="Times New Roman" w:hAnsi="Times New Roman" w:cs="Times New Roman"/>
                <w:sz w:val="18"/>
                <w:szCs w:val="18"/>
              </w:rPr>
              <w:noBreakHyphen/>
              <w:t>1</w:t>
            </w:r>
          </w:p>
        </w:tc>
        <w:tc>
          <w:tcPr>
            <w:tcW w:w="0" w:type="auto"/>
            <w:hideMark/>
          </w:tcPr>
          <w:p w14:paraId="7C1C39B9" w14:textId="77777777" w:rsidR="00E66CB6" w:rsidRPr="00E66CB6" w:rsidRDefault="00E66CB6" w:rsidP="00BB5B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Extended Discussion on Sustainable Tourism Education</w:t>
            </w:r>
          </w:p>
        </w:tc>
        <w:tc>
          <w:tcPr>
            <w:tcW w:w="0" w:type="auto"/>
            <w:hideMark/>
          </w:tcPr>
          <w:p w14:paraId="61DF5B9A" w14:textId="77777777" w:rsidR="00E66CB6" w:rsidRPr="00E66CB6" w:rsidRDefault="00E66CB6" w:rsidP="00BB5B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Detailed tourism discussion, example applications (</w:t>
            </w:r>
            <w:r w:rsidRPr="00E66CB6">
              <w:rPr>
                <w:rFonts w:ascii="Times New Roman" w:hAnsi="Times New Roman" w:cs="Times New Roman"/>
                <w:i/>
                <w:iCs/>
                <w:sz w:val="18"/>
                <w:szCs w:val="18"/>
              </w:rPr>
              <w:t>Mountain Tourism Fresko</w:t>
            </w:r>
            <w:r w:rsidRPr="00E66CB6">
              <w:rPr>
                <w:rFonts w:ascii="Times New Roman" w:hAnsi="Times New Roman" w:cs="Times New Roman"/>
                <w:sz w:val="18"/>
                <w:szCs w:val="18"/>
              </w:rPr>
              <w:t>, </w:t>
            </w:r>
            <w:r w:rsidRPr="00E66CB6">
              <w:rPr>
                <w:rFonts w:ascii="Times New Roman" w:hAnsi="Times New Roman" w:cs="Times New Roman"/>
                <w:i/>
                <w:iCs/>
                <w:sz w:val="18"/>
                <w:szCs w:val="18"/>
              </w:rPr>
              <w:t>grECOtrails</w:t>
            </w:r>
            <w:r w:rsidRPr="00E66CB6">
              <w:rPr>
                <w:rFonts w:ascii="Times New Roman" w:hAnsi="Times New Roman" w:cs="Times New Roman"/>
                <w:sz w:val="18"/>
                <w:szCs w:val="18"/>
              </w:rPr>
              <w:t>), and social media analytics connection.</w:t>
            </w:r>
          </w:p>
        </w:tc>
      </w:tr>
      <w:tr w:rsidR="00E66CB6" w:rsidRPr="00E66CB6" w14:paraId="46678EA4" w14:textId="77777777" w:rsidTr="00BB5B09">
        <w:trPr>
          <w:trHeight w:val="84"/>
        </w:trPr>
        <w:tc>
          <w:tcPr>
            <w:cnfStyle w:val="001000000000" w:firstRow="0" w:lastRow="0" w:firstColumn="1" w:lastColumn="0" w:oddVBand="0" w:evenVBand="0" w:oddHBand="0" w:evenHBand="0" w:firstRowFirstColumn="0" w:firstRowLastColumn="0" w:lastRowFirstColumn="0" w:lastRowLastColumn="0"/>
            <w:tcW w:w="0" w:type="auto"/>
            <w:hideMark/>
          </w:tcPr>
          <w:p w14:paraId="7112EFC2" w14:textId="77777777" w:rsidR="00E66CB6" w:rsidRPr="00E66CB6" w:rsidRDefault="00E66CB6" w:rsidP="00BB5B09">
            <w:pPr>
              <w:jc w:val="both"/>
              <w:rPr>
                <w:rFonts w:ascii="Times New Roman" w:hAnsi="Times New Roman" w:cs="Times New Roman"/>
                <w:sz w:val="18"/>
                <w:szCs w:val="18"/>
              </w:rPr>
            </w:pPr>
            <w:r w:rsidRPr="00E66CB6">
              <w:rPr>
                <w:rFonts w:ascii="Times New Roman" w:hAnsi="Times New Roman" w:cs="Times New Roman"/>
                <w:sz w:val="18"/>
                <w:szCs w:val="18"/>
              </w:rPr>
              <w:t>SM</w:t>
            </w:r>
            <w:r w:rsidRPr="00E66CB6">
              <w:rPr>
                <w:rFonts w:ascii="Times New Roman" w:hAnsi="Times New Roman" w:cs="Times New Roman"/>
                <w:sz w:val="18"/>
                <w:szCs w:val="18"/>
              </w:rPr>
              <w:noBreakHyphen/>
              <w:t>2</w:t>
            </w:r>
          </w:p>
        </w:tc>
        <w:tc>
          <w:tcPr>
            <w:tcW w:w="0" w:type="auto"/>
            <w:hideMark/>
          </w:tcPr>
          <w:p w14:paraId="7E84C8C1" w14:textId="77777777" w:rsidR="00E66CB6" w:rsidRPr="00E66CB6" w:rsidRDefault="00E66CB6" w:rsidP="00BB5B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Extended Recommendations for Stakeholders</w:t>
            </w:r>
          </w:p>
        </w:tc>
        <w:tc>
          <w:tcPr>
            <w:tcW w:w="0" w:type="auto"/>
            <w:hideMark/>
          </w:tcPr>
          <w:p w14:paraId="471687E1" w14:textId="77777777" w:rsidR="00E66CB6" w:rsidRPr="00E66CB6" w:rsidRDefault="00E66CB6" w:rsidP="00BB5B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Detailed recommendations for educators, game designers, developers, and policymakers.</w:t>
            </w:r>
          </w:p>
        </w:tc>
      </w:tr>
      <w:tr w:rsidR="00E66CB6" w:rsidRPr="00E66CB6" w14:paraId="368E34E5" w14:textId="77777777" w:rsidTr="00BB5B09">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0" w:type="auto"/>
            <w:hideMark/>
          </w:tcPr>
          <w:p w14:paraId="0DD8037F" w14:textId="77777777" w:rsidR="00E66CB6" w:rsidRPr="00E66CB6" w:rsidRDefault="00E66CB6" w:rsidP="00BB5B09">
            <w:pPr>
              <w:jc w:val="both"/>
              <w:rPr>
                <w:rFonts w:ascii="Times New Roman" w:hAnsi="Times New Roman" w:cs="Times New Roman"/>
                <w:sz w:val="18"/>
                <w:szCs w:val="18"/>
              </w:rPr>
            </w:pPr>
            <w:r w:rsidRPr="00E66CB6">
              <w:rPr>
                <w:rFonts w:ascii="Times New Roman" w:hAnsi="Times New Roman" w:cs="Times New Roman"/>
                <w:sz w:val="18"/>
                <w:szCs w:val="18"/>
              </w:rPr>
              <w:t>SM</w:t>
            </w:r>
            <w:r w:rsidRPr="00E66CB6">
              <w:rPr>
                <w:rFonts w:ascii="Times New Roman" w:hAnsi="Times New Roman" w:cs="Times New Roman"/>
                <w:sz w:val="18"/>
                <w:szCs w:val="18"/>
              </w:rPr>
              <w:noBreakHyphen/>
              <w:t>3</w:t>
            </w:r>
          </w:p>
        </w:tc>
        <w:tc>
          <w:tcPr>
            <w:tcW w:w="0" w:type="auto"/>
            <w:hideMark/>
          </w:tcPr>
          <w:p w14:paraId="330AD16A" w14:textId="77777777" w:rsidR="00E66CB6" w:rsidRPr="00E66CB6" w:rsidRDefault="00E66CB6" w:rsidP="00BB5B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Coding and Analysis Process Details</w:t>
            </w:r>
          </w:p>
        </w:tc>
        <w:tc>
          <w:tcPr>
            <w:tcW w:w="0" w:type="auto"/>
            <w:hideMark/>
          </w:tcPr>
          <w:p w14:paraId="4110A4C7" w14:textId="77777777" w:rsidR="00E66CB6" w:rsidRPr="00E66CB6" w:rsidRDefault="00E66CB6" w:rsidP="00BB5B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MAXQDA usage, coding stages, sample coding log, and inter</w:t>
            </w:r>
            <w:r w:rsidRPr="00E66CB6">
              <w:rPr>
                <w:rFonts w:ascii="Times New Roman" w:hAnsi="Times New Roman" w:cs="Times New Roman"/>
                <w:sz w:val="18"/>
                <w:szCs w:val="18"/>
              </w:rPr>
              <w:noBreakHyphen/>
              <w:t>coder reliability procedures.</w:t>
            </w:r>
          </w:p>
        </w:tc>
      </w:tr>
      <w:tr w:rsidR="00E66CB6" w:rsidRPr="00E66CB6" w14:paraId="4946271B" w14:textId="77777777" w:rsidTr="00BB5B09">
        <w:trPr>
          <w:trHeight w:val="84"/>
        </w:trPr>
        <w:tc>
          <w:tcPr>
            <w:cnfStyle w:val="001000000000" w:firstRow="0" w:lastRow="0" w:firstColumn="1" w:lastColumn="0" w:oddVBand="0" w:evenVBand="0" w:oddHBand="0" w:evenHBand="0" w:firstRowFirstColumn="0" w:firstRowLastColumn="0" w:lastRowFirstColumn="0" w:lastRowLastColumn="0"/>
            <w:tcW w:w="0" w:type="auto"/>
            <w:hideMark/>
          </w:tcPr>
          <w:p w14:paraId="088FFD6D" w14:textId="77777777" w:rsidR="00E66CB6" w:rsidRPr="00E66CB6" w:rsidRDefault="00E66CB6" w:rsidP="00BB5B09">
            <w:pPr>
              <w:jc w:val="both"/>
              <w:rPr>
                <w:rFonts w:ascii="Times New Roman" w:hAnsi="Times New Roman" w:cs="Times New Roman"/>
                <w:sz w:val="18"/>
                <w:szCs w:val="18"/>
              </w:rPr>
            </w:pPr>
            <w:r w:rsidRPr="00E66CB6">
              <w:rPr>
                <w:rFonts w:ascii="Times New Roman" w:hAnsi="Times New Roman" w:cs="Times New Roman"/>
                <w:sz w:val="18"/>
                <w:szCs w:val="18"/>
              </w:rPr>
              <w:t>SM</w:t>
            </w:r>
            <w:r w:rsidRPr="00E66CB6">
              <w:rPr>
                <w:rFonts w:ascii="Times New Roman" w:hAnsi="Times New Roman" w:cs="Times New Roman"/>
                <w:sz w:val="18"/>
                <w:szCs w:val="18"/>
              </w:rPr>
              <w:noBreakHyphen/>
              <w:t>4</w:t>
            </w:r>
          </w:p>
        </w:tc>
        <w:tc>
          <w:tcPr>
            <w:tcW w:w="0" w:type="auto"/>
            <w:hideMark/>
          </w:tcPr>
          <w:p w14:paraId="16F9F5F9" w14:textId="77777777" w:rsidR="00E66CB6" w:rsidRPr="00E66CB6" w:rsidRDefault="00E66CB6" w:rsidP="00BB5B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Theoretical Framework Elaborations</w:t>
            </w:r>
          </w:p>
        </w:tc>
        <w:tc>
          <w:tcPr>
            <w:tcW w:w="0" w:type="auto"/>
            <w:hideMark/>
          </w:tcPr>
          <w:p w14:paraId="0E5E0DDA" w14:textId="77777777" w:rsidR="00E66CB6" w:rsidRPr="00E66CB6" w:rsidRDefault="00E66CB6" w:rsidP="00BB5B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66CB6">
              <w:rPr>
                <w:rFonts w:ascii="Times New Roman" w:hAnsi="Times New Roman" w:cs="Times New Roman"/>
                <w:sz w:val="18"/>
                <w:szCs w:val="18"/>
              </w:rPr>
              <w:t>Extended literature critiques and conceptual elaborations (</w:t>
            </w:r>
            <w:r w:rsidRPr="00527440">
              <w:rPr>
                <w:rFonts w:ascii="Times New Roman" w:hAnsi="Times New Roman" w:cs="Times New Roman"/>
                <w:i/>
                <w:iCs/>
                <w:sz w:val="18"/>
                <w:szCs w:val="18"/>
              </w:rPr>
              <w:t>serious games versus gamification, historical development of procedural rhetoric</w:t>
            </w:r>
            <w:r w:rsidRPr="00E66CB6">
              <w:rPr>
                <w:rFonts w:ascii="Times New Roman" w:hAnsi="Times New Roman" w:cs="Times New Roman"/>
                <w:sz w:val="18"/>
                <w:szCs w:val="18"/>
              </w:rPr>
              <w:t>).</w:t>
            </w:r>
          </w:p>
        </w:tc>
      </w:tr>
    </w:tbl>
    <w:p w14:paraId="23571884" w14:textId="388B1456" w:rsidR="00E66CB6" w:rsidRPr="00E66CB6" w:rsidRDefault="00E66CB6" w:rsidP="00E66CB6">
      <w:pPr>
        <w:spacing w:line="240" w:lineRule="auto"/>
        <w:jc w:val="both"/>
        <w:rPr>
          <w:rFonts w:ascii="Times New Roman" w:hAnsi="Times New Roman" w:cs="Times New Roman"/>
          <w:sz w:val="20"/>
          <w:szCs w:val="20"/>
        </w:rPr>
      </w:pPr>
    </w:p>
    <w:p w14:paraId="5F545465"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SM</w:t>
      </w:r>
      <w:r w:rsidRPr="00E66CB6">
        <w:rPr>
          <w:rFonts w:ascii="Times New Roman" w:hAnsi="Times New Roman" w:cs="Times New Roman"/>
          <w:b/>
          <w:bCs/>
          <w:sz w:val="20"/>
          <w:szCs w:val="20"/>
        </w:rPr>
        <w:noBreakHyphen/>
        <w:t>1: Extended Discussion on Sustainable Tourism Education</w:t>
      </w:r>
    </w:p>
    <w:p w14:paraId="41369BBB"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The tourism sector occupies a paradoxical position in the climate crisis: it is simultaneously a significant contributor to global greenhouse gas emissions—accounting for approximately 8% of total emissions—and one of the most climate</w:t>
      </w:r>
      <w:r w:rsidRPr="00E66CB6">
        <w:rPr>
          <w:rFonts w:ascii="Times New Roman" w:hAnsi="Times New Roman" w:cs="Times New Roman"/>
          <w:sz w:val="20"/>
          <w:szCs w:val="20"/>
        </w:rPr>
        <w:noBreakHyphen/>
        <w:t>vulnerable industries, facing existential threats from sea</w:t>
      </w:r>
      <w:r w:rsidRPr="00E66CB6">
        <w:rPr>
          <w:rFonts w:ascii="Times New Roman" w:hAnsi="Times New Roman" w:cs="Times New Roman"/>
          <w:sz w:val="20"/>
          <w:szCs w:val="20"/>
        </w:rPr>
        <w:noBreakHyphen/>
        <w:t>level rise, extreme weather events, and shifts in destination attractiveness (Scott, Hall, &amp; Gössling, 2012, 2016). Despite growing recognition of these interdependencies, tourism curricula have been slow to integrate climate literacy and systems thinking competencies, leaving graduates ill</w:t>
      </w:r>
      <w:r w:rsidRPr="00E66CB6">
        <w:rPr>
          <w:rFonts w:ascii="Times New Roman" w:hAnsi="Times New Roman" w:cs="Times New Roman"/>
          <w:sz w:val="20"/>
          <w:szCs w:val="20"/>
        </w:rPr>
        <w:noBreakHyphen/>
        <w:t>prepared to navigate the sector’s complex sustainability challenges.</w:t>
      </w:r>
    </w:p>
    <w:p w14:paraId="67012421"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Digital games and gamified simulations offer a promising pedagogical avenue to address this gap by enabling tourism students and industry professionals to experience the consequences of climate</w:t>
      </w:r>
      <w:r w:rsidRPr="00E66CB6">
        <w:rPr>
          <w:rFonts w:ascii="Times New Roman" w:hAnsi="Times New Roman" w:cs="Times New Roman"/>
          <w:sz w:val="20"/>
          <w:szCs w:val="20"/>
        </w:rPr>
        <w:noBreakHyphen/>
        <w:t>related decisions in a low</w:t>
      </w:r>
      <w:r w:rsidRPr="00E66CB6">
        <w:rPr>
          <w:rFonts w:ascii="Times New Roman" w:hAnsi="Times New Roman" w:cs="Times New Roman"/>
          <w:sz w:val="20"/>
          <w:szCs w:val="20"/>
        </w:rPr>
        <w:noBreakHyphen/>
        <w:t>stakes, experiential environment. The procedural rhetoric and feedback loops identified in </w:t>
      </w:r>
      <w:r w:rsidRPr="00E66CB6">
        <w:rPr>
          <w:rFonts w:ascii="Times New Roman" w:hAnsi="Times New Roman" w:cs="Times New Roman"/>
          <w:i/>
          <w:iCs/>
          <w:sz w:val="20"/>
          <w:szCs w:val="20"/>
        </w:rPr>
        <w:t>DOMINO: The Little One</w:t>
      </w:r>
      <w:r w:rsidRPr="00E66CB6">
        <w:rPr>
          <w:rFonts w:ascii="Times New Roman" w:hAnsi="Times New Roman" w:cs="Times New Roman"/>
          <w:sz w:val="20"/>
          <w:szCs w:val="20"/>
        </w:rPr>
        <w:t> offer transferable design principles for sustainable tourism education. Specifically, the game’s mechanism of linking player choices to environmental outcomes can be adapted to model destination</w:t>
      </w:r>
      <w:r w:rsidRPr="00E66CB6">
        <w:rPr>
          <w:rFonts w:ascii="Times New Roman" w:hAnsi="Times New Roman" w:cs="Times New Roman"/>
          <w:sz w:val="20"/>
          <w:szCs w:val="20"/>
        </w:rPr>
        <w:noBreakHyphen/>
        <w:t>level trade</w:t>
      </w:r>
      <w:r w:rsidRPr="00E66CB6">
        <w:rPr>
          <w:rFonts w:ascii="Times New Roman" w:hAnsi="Times New Roman" w:cs="Times New Roman"/>
          <w:sz w:val="20"/>
          <w:szCs w:val="20"/>
        </w:rPr>
        <w:noBreakHyphen/>
        <w:t>offs—such as balancing visitor carrying capacity against ecosystem resilience, or weighing short</w:t>
      </w:r>
      <w:r w:rsidRPr="00E66CB6">
        <w:rPr>
          <w:rFonts w:ascii="Times New Roman" w:hAnsi="Times New Roman" w:cs="Times New Roman"/>
          <w:sz w:val="20"/>
          <w:szCs w:val="20"/>
        </w:rPr>
        <w:noBreakHyphen/>
        <w:t>term economic gains against long</w:t>
      </w:r>
      <w:r w:rsidRPr="00E66CB6">
        <w:rPr>
          <w:rFonts w:ascii="Times New Roman" w:hAnsi="Times New Roman" w:cs="Times New Roman"/>
          <w:sz w:val="20"/>
          <w:szCs w:val="20"/>
        </w:rPr>
        <w:noBreakHyphen/>
        <w:t>term climate adaptation needs (Font &amp; McCabe, 2017; Scott et al., 2016).</w:t>
      </w:r>
    </w:p>
    <w:p w14:paraId="31D405F8"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Emerging initiatives illustrate the feasibility of such approaches. The </w:t>
      </w:r>
      <w:r w:rsidRPr="00E66CB6">
        <w:rPr>
          <w:rFonts w:ascii="Times New Roman" w:hAnsi="Times New Roman" w:cs="Times New Roman"/>
          <w:i/>
          <w:iCs/>
          <w:sz w:val="20"/>
          <w:szCs w:val="20"/>
        </w:rPr>
        <w:t>Mountain Tourism Fresko</w:t>
      </w:r>
      <w:r w:rsidRPr="00E66CB6">
        <w:rPr>
          <w:rFonts w:ascii="Times New Roman" w:hAnsi="Times New Roman" w:cs="Times New Roman"/>
          <w:sz w:val="20"/>
          <w:szCs w:val="20"/>
        </w:rPr>
        <w:t>—an interactive game developed for Alpine destinations—enables participants to visualise the direct and indirect impacts of tourism activities on local climate systems, from transport emissions to food supply chains. By simulating the cumulative effects of tourist behaviours on mountain ecosystems, the game fosters awareness of carrying capacity limits and encourages collective responsibility among visitors and local stakeholders alike. Similarly, the </w:t>
      </w:r>
      <w:r w:rsidRPr="00E66CB6">
        <w:rPr>
          <w:rFonts w:ascii="Times New Roman" w:hAnsi="Times New Roman" w:cs="Times New Roman"/>
          <w:i/>
          <w:iCs/>
          <w:sz w:val="20"/>
          <w:szCs w:val="20"/>
        </w:rPr>
        <w:t>grECOtrails</w:t>
      </w:r>
      <w:r w:rsidRPr="00E66CB6">
        <w:rPr>
          <w:rFonts w:ascii="Times New Roman" w:hAnsi="Times New Roman" w:cs="Times New Roman"/>
          <w:sz w:val="20"/>
          <w:szCs w:val="20"/>
        </w:rPr>
        <w:t> initiative integrates gamified tools—including digital quizzes, escape rooms, and augmented reality experiences—into sustainable tourism education, fostering systems thinking and SDG awareness among students and educators across European destinations. These examples demonstrate that game</w:t>
      </w:r>
      <w:r w:rsidRPr="00E66CB6">
        <w:rPr>
          <w:rFonts w:ascii="Times New Roman" w:hAnsi="Times New Roman" w:cs="Times New Roman"/>
          <w:sz w:val="20"/>
          <w:szCs w:val="20"/>
        </w:rPr>
        <w:noBreakHyphen/>
        <w:t>based approaches can move beyond awareness</w:t>
      </w:r>
      <w:r w:rsidRPr="00E66CB6">
        <w:rPr>
          <w:rFonts w:ascii="Times New Roman" w:hAnsi="Times New Roman" w:cs="Times New Roman"/>
          <w:sz w:val="20"/>
          <w:szCs w:val="20"/>
        </w:rPr>
        <w:noBreakHyphen/>
        <w:t>raising towards the cultivation of actionable sustainability competencies.</w:t>
      </w:r>
    </w:p>
    <w:p w14:paraId="2DF5B7DD"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However, the transferability of such approaches hinges on careful adaptation to the specific pedagogical and institutional contexts of tourism education. As Font and McCabe (2017) have observed, sustainability interventions in tourism settings must contend with entrenched consumer behaviours, industry resistance, and the paradox of promoting ecological responsibility within a growth</w:t>
      </w:r>
      <w:r w:rsidRPr="00E66CB6">
        <w:rPr>
          <w:rFonts w:ascii="Times New Roman" w:hAnsi="Times New Roman" w:cs="Times New Roman"/>
          <w:sz w:val="20"/>
          <w:szCs w:val="20"/>
        </w:rPr>
        <w:noBreakHyphen/>
        <w:t>oriented economic logic. Game</w:t>
      </w:r>
      <w:r w:rsidRPr="00E66CB6">
        <w:rPr>
          <w:rFonts w:ascii="Times New Roman" w:hAnsi="Times New Roman" w:cs="Times New Roman"/>
          <w:sz w:val="20"/>
          <w:szCs w:val="20"/>
        </w:rPr>
        <w:noBreakHyphen/>
        <w:t>based learning interventions should therefore be embedded within broader curricular frameworks that include structured debriefing, critical reflection on structural barriers, and opportunities for real</w:t>
      </w:r>
      <w:r w:rsidRPr="00E66CB6">
        <w:rPr>
          <w:rFonts w:ascii="Times New Roman" w:hAnsi="Times New Roman" w:cs="Times New Roman"/>
          <w:sz w:val="20"/>
          <w:szCs w:val="20"/>
        </w:rPr>
        <w:noBreakHyphen/>
        <w:t>world application—thereby bridging the gap between simulated experiences and on</w:t>
      </w:r>
      <w:r w:rsidRPr="00E66CB6">
        <w:rPr>
          <w:rFonts w:ascii="Times New Roman" w:hAnsi="Times New Roman" w:cs="Times New Roman"/>
          <w:sz w:val="20"/>
          <w:szCs w:val="20"/>
        </w:rPr>
        <w:noBreakHyphen/>
        <w:t>ground practice (Becken &amp; Hay, 2007; Ruhanen &amp; Shakeela, 2013). Without such scaffolding, even the most well</w:t>
      </w:r>
      <w:r w:rsidRPr="00E66CB6">
        <w:rPr>
          <w:rFonts w:ascii="Times New Roman" w:hAnsi="Times New Roman" w:cs="Times New Roman"/>
          <w:sz w:val="20"/>
          <w:szCs w:val="20"/>
        </w:rPr>
        <w:noBreakHyphen/>
        <w:t>designed game may fail to translate simulated awareness into durable sustainable action.</w:t>
      </w:r>
    </w:p>
    <w:p w14:paraId="469B58AD"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The findings of this study also resonate with broader discussions on the role of digitally mediated experiences—whether through serious games or social media platforms—in shaping environmental perceptions and behavioural intentions. Recent research in heritage communication has demonstrated that user</w:t>
      </w:r>
      <w:r w:rsidRPr="00E66CB6">
        <w:rPr>
          <w:rFonts w:ascii="Times New Roman" w:hAnsi="Times New Roman" w:cs="Times New Roman"/>
          <w:sz w:val="20"/>
          <w:szCs w:val="20"/>
        </w:rPr>
        <w:noBreakHyphen/>
        <w:t xml:space="preserve">generated content on social media actively constructs place identities and influences visitor expectations, with sentiment analysis revealing polarised discourses that can inform sustainable destination management (Çetin, Islak, Çınar, &amp; Hassan, 2026). Although that study focused on cultural heritage rather than climate change, it underscores a convergent principle: procedural and narrative features of digital environments can be intentionally designed to foster systems thinking </w:t>
      </w:r>
      <w:r w:rsidRPr="00E66CB6">
        <w:rPr>
          <w:rFonts w:ascii="Times New Roman" w:hAnsi="Times New Roman" w:cs="Times New Roman"/>
          <w:sz w:val="20"/>
          <w:szCs w:val="20"/>
        </w:rPr>
        <w:lastRenderedPageBreak/>
        <w:t>and responsibility among users. Future research should therefore explore synergies between game</w:t>
      </w:r>
      <w:r w:rsidRPr="00E66CB6">
        <w:rPr>
          <w:rFonts w:ascii="Times New Roman" w:hAnsi="Times New Roman" w:cs="Times New Roman"/>
          <w:sz w:val="20"/>
          <w:szCs w:val="20"/>
        </w:rPr>
        <w:noBreakHyphen/>
        <w:t>based learning and social media analytics, particularly in the context of sustainable tourism education and destination management.</w:t>
      </w:r>
    </w:p>
    <w:p w14:paraId="50A5B1F3" w14:textId="4A97ECB3" w:rsidR="00E66CB6" w:rsidRDefault="00E66CB6" w:rsidP="00E66CB6">
      <w:pPr>
        <w:spacing w:line="240" w:lineRule="auto"/>
        <w:jc w:val="both"/>
        <w:rPr>
          <w:rFonts w:ascii="Times New Roman" w:hAnsi="Times New Roman" w:cs="Times New Roman"/>
          <w:sz w:val="20"/>
          <w:szCs w:val="20"/>
        </w:rPr>
      </w:pPr>
    </w:p>
    <w:p w14:paraId="7FA88D97"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SM</w:t>
      </w:r>
      <w:r w:rsidRPr="00E66CB6">
        <w:rPr>
          <w:rFonts w:ascii="Times New Roman" w:hAnsi="Times New Roman" w:cs="Times New Roman"/>
          <w:b/>
          <w:bCs/>
          <w:sz w:val="20"/>
          <w:szCs w:val="20"/>
        </w:rPr>
        <w:noBreakHyphen/>
        <w:t>2: Extended Recommendations for Stakeholders</w:t>
      </w:r>
    </w:p>
    <w:p w14:paraId="004CE3A7"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Based on the findings of the study, the following actionable recommendations are offered for key stakeholder groups:</w:t>
      </w:r>
    </w:p>
    <w:p w14:paraId="20C632A5"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For Educators and Curriculum Designers</w:t>
      </w:r>
    </w:p>
    <w:p w14:paraId="6E91A787"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i/>
          <w:iCs/>
          <w:sz w:val="20"/>
          <w:szCs w:val="20"/>
        </w:rPr>
        <w:t>DOMINO: The Little One</w:t>
      </w:r>
      <w:r w:rsidRPr="00E66CB6">
        <w:rPr>
          <w:rFonts w:ascii="Times New Roman" w:hAnsi="Times New Roman" w:cs="Times New Roman"/>
          <w:sz w:val="20"/>
          <w:szCs w:val="20"/>
        </w:rPr>
        <w:t> should be integrated into environmental education curricula not as a standalone activity but as a springboard for guided reflection, group discussion, and problem</w:t>
      </w:r>
      <w:r w:rsidRPr="00E66CB6">
        <w:rPr>
          <w:rFonts w:ascii="Times New Roman" w:hAnsi="Times New Roman" w:cs="Times New Roman"/>
          <w:sz w:val="20"/>
          <w:szCs w:val="20"/>
        </w:rPr>
        <w:noBreakHyphen/>
        <w:t>based learning tasks. The game’s feedback loops can be employed to illustrate systems thinking concepts by asking students to map cause</w:t>
      </w:r>
      <w:r w:rsidRPr="00E66CB6">
        <w:rPr>
          <w:rFonts w:ascii="Times New Roman" w:hAnsi="Times New Roman" w:cs="Times New Roman"/>
          <w:sz w:val="20"/>
          <w:szCs w:val="20"/>
        </w:rPr>
        <w:noBreakHyphen/>
        <w:t>and</w:t>
      </w:r>
      <w:r w:rsidRPr="00E66CB6">
        <w:rPr>
          <w:rFonts w:ascii="Times New Roman" w:hAnsi="Times New Roman" w:cs="Times New Roman"/>
          <w:sz w:val="20"/>
          <w:szCs w:val="20"/>
        </w:rPr>
        <w:noBreakHyphen/>
        <w:t>effect chains and identify leverage points for sustainable intervention. Gameplay ought to be supplemented with structured debriefing sessions that explicitly address the structural and political dimensions of climate change—such as energy systems, carbon taxation, and international agreements—in order to counterbalance the game’s individual responsibility bias. To maximise pedagogical impact, educators should design pre</w:t>
      </w:r>
      <w:r w:rsidRPr="00E66CB6">
        <w:rPr>
          <w:rFonts w:ascii="Times New Roman" w:hAnsi="Times New Roman" w:cs="Times New Roman"/>
          <w:sz w:val="20"/>
          <w:szCs w:val="20"/>
        </w:rPr>
        <w:noBreakHyphen/>
        <w:t>game activities that introduce key ecological concepts and post</w:t>
      </w:r>
      <w:r w:rsidRPr="00E66CB6">
        <w:rPr>
          <w:rFonts w:ascii="Times New Roman" w:hAnsi="Times New Roman" w:cs="Times New Roman"/>
          <w:sz w:val="20"/>
          <w:szCs w:val="20"/>
        </w:rPr>
        <w:noBreakHyphen/>
        <w:t>game assignments that require students to connect in</w:t>
      </w:r>
      <w:r w:rsidRPr="00E66CB6">
        <w:rPr>
          <w:rFonts w:ascii="Times New Roman" w:hAnsi="Times New Roman" w:cs="Times New Roman"/>
          <w:sz w:val="20"/>
          <w:szCs w:val="20"/>
        </w:rPr>
        <w:noBreakHyphen/>
        <w:t>game decisions with real</w:t>
      </w:r>
      <w:r w:rsidRPr="00E66CB6">
        <w:rPr>
          <w:rFonts w:ascii="Times New Roman" w:hAnsi="Times New Roman" w:cs="Times New Roman"/>
          <w:sz w:val="20"/>
          <w:szCs w:val="20"/>
        </w:rPr>
        <w:noBreakHyphen/>
        <w:t>world environmental policies and personal lifestyle choices (Foltz et al., 2019; Irabor et al., 2025). Furthermore, guidance materials supporting teachers’ climate literacy should be developed to facilitate the transfer of environmental awareness from digital tools to out</w:t>
      </w:r>
      <w:r w:rsidRPr="00E66CB6">
        <w:rPr>
          <w:rFonts w:ascii="Times New Roman" w:hAnsi="Times New Roman" w:cs="Times New Roman"/>
          <w:sz w:val="20"/>
          <w:szCs w:val="20"/>
        </w:rPr>
        <w:noBreakHyphen/>
        <w:t>of</w:t>
      </w:r>
      <w:r w:rsidRPr="00E66CB6">
        <w:rPr>
          <w:rFonts w:ascii="Times New Roman" w:hAnsi="Times New Roman" w:cs="Times New Roman"/>
          <w:sz w:val="20"/>
          <w:szCs w:val="20"/>
        </w:rPr>
        <w:noBreakHyphen/>
        <w:t>school actions and attitude transformation (Biçen et al., 2025).</w:t>
      </w:r>
    </w:p>
    <w:p w14:paraId="64D4C81F"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For Game Designers and Developers</w:t>
      </w:r>
    </w:p>
    <w:p w14:paraId="520E449F"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Multi</w:t>
      </w:r>
      <w:r w:rsidRPr="00E66CB6">
        <w:rPr>
          <w:rFonts w:ascii="Times New Roman" w:hAnsi="Times New Roman" w:cs="Times New Roman"/>
          <w:sz w:val="20"/>
          <w:szCs w:val="20"/>
        </w:rPr>
        <w:noBreakHyphen/>
        <w:t>scalar feedback mechanisms that reveal both local and global consequences of player choices should be incorporated into climate</w:t>
      </w:r>
      <w:r w:rsidRPr="00E66CB6">
        <w:rPr>
          <w:rFonts w:ascii="Times New Roman" w:hAnsi="Times New Roman" w:cs="Times New Roman"/>
          <w:sz w:val="20"/>
          <w:szCs w:val="20"/>
        </w:rPr>
        <w:noBreakHyphen/>
        <w:t>themed games to foster a more comprehensive understanding of ecological interdependence. Adaptive difficulty and branching narratives that respond to player decisions should be implemented, allowing for multiple pathways and outcomes that reflect the complexity of real</w:t>
      </w:r>
      <w:r w:rsidRPr="00E66CB6">
        <w:rPr>
          <w:rFonts w:ascii="Times New Roman" w:hAnsi="Times New Roman" w:cs="Times New Roman"/>
          <w:sz w:val="20"/>
          <w:szCs w:val="20"/>
        </w:rPr>
        <w:noBreakHyphen/>
        <w:t>world climate challenges. Collaboration with environmental scientists and educators is essential to ensure that in</w:t>
      </w:r>
      <w:r w:rsidRPr="00E66CB6">
        <w:rPr>
          <w:rFonts w:ascii="Times New Roman" w:hAnsi="Times New Roman" w:cs="Times New Roman"/>
          <w:sz w:val="20"/>
          <w:szCs w:val="20"/>
        </w:rPr>
        <w:noBreakHyphen/>
        <w:t>game information remains scientifically accurate, pedagogically sound, and free from oversimplification that may lead to misconceptions (Fjællingsdal &amp; Klöckner, 2017; Stanitsas et al., 2018). Designers should also consider embedding perspective</w:t>
      </w:r>
      <w:r w:rsidRPr="00E66CB6">
        <w:rPr>
          <w:rFonts w:ascii="Times New Roman" w:hAnsi="Times New Roman" w:cs="Times New Roman"/>
          <w:sz w:val="20"/>
          <w:szCs w:val="20"/>
        </w:rPr>
        <w:noBreakHyphen/>
        <w:t>taking and meaningful feedback mechanisms into game architecture to concretise players’ cognitive learning processes regarding the climate crisis. Structuring game mechanics to foreground environmental responsibility makes the complex structure of the climate crisis more understandable while positively influencing participants’ attitudes and behaviours regarding sustainability (Ouariachi et al., 2017; Iwendi et al., 2025).</w:t>
      </w:r>
    </w:p>
    <w:p w14:paraId="086B6F2B"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For Policymakers and Institutional Leaders</w:t>
      </w:r>
    </w:p>
    <w:p w14:paraId="1C946B36"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Funding and support should be directed toward the development of open</w:t>
      </w:r>
      <w:r w:rsidRPr="00E66CB6">
        <w:rPr>
          <w:rFonts w:ascii="Times New Roman" w:hAnsi="Times New Roman" w:cs="Times New Roman"/>
          <w:sz w:val="20"/>
          <w:szCs w:val="20"/>
        </w:rPr>
        <w:noBreakHyphen/>
        <w:t>access, evidence</w:t>
      </w:r>
      <w:r w:rsidRPr="00E66CB6">
        <w:rPr>
          <w:rFonts w:ascii="Times New Roman" w:hAnsi="Times New Roman" w:cs="Times New Roman"/>
          <w:sz w:val="20"/>
          <w:szCs w:val="20"/>
        </w:rPr>
        <w:noBreakHyphen/>
        <w:t>based serious games on climate change, making them available to schools, community organisations, and public awareness campaigns. Interdisciplinary partnerships between game studios, universities, and environmental agencies ought to be promoted to co</w:t>
      </w:r>
      <w:r w:rsidRPr="00E66CB6">
        <w:rPr>
          <w:rFonts w:ascii="Times New Roman" w:hAnsi="Times New Roman" w:cs="Times New Roman"/>
          <w:sz w:val="20"/>
          <w:szCs w:val="20"/>
        </w:rPr>
        <w:noBreakHyphen/>
        <w:t>create content that bridges entertainment value with educational rigour. The inclusion of game</w:t>
      </w:r>
      <w:r w:rsidRPr="00E66CB6">
        <w:rPr>
          <w:rFonts w:ascii="Times New Roman" w:hAnsi="Times New Roman" w:cs="Times New Roman"/>
          <w:sz w:val="20"/>
          <w:szCs w:val="20"/>
        </w:rPr>
        <w:noBreakHyphen/>
        <w:t>based learning modules in national environmental education frameworks and teacher training programmes should be advocated, recognising digital games as legitimate pedagogical tools rather than mere extracurricular supplements. Policymakers should also invest in longitudinal evaluation studies to measure the long</w:t>
      </w:r>
      <w:r w:rsidRPr="00E66CB6">
        <w:rPr>
          <w:rFonts w:ascii="Times New Roman" w:hAnsi="Times New Roman" w:cs="Times New Roman"/>
          <w:sz w:val="20"/>
          <w:szCs w:val="20"/>
        </w:rPr>
        <w:noBreakHyphen/>
        <w:t>term effects of game</w:t>
      </w:r>
      <w:r w:rsidRPr="00E66CB6">
        <w:rPr>
          <w:rFonts w:ascii="Times New Roman" w:hAnsi="Times New Roman" w:cs="Times New Roman"/>
          <w:sz w:val="20"/>
          <w:szCs w:val="20"/>
        </w:rPr>
        <w:noBreakHyphen/>
        <w:t>based interventions on environmental attitudes and behaviours, thereby building a robust evidence base for future educational policy (Meya &amp; Eisenack, 2018; Hognon et al., 2026). Implementing these recommendations would enable stakeholders to harness the pedagogical power of serious games in cultivating a generation of environmentally literate and proactively engaged citizens capable of addressing the multifaceted challenges of the climate crisis.</w:t>
      </w:r>
    </w:p>
    <w:p w14:paraId="04E1BF00" w14:textId="7D663AFA" w:rsidR="00E66CB6" w:rsidRDefault="00E66CB6" w:rsidP="00E66CB6">
      <w:pPr>
        <w:spacing w:line="240" w:lineRule="auto"/>
        <w:jc w:val="both"/>
        <w:rPr>
          <w:rFonts w:ascii="Times New Roman" w:hAnsi="Times New Roman" w:cs="Times New Roman"/>
          <w:sz w:val="20"/>
          <w:szCs w:val="20"/>
        </w:rPr>
      </w:pPr>
    </w:p>
    <w:p w14:paraId="6369284F"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SM</w:t>
      </w:r>
      <w:r w:rsidRPr="00E66CB6">
        <w:rPr>
          <w:rFonts w:ascii="Times New Roman" w:hAnsi="Times New Roman" w:cs="Times New Roman"/>
          <w:b/>
          <w:bCs/>
          <w:sz w:val="20"/>
          <w:szCs w:val="20"/>
        </w:rPr>
        <w:noBreakHyphen/>
        <w:t>3: Coding and Analysis Process Details</w:t>
      </w:r>
    </w:p>
    <w:p w14:paraId="543C3936"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The coding process was carried out using MAXQDA 2022 software (VERBI Software, 2022) and proceeded in three distinct stages:</w:t>
      </w:r>
    </w:p>
    <w:p w14:paraId="256BB6A5"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b/>
          <w:bCs/>
          <w:sz w:val="20"/>
          <w:szCs w:val="20"/>
        </w:rPr>
        <w:t>Stage 1: Directed Content Analysis</w:t>
      </w:r>
      <w:r w:rsidRPr="00E66CB6">
        <w:rPr>
          <w:rFonts w:ascii="Times New Roman" w:hAnsi="Times New Roman" w:cs="Times New Roman"/>
          <w:sz w:val="20"/>
          <w:szCs w:val="20"/>
        </w:rPr>
        <w:t> – Initial codes were derived deductively from the theoretical framework. For the serious games dimension, codes included </w:t>
      </w:r>
      <w:r w:rsidRPr="00E66CB6">
        <w:rPr>
          <w:rFonts w:ascii="Times New Roman" w:hAnsi="Times New Roman" w:cs="Times New Roman"/>
          <w:i/>
          <w:iCs/>
          <w:sz w:val="20"/>
          <w:szCs w:val="20"/>
        </w:rPr>
        <w:t>learning objective</w:t>
      </w:r>
      <w:r w:rsidRPr="00E66CB6">
        <w:rPr>
          <w:rFonts w:ascii="Times New Roman" w:hAnsi="Times New Roman" w:cs="Times New Roman"/>
          <w:sz w:val="20"/>
          <w:szCs w:val="20"/>
        </w:rPr>
        <w:t>, </w:t>
      </w:r>
      <w:r w:rsidRPr="00E66CB6">
        <w:rPr>
          <w:rFonts w:ascii="Times New Roman" w:hAnsi="Times New Roman" w:cs="Times New Roman"/>
          <w:i/>
          <w:iCs/>
          <w:sz w:val="20"/>
          <w:szCs w:val="20"/>
        </w:rPr>
        <w:t>task</w:t>
      </w:r>
      <w:r w:rsidRPr="00E66CB6">
        <w:rPr>
          <w:rFonts w:ascii="Times New Roman" w:hAnsi="Times New Roman" w:cs="Times New Roman"/>
          <w:sz w:val="20"/>
          <w:szCs w:val="20"/>
        </w:rPr>
        <w:t>, </w:t>
      </w:r>
      <w:r w:rsidRPr="00E66CB6">
        <w:rPr>
          <w:rFonts w:ascii="Times New Roman" w:hAnsi="Times New Roman" w:cs="Times New Roman"/>
          <w:i/>
          <w:iCs/>
          <w:sz w:val="20"/>
          <w:szCs w:val="20"/>
        </w:rPr>
        <w:t>trial</w:t>
      </w:r>
      <w:r w:rsidRPr="00E66CB6">
        <w:rPr>
          <w:rFonts w:ascii="Times New Roman" w:hAnsi="Times New Roman" w:cs="Times New Roman"/>
          <w:i/>
          <w:iCs/>
          <w:sz w:val="20"/>
          <w:szCs w:val="20"/>
        </w:rPr>
        <w:noBreakHyphen/>
        <w:t>and</w:t>
      </w:r>
      <w:r w:rsidRPr="00E66CB6">
        <w:rPr>
          <w:rFonts w:ascii="Times New Roman" w:hAnsi="Times New Roman" w:cs="Times New Roman"/>
          <w:i/>
          <w:iCs/>
          <w:sz w:val="20"/>
          <w:szCs w:val="20"/>
        </w:rPr>
        <w:noBreakHyphen/>
        <w:t>error</w:t>
      </w:r>
      <w:r w:rsidRPr="00E66CB6">
        <w:rPr>
          <w:rFonts w:ascii="Times New Roman" w:hAnsi="Times New Roman" w:cs="Times New Roman"/>
          <w:sz w:val="20"/>
          <w:szCs w:val="20"/>
        </w:rPr>
        <w:t>, and </w:t>
      </w:r>
      <w:r w:rsidRPr="00E66CB6">
        <w:rPr>
          <w:rFonts w:ascii="Times New Roman" w:hAnsi="Times New Roman" w:cs="Times New Roman"/>
          <w:i/>
          <w:iCs/>
          <w:sz w:val="20"/>
          <w:szCs w:val="20"/>
        </w:rPr>
        <w:t>feedback</w:t>
      </w:r>
      <w:r w:rsidRPr="00E66CB6">
        <w:rPr>
          <w:rFonts w:ascii="Times New Roman" w:hAnsi="Times New Roman" w:cs="Times New Roman"/>
          <w:sz w:val="20"/>
          <w:szCs w:val="20"/>
        </w:rPr>
        <w:t xml:space="preserve">. For </w:t>
      </w:r>
      <w:r w:rsidRPr="00E66CB6">
        <w:rPr>
          <w:rFonts w:ascii="Times New Roman" w:hAnsi="Times New Roman" w:cs="Times New Roman"/>
          <w:sz w:val="20"/>
          <w:szCs w:val="20"/>
        </w:rPr>
        <w:lastRenderedPageBreak/>
        <w:t>persuasive games, codes included </w:t>
      </w:r>
      <w:r w:rsidRPr="00E66CB6">
        <w:rPr>
          <w:rFonts w:ascii="Times New Roman" w:hAnsi="Times New Roman" w:cs="Times New Roman"/>
          <w:i/>
          <w:iCs/>
          <w:sz w:val="20"/>
          <w:szCs w:val="20"/>
        </w:rPr>
        <w:t>choice</w:t>
      </w:r>
      <w:r w:rsidRPr="00E66CB6">
        <w:rPr>
          <w:rFonts w:ascii="Times New Roman" w:hAnsi="Times New Roman" w:cs="Times New Roman"/>
          <w:i/>
          <w:iCs/>
          <w:sz w:val="20"/>
          <w:szCs w:val="20"/>
        </w:rPr>
        <w:noBreakHyphen/>
        <w:t>consequence link</w:t>
      </w:r>
      <w:r w:rsidRPr="00E66CB6">
        <w:rPr>
          <w:rFonts w:ascii="Times New Roman" w:hAnsi="Times New Roman" w:cs="Times New Roman"/>
          <w:sz w:val="20"/>
          <w:szCs w:val="20"/>
        </w:rPr>
        <w:t>, </w:t>
      </w:r>
      <w:r w:rsidRPr="00E66CB6">
        <w:rPr>
          <w:rFonts w:ascii="Times New Roman" w:hAnsi="Times New Roman" w:cs="Times New Roman"/>
          <w:i/>
          <w:iCs/>
          <w:sz w:val="20"/>
          <w:szCs w:val="20"/>
        </w:rPr>
        <w:t>procedural claim</w:t>
      </w:r>
      <w:r w:rsidRPr="00E66CB6">
        <w:rPr>
          <w:rFonts w:ascii="Times New Roman" w:hAnsi="Times New Roman" w:cs="Times New Roman"/>
          <w:sz w:val="20"/>
          <w:szCs w:val="20"/>
        </w:rPr>
        <w:t>, </w:t>
      </w:r>
      <w:r w:rsidRPr="00E66CB6">
        <w:rPr>
          <w:rFonts w:ascii="Times New Roman" w:hAnsi="Times New Roman" w:cs="Times New Roman"/>
          <w:i/>
          <w:iCs/>
          <w:sz w:val="20"/>
          <w:szCs w:val="20"/>
        </w:rPr>
        <w:t>reward/punishment</w:t>
      </w:r>
      <w:r w:rsidRPr="00E66CB6">
        <w:rPr>
          <w:rFonts w:ascii="Times New Roman" w:hAnsi="Times New Roman" w:cs="Times New Roman"/>
          <w:sz w:val="20"/>
          <w:szCs w:val="20"/>
        </w:rPr>
        <w:t>, and </w:t>
      </w:r>
      <w:r w:rsidRPr="00E66CB6">
        <w:rPr>
          <w:rFonts w:ascii="Times New Roman" w:hAnsi="Times New Roman" w:cs="Times New Roman"/>
          <w:i/>
          <w:iCs/>
          <w:sz w:val="20"/>
          <w:szCs w:val="20"/>
        </w:rPr>
        <w:t>value orientation</w:t>
      </w:r>
      <w:r w:rsidRPr="00E66CB6">
        <w:rPr>
          <w:rFonts w:ascii="Times New Roman" w:hAnsi="Times New Roman" w:cs="Times New Roman"/>
          <w:sz w:val="20"/>
          <w:szCs w:val="20"/>
        </w:rPr>
        <w:t>. For ecological literacy, codes included </w:t>
      </w:r>
      <w:r w:rsidRPr="00E66CB6">
        <w:rPr>
          <w:rFonts w:ascii="Times New Roman" w:hAnsi="Times New Roman" w:cs="Times New Roman"/>
          <w:i/>
          <w:iCs/>
          <w:sz w:val="20"/>
          <w:szCs w:val="20"/>
        </w:rPr>
        <w:t>ecological knowledge</w:t>
      </w:r>
      <w:r w:rsidRPr="00E66CB6">
        <w:rPr>
          <w:rFonts w:ascii="Times New Roman" w:hAnsi="Times New Roman" w:cs="Times New Roman"/>
          <w:sz w:val="20"/>
          <w:szCs w:val="20"/>
        </w:rPr>
        <w:t>, </w:t>
      </w:r>
      <w:r w:rsidRPr="00E66CB6">
        <w:rPr>
          <w:rFonts w:ascii="Times New Roman" w:hAnsi="Times New Roman" w:cs="Times New Roman"/>
          <w:i/>
          <w:iCs/>
          <w:sz w:val="20"/>
          <w:szCs w:val="20"/>
        </w:rPr>
        <w:t>interdependence</w:t>
      </w:r>
      <w:r w:rsidRPr="00E66CB6">
        <w:rPr>
          <w:rFonts w:ascii="Times New Roman" w:hAnsi="Times New Roman" w:cs="Times New Roman"/>
          <w:sz w:val="20"/>
          <w:szCs w:val="20"/>
        </w:rPr>
        <w:t>, </w:t>
      </w:r>
      <w:r w:rsidRPr="00E66CB6">
        <w:rPr>
          <w:rFonts w:ascii="Times New Roman" w:hAnsi="Times New Roman" w:cs="Times New Roman"/>
          <w:i/>
          <w:iCs/>
          <w:sz w:val="20"/>
          <w:szCs w:val="20"/>
        </w:rPr>
        <w:t>systems thinking</w:t>
      </w:r>
      <w:r w:rsidRPr="00E66CB6">
        <w:rPr>
          <w:rFonts w:ascii="Times New Roman" w:hAnsi="Times New Roman" w:cs="Times New Roman"/>
          <w:sz w:val="20"/>
          <w:szCs w:val="20"/>
        </w:rPr>
        <w:t>, </w:t>
      </w:r>
      <w:r w:rsidRPr="00E66CB6">
        <w:rPr>
          <w:rFonts w:ascii="Times New Roman" w:hAnsi="Times New Roman" w:cs="Times New Roman"/>
          <w:i/>
          <w:iCs/>
          <w:sz w:val="20"/>
          <w:szCs w:val="20"/>
        </w:rPr>
        <w:t>affective proximity</w:t>
      </w:r>
      <w:r w:rsidRPr="00E66CB6">
        <w:rPr>
          <w:rFonts w:ascii="Times New Roman" w:hAnsi="Times New Roman" w:cs="Times New Roman"/>
          <w:sz w:val="20"/>
          <w:szCs w:val="20"/>
        </w:rPr>
        <w:t>, and </w:t>
      </w:r>
      <w:r w:rsidRPr="00E66CB6">
        <w:rPr>
          <w:rFonts w:ascii="Times New Roman" w:hAnsi="Times New Roman" w:cs="Times New Roman"/>
          <w:i/>
          <w:iCs/>
          <w:sz w:val="20"/>
          <w:szCs w:val="20"/>
        </w:rPr>
        <w:t>action orientation</w:t>
      </w:r>
      <w:r w:rsidRPr="00E66CB6">
        <w:rPr>
          <w:rFonts w:ascii="Times New Roman" w:hAnsi="Times New Roman" w:cs="Times New Roman"/>
          <w:sz w:val="20"/>
          <w:szCs w:val="20"/>
        </w:rPr>
        <w:t>. This stage ensured that the analysis remained grounded in established theory while allowing for systematic exploration of the game’s design features.</w:t>
      </w:r>
    </w:p>
    <w:p w14:paraId="304A8C3E"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b/>
          <w:bCs/>
          <w:sz w:val="20"/>
          <w:szCs w:val="20"/>
        </w:rPr>
        <w:t>Stage 2: Thematic Merging</w:t>
      </w:r>
      <w:r w:rsidRPr="00E66CB6">
        <w:rPr>
          <w:rFonts w:ascii="Times New Roman" w:hAnsi="Times New Roman" w:cs="Times New Roman"/>
          <w:sz w:val="20"/>
          <w:szCs w:val="20"/>
        </w:rPr>
        <w:t> – Overlapping codes were merged into broader thematic categories. For example, </w:t>
      </w:r>
      <w:r w:rsidRPr="00E66CB6">
        <w:rPr>
          <w:rFonts w:ascii="Times New Roman" w:hAnsi="Times New Roman" w:cs="Times New Roman"/>
          <w:i/>
          <w:iCs/>
          <w:sz w:val="20"/>
          <w:szCs w:val="20"/>
        </w:rPr>
        <w:t>trial</w:t>
      </w:r>
      <w:r w:rsidRPr="00E66CB6">
        <w:rPr>
          <w:rFonts w:ascii="Times New Roman" w:hAnsi="Times New Roman" w:cs="Times New Roman"/>
          <w:i/>
          <w:iCs/>
          <w:sz w:val="20"/>
          <w:szCs w:val="20"/>
        </w:rPr>
        <w:noBreakHyphen/>
        <w:t>and</w:t>
      </w:r>
      <w:r w:rsidRPr="00E66CB6">
        <w:rPr>
          <w:rFonts w:ascii="Times New Roman" w:hAnsi="Times New Roman" w:cs="Times New Roman"/>
          <w:i/>
          <w:iCs/>
          <w:sz w:val="20"/>
          <w:szCs w:val="20"/>
        </w:rPr>
        <w:noBreakHyphen/>
        <w:t>error</w:t>
      </w:r>
      <w:r w:rsidRPr="00E66CB6">
        <w:rPr>
          <w:rFonts w:ascii="Times New Roman" w:hAnsi="Times New Roman" w:cs="Times New Roman"/>
          <w:sz w:val="20"/>
          <w:szCs w:val="20"/>
        </w:rPr>
        <w:t> and </w:t>
      </w:r>
      <w:r w:rsidRPr="00E66CB6">
        <w:rPr>
          <w:rFonts w:ascii="Times New Roman" w:hAnsi="Times New Roman" w:cs="Times New Roman"/>
          <w:i/>
          <w:iCs/>
          <w:sz w:val="20"/>
          <w:szCs w:val="20"/>
        </w:rPr>
        <w:t>feedback</w:t>
      </w:r>
      <w:r w:rsidRPr="00E66CB6">
        <w:rPr>
          <w:rFonts w:ascii="Times New Roman" w:hAnsi="Times New Roman" w:cs="Times New Roman"/>
          <w:sz w:val="20"/>
          <w:szCs w:val="20"/>
        </w:rPr>
        <w:t> were consolidated under </w:t>
      </w:r>
      <w:r w:rsidRPr="00E66CB6">
        <w:rPr>
          <w:rFonts w:ascii="Times New Roman" w:hAnsi="Times New Roman" w:cs="Times New Roman"/>
          <w:i/>
          <w:iCs/>
          <w:sz w:val="20"/>
          <w:szCs w:val="20"/>
        </w:rPr>
        <w:t>experiential learning mechanisms</w:t>
      </w:r>
      <w:r w:rsidRPr="00E66CB6">
        <w:rPr>
          <w:rFonts w:ascii="Times New Roman" w:hAnsi="Times New Roman" w:cs="Times New Roman"/>
          <w:sz w:val="20"/>
          <w:szCs w:val="20"/>
        </w:rPr>
        <w:t>. Similarly, </w:t>
      </w:r>
      <w:r w:rsidRPr="00E66CB6">
        <w:rPr>
          <w:rFonts w:ascii="Times New Roman" w:hAnsi="Times New Roman" w:cs="Times New Roman"/>
          <w:i/>
          <w:iCs/>
          <w:sz w:val="20"/>
          <w:szCs w:val="20"/>
        </w:rPr>
        <w:t>choice</w:t>
      </w:r>
      <w:r w:rsidRPr="00E66CB6">
        <w:rPr>
          <w:rFonts w:ascii="Times New Roman" w:hAnsi="Times New Roman" w:cs="Times New Roman"/>
          <w:i/>
          <w:iCs/>
          <w:sz w:val="20"/>
          <w:szCs w:val="20"/>
        </w:rPr>
        <w:noBreakHyphen/>
        <w:t>consequence link</w:t>
      </w:r>
      <w:r w:rsidRPr="00E66CB6">
        <w:rPr>
          <w:rFonts w:ascii="Times New Roman" w:hAnsi="Times New Roman" w:cs="Times New Roman"/>
          <w:sz w:val="20"/>
          <w:szCs w:val="20"/>
        </w:rPr>
        <w:t> and </w:t>
      </w:r>
      <w:r w:rsidRPr="00E66CB6">
        <w:rPr>
          <w:rFonts w:ascii="Times New Roman" w:hAnsi="Times New Roman" w:cs="Times New Roman"/>
          <w:i/>
          <w:iCs/>
          <w:sz w:val="20"/>
          <w:szCs w:val="20"/>
        </w:rPr>
        <w:t>reward/punishment</w:t>
      </w:r>
      <w:r w:rsidRPr="00E66CB6">
        <w:rPr>
          <w:rFonts w:ascii="Times New Roman" w:hAnsi="Times New Roman" w:cs="Times New Roman"/>
          <w:sz w:val="20"/>
          <w:szCs w:val="20"/>
        </w:rPr>
        <w:t> were merged into </w:t>
      </w:r>
      <w:r w:rsidRPr="00E66CB6">
        <w:rPr>
          <w:rFonts w:ascii="Times New Roman" w:hAnsi="Times New Roman" w:cs="Times New Roman"/>
          <w:i/>
          <w:iCs/>
          <w:sz w:val="20"/>
          <w:szCs w:val="20"/>
        </w:rPr>
        <w:t>procedural rhetoric structures</w:t>
      </w:r>
      <w:r w:rsidRPr="00E66CB6">
        <w:rPr>
          <w:rFonts w:ascii="Times New Roman" w:hAnsi="Times New Roman" w:cs="Times New Roman"/>
          <w:sz w:val="20"/>
          <w:szCs w:val="20"/>
        </w:rPr>
        <w:t>. This stage facilitated the identification of patterns across the data and reduced redundancy in the coding scheme.</w:t>
      </w:r>
    </w:p>
    <w:p w14:paraId="36F2F81F"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b/>
          <w:bCs/>
          <w:sz w:val="20"/>
          <w:szCs w:val="20"/>
        </w:rPr>
        <w:t>Stage 3: Open Coding for Emergent Themes</w:t>
      </w:r>
      <w:r w:rsidRPr="00E66CB6">
        <w:rPr>
          <w:rFonts w:ascii="Times New Roman" w:hAnsi="Times New Roman" w:cs="Times New Roman"/>
          <w:sz w:val="20"/>
          <w:szCs w:val="20"/>
        </w:rPr>
        <w:t> – For data units that did not fit the existing framework, open coding was applied to allow new themes to emerge inductively (Hsieh &amp; Shannon, 2005). This stage revealed additional categories such as </w:t>
      </w:r>
      <w:r w:rsidRPr="00E66CB6">
        <w:rPr>
          <w:rFonts w:ascii="Times New Roman" w:hAnsi="Times New Roman" w:cs="Times New Roman"/>
          <w:i/>
          <w:iCs/>
          <w:sz w:val="20"/>
          <w:szCs w:val="20"/>
        </w:rPr>
        <w:t>narrative immersion</w:t>
      </w:r>
      <w:r w:rsidRPr="00E66CB6">
        <w:rPr>
          <w:rFonts w:ascii="Times New Roman" w:hAnsi="Times New Roman" w:cs="Times New Roman"/>
          <w:sz w:val="20"/>
          <w:szCs w:val="20"/>
        </w:rPr>
        <w:t> and </w:t>
      </w:r>
      <w:r w:rsidRPr="00E66CB6">
        <w:rPr>
          <w:rFonts w:ascii="Times New Roman" w:hAnsi="Times New Roman" w:cs="Times New Roman"/>
          <w:i/>
          <w:iCs/>
          <w:sz w:val="20"/>
          <w:szCs w:val="20"/>
        </w:rPr>
        <w:t>emotional resonance</w:t>
      </w:r>
      <w:r w:rsidRPr="00E66CB6">
        <w:rPr>
          <w:rFonts w:ascii="Times New Roman" w:hAnsi="Times New Roman" w:cs="Times New Roman"/>
          <w:sz w:val="20"/>
          <w:szCs w:val="20"/>
        </w:rPr>
        <w:t>, which were subsequently integrated into the final analytical model.</w:t>
      </w:r>
    </w:p>
    <w:p w14:paraId="22258FAF"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b/>
          <w:bCs/>
          <w:sz w:val="20"/>
          <w:szCs w:val="20"/>
        </w:rPr>
        <w:t>Inter</w:t>
      </w:r>
      <w:r w:rsidRPr="00E66CB6">
        <w:rPr>
          <w:rFonts w:ascii="Times New Roman" w:hAnsi="Times New Roman" w:cs="Times New Roman"/>
          <w:b/>
          <w:bCs/>
          <w:sz w:val="20"/>
          <w:szCs w:val="20"/>
        </w:rPr>
        <w:noBreakHyphen/>
        <w:t>Coder Reliability</w:t>
      </w:r>
      <w:r w:rsidRPr="00E66CB6">
        <w:rPr>
          <w:rFonts w:ascii="Times New Roman" w:hAnsi="Times New Roman" w:cs="Times New Roman"/>
          <w:sz w:val="20"/>
          <w:szCs w:val="20"/>
        </w:rPr>
        <w:t> – To ensure the objectivity and reliability of the findings (Lincoln &amp; Guba, 1985), two researchers independently coded 20% of the total data set (16 coding units). Inter</w:t>
      </w:r>
      <w:r w:rsidRPr="00E66CB6">
        <w:rPr>
          <w:rFonts w:ascii="Times New Roman" w:hAnsi="Times New Roman" w:cs="Times New Roman"/>
          <w:sz w:val="20"/>
          <w:szCs w:val="20"/>
        </w:rPr>
        <w:noBreakHyphen/>
        <w:t>coder agreement was calculated using Cohen’s Kappa coefficient (Cohen, 1960), yielding a value of κ = 0.83, which indicates an “almost perfect” level of agreement according to Landis and Koch’s (1977) classification. In cases of coding disagreements (e.g., units 7 and 13), the researchers discussed until a consensus was reached and revisited code definitions to ensure consistency.</w:t>
      </w:r>
    </w:p>
    <w:p w14:paraId="1605FEEC"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b/>
          <w:bCs/>
          <w:sz w:val="20"/>
          <w:szCs w:val="20"/>
        </w:rPr>
        <w:t>Analytical Traceability</w:t>
      </w:r>
      <w:r w:rsidRPr="00E66CB6">
        <w:rPr>
          <w:rFonts w:ascii="Times New Roman" w:hAnsi="Times New Roman" w:cs="Times New Roman"/>
          <w:sz w:val="20"/>
          <w:szCs w:val="20"/>
        </w:rPr>
        <w:t> – All coding decisions were recorded in a coding log, which included the date of coding, the coder’s initials, the code assigned, and the rationale for the coding decision. This log ensured analytical traceability and allowed for systematic review of the coding process.</w:t>
      </w:r>
    </w:p>
    <w:p w14:paraId="7F116F1C"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b/>
          <w:bCs/>
          <w:sz w:val="20"/>
          <w:szCs w:val="20"/>
        </w:rPr>
        <w:t>Example Coding Unit</w:t>
      </w:r>
      <w:r w:rsidRPr="00E66CB6">
        <w:rPr>
          <w:rFonts w:ascii="Times New Roman" w:hAnsi="Times New Roman" w:cs="Times New Roman"/>
          <w:sz w:val="20"/>
          <w:szCs w:val="20"/>
        </w:rPr>
        <w:t> – A typical coding unit consisted of a specific in</w:t>
      </w:r>
      <w:r w:rsidRPr="00E66CB6">
        <w:rPr>
          <w:rFonts w:ascii="Times New Roman" w:hAnsi="Times New Roman" w:cs="Times New Roman"/>
          <w:sz w:val="20"/>
          <w:szCs w:val="20"/>
        </w:rPr>
        <w:noBreakHyphen/>
        <w:t>game event, dialogue, or visual cue. For instance, the scene in which the player chooses between exploiting a resource for short</w:t>
      </w:r>
      <w:r w:rsidRPr="00E66CB6">
        <w:rPr>
          <w:rFonts w:ascii="Times New Roman" w:hAnsi="Times New Roman" w:cs="Times New Roman"/>
          <w:sz w:val="20"/>
          <w:szCs w:val="20"/>
        </w:rPr>
        <w:noBreakHyphen/>
        <w:t>term gain and conserving it for long</w:t>
      </w:r>
      <w:r w:rsidRPr="00E66CB6">
        <w:rPr>
          <w:rFonts w:ascii="Times New Roman" w:hAnsi="Times New Roman" w:cs="Times New Roman"/>
          <w:sz w:val="20"/>
          <w:szCs w:val="20"/>
        </w:rPr>
        <w:noBreakHyphen/>
        <w:t>term sustainability was coded under </w:t>
      </w:r>
      <w:r w:rsidRPr="00E66CB6">
        <w:rPr>
          <w:rFonts w:ascii="Times New Roman" w:hAnsi="Times New Roman" w:cs="Times New Roman"/>
          <w:i/>
          <w:iCs/>
          <w:sz w:val="20"/>
          <w:szCs w:val="20"/>
        </w:rPr>
        <w:t>choice</w:t>
      </w:r>
      <w:r w:rsidRPr="00E66CB6">
        <w:rPr>
          <w:rFonts w:ascii="Times New Roman" w:hAnsi="Times New Roman" w:cs="Times New Roman"/>
          <w:i/>
          <w:iCs/>
          <w:sz w:val="20"/>
          <w:szCs w:val="20"/>
        </w:rPr>
        <w:noBreakHyphen/>
        <w:t>consequence link</w:t>
      </w:r>
      <w:r w:rsidRPr="00E66CB6">
        <w:rPr>
          <w:rFonts w:ascii="Times New Roman" w:hAnsi="Times New Roman" w:cs="Times New Roman"/>
          <w:sz w:val="20"/>
          <w:szCs w:val="20"/>
        </w:rPr>
        <w:t> (persuasive games dimension), </w:t>
      </w:r>
      <w:r w:rsidRPr="00E66CB6">
        <w:rPr>
          <w:rFonts w:ascii="Times New Roman" w:hAnsi="Times New Roman" w:cs="Times New Roman"/>
          <w:i/>
          <w:iCs/>
          <w:sz w:val="20"/>
          <w:szCs w:val="20"/>
        </w:rPr>
        <w:t>systems thinking</w:t>
      </w:r>
      <w:r w:rsidRPr="00E66CB6">
        <w:rPr>
          <w:rFonts w:ascii="Times New Roman" w:hAnsi="Times New Roman" w:cs="Times New Roman"/>
          <w:sz w:val="20"/>
          <w:szCs w:val="20"/>
        </w:rPr>
        <w:t> (ecological literacy dimension), and </w:t>
      </w:r>
      <w:r w:rsidRPr="00E66CB6">
        <w:rPr>
          <w:rFonts w:ascii="Times New Roman" w:hAnsi="Times New Roman" w:cs="Times New Roman"/>
          <w:i/>
          <w:iCs/>
          <w:sz w:val="20"/>
          <w:szCs w:val="20"/>
        </w:rPr>
        <w:t>task</w:t>
      </w:r>
      <w:r w:rsidRPr="00E66CB6">
        <w:rPr>
          <w:rFonts w:ascii="Times New Roman" w:hAnsi="Times New Roman" w:cs="Times New Roman"/>
          <w:sz w:val="20"/>
          <w:szCs w:val="20"/>
        </w:rPr>
        <w:t> (serious games dimension). This unit was then further analysed to identify its rhetorical and pedagogical affordances.</w:t>
      </w:r>
    </w:p>
    <w:p w14:paraId="5AE07B08" w14:textId="7ED1BF5A" w:rsidR="00E66CB6" w:rsidRDefault="00E66CB6" w:rsidP="00E66CB6">
      <w:pPr>
        <w:spacing w:line="240" w:lineRule="auto"/>
        <w:jc w:val="both"/>
        <w:rPr>
          <w:rFonts w:ascii="Times New Roman" w:hAnsi="Times New Roman" w:cs="Times New Roman"/>
          <w:sz w:val="20"/>
          <w:szCs w:val="20"/>
        </w:rPr>
      </w:pPr>
    </w:p>
    <w:p w14:paraId="70DCD777"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SM</w:t>
      </w:r>
      <w:r w:rsidRPr="00E66CB6">
        <w:rPr>
          <w:rFonts w:ascii="Times New Roman" w:hAnsi="Times New Roman" w:cs="Times New Roman"/>
          <w:b/>
          <w:bCs/>
          <w:sz w:val="20"/>
          <w:szCs w:val="20"/>
        </w:rPr>
        <w:noBreakHyphen/>
        <w:t>4: Theoretical Framework Elaborations</w:t>
      </w:r>
    </w:p>
    <w:p w14:paraId="6342F035"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Serious Games versus Gamification</w:t>
      </w:r>
    </w:p>
    <w:p w14:paraId="1A060463" w14:textId="77777777" w:rsid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A distinction that warrants elaboration is the difference between serious games and gamification—a distinction that is often blurred in the educational technology literature. Gamification refers to the application of game design elements (such as points, badges, and leaderboards) to non</w:t>
      </w:r>
      <w:r w:rsidRPr="00E66CB6">
        <w:rPr>
          <w:rFonts w:ascii="Times New Roman" w:hAnsi="Times New Roman" w:cs="Times New Roman"/>
          <w:sz w:val="20"/>
          <w:szCs w:val="20"/>
        </w:rPr>
        <w:noBreakHyphen/>
        <w:t>game contexts to motivate and engage users (Deterding et al., 2011). In contrast, serious games are complete games designed with a primary purpose other than pure entertainment—typically education, training, or behaviour change (Tan &amp; Nurul</w:t>
      </w:r>
      <w:r w:rsidRPr="00E66CB6">
        <w:rPr>
          <w:rFonts w:ascii="Times New Roman" w:hAnsi="Times New Roman" w:cs="Times New Roman"/>
          <w:sz w:val="20"/>
          <w:szCs w:val="20"/>
        </w:rPr>
        <w:noBreakHyphen/>
        <w:t>Asna, 2023). While gamification superficially layers game elements onto existing activities, serious games embed learning objectives within the core mechanics of play, thereby enabling experiential and systems</w:t>
      </w:r>
      <w:r w:rsidRPr="00E66CB6">
        <w:rPr>
          <w:rFonts w:ascii="Times New Roman" w:hAnsi="Times New Roman" w:cs="Times New Roman"/>
          <w:sz w:val="20"/>
          <w:szCs w:val="20"/>
        </w:rPr>
        <w:noBreakHyphen/>
        <w:t>based learning that gamification alone cannot achieve (Yanık &amp; Batu, 2019; Gölbaşı &amp; Gökcek, 2022). This distinction is critical for understanding the pedagogical potential of </w:t>
      </w:r>
      <w:r w:rsidRPr="00E66CB6">
        <w:rPr>
          <w:rFonts w:ascii="Times New Roman" w:hAnsi="Times New Roman" w:cs="Times New Roman"/>
          <w:i/>
          <w:iCs/>
          <w:sz w:val="20"/>
          <w:szCs w:val="20"/>
        </w:rPr>
        <w:t>DOMINO: The Little One</w:t>
      </w:r>
      <w:r w:rsidRPr="00E66CB6">
        <w:rPr>
          <w:rFonts w:ascii="Times New Roman" w:hAnsi="Times New Roman" w:cs="Times New Roman"/>
          <w:sz w:val="20"/>
          <w:szCs w:val="20"/>
        </w:rPr>
        <w:t>, as the game’s educational value arises not from extrinsic rewards but from the intrinsic, procedural experience of navigating ecological constraints and observing their consequences.</w:t>
      </w:r>
    </w:p>
    <w:p w14:paraId="73E3095A"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Historical Development of Procedural Rhetoric</w:t>
      </w:r>
    </w:p>
    <w:p w14:paraId="67EAB528"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The concept of procedural rhetoric was introduced by Ian Bogost (2007) as a framework for understanding how video games make arguments through their rules and mechanics rather than through traditional rhetorical modes such as text or imagery. Bogost argued that the operational logic of a game—its procedurality—constitutes a form of persuasion that is uniquely suited to conveying complex systems and ethical dilemmas. In the intervening years, procedural rhetoric has been extended to domains such as political communication, health promotion, and environmental education (Coakley et al., 2015; Backe, 2018). The application of procedural rhetoric to climate change education is particularly promising because the climate crisis is itself a procedural phenomenon: it unfolds through complex, interdependent processes that resist linear narrative representation. By modelling these processes through rules and feedback loops, games such as </w:t>
      </w:r>
      <w:r w:rsidRPr="00E66CB6">
        <w:rPr>
          <w:rFonts w:ascii="Times New Roman" w:hAnsi="Times New Roman" w:cs="Times New Roman"/>
          <w:i/>
          <w:iCs/>
          <w:sz w:val="20"/>
          <w:szCs w:val="20"/>
        </w:rPr>
        <w:t>DOMINO: The Little One</w:t>
      </w:r>
      <w:r w:rsidRPr="00E66CB6">
        <w:rPr>
          <w:rFonts w:ascii="Times New Roman" w:hAnsi="Times New Roman" w:cs="Times New Roman"/>
          <w:sz w:val="20"/>
          <w:szCs w:val="20"/>
        </w:rPr>
        <w:t> can render the climate crisis procedurally legible, enabling players to internalise its systemic nature through direct interaction (Wang &amp; Li, 2026).</w:t>
      </w:r>
    </w:p>
    <w:p w14:paraId="3234BC4A" w14:textId="77777777"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lastRenderedPageBreak/>
        <w:t>Ecological Literacy as a Multidimensional Construct</w:t>
      </w:r>
    </w:p>
    <w:p w14:paraId="2C2826EB"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Ecological literacy, as articulated by Roth (1992) and subsequently developed by numerous scholars, is not a unidimensional competence but a multifaceted construct comprising knowledge, affect, and action orientation (Mao, 2025; Okyay et al., 2022). Knowledge encompasses factual understanding of ecological principles and systems; affect includes environmental sensitivity, empathy, and values; action orientation refers to the capacity and motivation to engage in pro</w:t>
      </w:r>
      <w:r w:rsidRPr="00E66CB6">
        <w:rPr>
          <w:rFonts w:ascii="Times New Roman" w:hAnsi="Times New Roman" w:cs="Times New Roman"/>
          <w:sz w:val="20"/>
          <w:szCs w:val="20"/>
        </w:rPr>
        <w:noBreakHyphen/>
        <w:t>environmental behaviour. Digital games are uniquely suited to address all three dimensions simultaneously: they convey knowledge through simulation, evoke affect through narrative and visual immersion, and prompt action through decision</w:t>
      </w:r>
      <w:r w:rsidRPr="00E66CB6">
        <w:rPr>
          <w:rFonts w:ascii="Times New Roman" w:hAnsi="Times New Roman" w:cs="Times New Roman"/>
          <w:sz w:val="20"/>
          <w:szCs w:val="20"/>
        </w:rPr>
        <w:noBreakHyphen/>
        <w:t>making and feedback (Gardeli et al., 2017; Ho et al., 2022). However, the relative emphasis on each dimension varies across game designs. </w:t>
      </w:r>
      <w:r w:rsidRPr="00E66CB6">
        <w:rPr>
          <w:rFonts w:ascii="Times New Roman" w:hAnsi="Times New Roman" w:cs="Times New Roman"/>
          <w:i/>
          <w:iCs/>
          <w:sz w:val="20"/>
          <w:szCs w:val="20"/>
        </w:rPr>
        <w:t>DOMINO: The Little One</w:t>
      </w:r>
      <w:r w:rsidRPr="00E66CB6">
        <w:rPr>
          <w:rFonts w:ascii="Times New Roman" w:hAnsi="Times New Roman" w:cs="Times New Roman"/>
          <w:sz w:val="20"/>
          <w:szCs w:val="20"/>
        </w:rPr>
        <w:t> excels in the affective and action</w:t>
      </w:r>
      <w:r w:rsidRPr="00E66CB6">
        <w:rPr>
          <w:rFonts w:ascii="Times New Roman" w:hAnsi="Times New Roman" w:cs="Times New Roman"/>
          <w:sz w:val="20"/>
          <w:szCs w:val="20"/>
        </w:rPr>
        <w:noBreakHyphen/>
        <w:t>oriented dimensions but is more limited in its representation of structural and systemic knowledge, reinforcing the need for complementary pedagogical strategies (Galeote &amp; Hamari, 2021).</w:t>
      </w:r>
    </w:p>
    <w:p w14:paraId="1B69DC84" w14:textId="466D7C05" w:rsidR="00E66CB6" w:rsidRPr="00E66CB6" w:rsidRDefault="00E66CB6" w:rsidP="00E66CB6">
      <w:pPr>
        <w:spacing w:line="240" w:lineRule="auto"/>
        <w:jc w:val="both"/>
        <w:rPr>
          <w:rFonts w:ascii="Times New Roman" w:hAnsi="Times New Roman" w:cs="Times New Roman"/>
          <w:sz w:val="20"/>
          <w:szCs w:val="20"/>
        </w:rPr>
      </w:pPr>
    </w:p>
    <w:p w14:paraId="473D70F2" w14:textId="00011948" w:rsidR="00E66CB6" w:rsidRPr="00E66CB6" w:rsidRDefault="00E66CB6" w:rsidP="00E66CB6">
      <w:pPr>
        <w:spacing w:line="240" w:lineRule="auto"/>
        <w:jc w:val="both"/>
        <w:rPr>
          <w:rFonts w:ascii="Times New Roman" w:hAnsi="Times New Roman" w:cs="Times New Roman"/>
          <w:b/>
          <w:bCs/>
          <w:sz w:val="20"/>
          <w:szCs w:val="20"/>
        </w:rPr>
      </w:pPr>
      <w:r w:rsidRPr="00E66CB6">
        <w:rPr>
          <w:rFonts w:ascii="Times New Roman" w:hAnsi="Times New Roman" w:cs="Times New Roman"/>
          <w:b/>
          <w:bCs/>
          <w:sz w:val="20"/>
          <w:szCs w:val="20"/>
        </w:rPr>
        <w:t>References</w:t>
      </w:r>
    </w:p>
    <w:p w14:paraId="775543BF" w14:textId="77777777" w:rsidR="00D26CA5" w:rsidRPr="00D35982" w:rsidRDefault="00D26CA5" w:rsidP="00D26CA5">
      <w:pPr>
        <w:spacing w:line="240" w:lineRule="auto"/>
        <w:jc w:val="both"/>
        <w:rPr>
          <w:rFonts w:ascii="Times New Roman" w:hAnsi="Times New Roman" w:cs="Times New Roman"/>
          <w:sz w:val="20"/>
          <w:szCs w:val="20"/>
        </w:rPr>
      </w:pPr>
      <w:r w:rsidRPr="00D35982">
        <w:rPr>
          <w:rFonts w:ascii="Times New Roman" w:hAnsi="Times New Roman" w:cs="Times New Roman"/>
          <w:sz w:val="20"/>
          <w:szCs w:val="20"/>
        </w:rPr>
        <w:t>Backe, H.-J. (2018). Green gaming: Vorschläge für eine Ökokritik des Computerspiels. In C. Solte-Gresser &amp; C. Schmitt (Eds.), </w:t>
      </w:r>
      <w:r w:rsidRPr="00D35982">
        <w:rPr>
          <w:rFonts w:ascii="Times New Roman" w:hAnsi="Times New Roman" w:cs="Times New Roman"/>
          <w:i/>
          <w:iCs/>
          <w:sz w:val="20"/>
          <w:szCs w:val="20"/>
        </w:rPr>
        <w:t>Literatur und Ökologie: Neue literatur- und kulturwissenschaftliche Perspektiven</w:t>
      </w:r>
      <w:r w:rsidRPr="00D35982">
        <w:rPr>
          <w:rFonts w:ascii="Times New Roman" w:hAnsi="Times New Roman" w:cs="Times New Roman"/>
          <w:sz w:val="20"/>
          <w:szCs w:val="20"/>
        </w:rPr>
        <w:t> (pp. 171-184). Aisthesis Verlag.</w:t>
      </w:r>
    </w:p>
    <w:p w14:paraId="1B22C836" w14:textId="39E60BB0" w:rsidR="00E66CB6" w:rsidRDefault="00F751E5" w:rsidP="00E66CB6">
      <w:pPr>
        <w:spacing w:line="240" w:lineRule="auto"/>
        <w:jc w:val="both"/>
        <w:rPr>
          <w:rFonts w:ascii="Times New Roman" w:hAnsi="Times New Roman" w:cs="Times New Roman"/>
          <w:sz w:val="20"/>
          <w:szCs w:val="20"/>
        </w:rPr>
      </w:pPr>
      <w:r w:rsidRPr="00F751E5">
        <w:rPr>
          <w:rFonts w:ascii="Times New Roman" w:hAnsi="Times New Roman" w:cs="Times New Roman"/>
          <w:sz w:val="20"/>
          <w:szCs w:val="20"/>
        </w:rPr>
        <w:t>Becken, S., &amp; Hay, J. E. (2007). Tourism and Climate Change: Risks and Opportunities. Bristol.</w:t>
      </w:r>
      <w:r w:rsidRPr="00F751E5">
        <w:rPr>
          <w:rFonts w:ascii="Times New Roman" w:hAnsi="Times New Roman" w:cs="Times New Roman"/>
          <w:sz w:val="20"/>
          <w:szCs w:val="20"/>
        </w:rPr>
        <w:br/>
      </w:r>
      <w:hyperlink r:id="rId7" w:history="1">
        <w:r w:rsidRPr="007B244C">
          <w:rPr>
            <w:rStyle w:val="Hyperlink"/>
            <w:rFonts w:ascii="Times New Roman" w:hAnsi="Times New Roman" w:cs="Times New Roman"/>
            <w:sz w:val="20"/>
            <w:szCs w:val="20"/>
          </w:rPr>
          <w:t>https://doi.org/10.21832/9781845410681</w:t>
        </w:r>
      </w:hyperlink>
      <w:r>
        <w:rPr>
          <w:rFonts w:ascii="Times New Roman" w:hAnsi="Times New Roman" w:cs="Times New Roman"/>
          <w:sz w:val="20"/>
          <w:szCs w:val="20"/>
        </w:rPr>
        <w:t xml:space="preserve"> </w:t>
      </w:r>
    </w:p>
    <w:p w14:paraId="58B85DFD" w14:textId="77777777" w:rsidR="00A445C6" w:rsidRPr="005670FB" w:rsidRDefault="00A445C6" w:rsidP="00A445C6">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Biçen, N., Demir, Y., Sarıhan, Ş., &amp; Teke, İ. (2025). Genç öğrencileri güçlendirerek çevreyi koruma ve iklim değişikliğiyle mücadele etmesine yönelik işbirlikçi CEATY (Gençler için temiz enerji elçisi eğitimi) projesi. </w:t>
      </w:r>
      <w:r w:rsidRPr="005670FB">
        <w:rPr>
          <w:rFonts w:ascii="Times New Roman" w:hAnsi="Times New Roman" w:cs="Times New Roman"/>
          <w:i/>
          <w:iCs/>
          <w:sz w:val="20"/>
          <w:szCs w:val="20"/>
        </w:rPr>
        <w:t>UPUES Journal</w:t>
      </w:r>
      <w:r w:rsidRPr="005670FB">
        <w:rPr>
          <w:rFonts w:ascii="Times New Roman" w:hAnsi="Times New Roman" w:cs="Times New Roman"/>
          <w:sz w:val="20"/>
          <w:szCs w:val="20"/>
        </w:rPr>
        <w:t>, 2(2), 117-138.</w:t>
      </w:r>
    </w:p>
    <w:p w14:paraId="7AAC39A5" w14:textId="77777777" w:rsidR="00D26CA5" w:rsidRDefault="00D26CA5" w:rsidP="00D26CA5">
      <w:pPr>
        <w:spacing w:line="240" w:lineRule="auto"/>
        <w:jc w:val="both"/>
      </w:pPr>
      <w:r w:rsidRPr="00D35982">
        <w:rPr>
          <w:rFonts w:ascii="Times New Roman" w:hAnsi="Times New Roman" w:cs="Times New Roman"/>
          <w:sz w:val="20"/>
          <w:szCs w:val="20"/>
        </w:rPr>
        <w:t>Bogost, I. (2007). </w:t>
      </w:r>
      <w:r w:rsidRPr="00D35982">
        <w:rPr>
          <w:rFonts w:ascii="Times New Roman" w:hAnsi="Times New Roman" w:cs="Times New Roman"/>
          <w:i/>
          <w:iCs/>
          <w:sz w:val="20"/>
          <w:szCs w:val="20"/>
        </w:rPr>
        <w:t>Persuasive Games: The Expressive Power of Videogames</w:t>
      </w:r>
      <w:r w:rsidRPr="00D35982">
        <w:rPr>
          <w:rFonts w:ascii="Times New Roman" w:hAnsi="Times New Roman" w:cs="Times New Roman"/>
          <w:sz w:val="20"/>
          <w:szCs w:val="20"/>
        </w:rPr>
        <w:t xml:space="preserve">. MIT Press. </w:t>
      </w:r>
      <w:hyperlink r:id="rId8" w:tgtFrame="_blank" w:history="1">
        <w:r w:rsidRPr="00D35982">
          <w:rPr>
            <w:rStyle w:val="Hyperlink"/>
            <w:rFonts w:ascii="Times New Roman" w:hAnsi="Times New Roman" w:cs="Times New Roman"/>
            <w:sz w:val="20"/>
            <w:szCs w:val="20"/>
          </w:rPr>
          <w:t>https://doi.org/10.7551/mitpress/5334.001.0001</w:t>
        </w:r>
      </w:hyperlink>
    </w:p>
    <w:p w14:paraId="55353583" w14:textId="77777777" w:rsidR="00D26CA5" w:rsidRDefault="00D26CA5" w:rsidP="00D26CA5">
      <w:pPr>
        <w:spacing w:line="240" w:lineRule="auto"/>
        <w:jc w:val="both"/>
        <w:rPr>
          <w:rFonts w:ascii="Times New Roman" w:hAnsi="Times New Roman" w:cs="Times New Roman"/>
          <w:sz w:val="20"/>
          <w:szCs w:val="20"/>
        </w:rPr>
      </w:pPr>
      <w:r w:rsidRPr="00D35982">
        <w:rPr>
          <w:rFonts w:ascii="Times New Roman" w:hAnsi="Times New Roman" w:cs="Times New Roman"/>
          <w:sz w:val="20"/>
          <w:szCs w:val="20"/>
        </w:rPr>
        <w:t>Coakley, D., Garvey, R., Súilleabháin, G. Ó., &amp; Pivec, M. (2015). A room with a green view – Using and creating games for sustainability education. </w:t>
      </w:r>
      <w:r w:rsidRPr="00D35982">
        <w:rPr>
          <w:rFonts w:ascii="Times New Roman" w:hAnsi="Times New Roman" w:cs="Times New Roman"/>
          <w:i/>
          <w:iCs/>
          <w:sz w:val="20"/>
          <w:szCs w:val="20"/>
        </w:rPr>
        <w:t>E-Learning Papers</w:t>
      </w:r>
      <w:r w:rsidRPr="00D35982">
        <w:rPr>
          <w:rFonts w:ascii="Times New Roman" w:hAnsi="Times New Roman" w:cs="Times New Roman"/>
          <w:sz w:val="20"/>
          <w:szCs w:val="20"/>
        </w:rPr>
        <w:t>, 43.</w:t>
      </w:r>
    </w:p>
    <w:p w14:paraId="0541C95D" w14:textId="77777777" w:rsidR="00193A61" w:rsidRPr="005670FB" w:rsidRDefault="00193A61" w:rsidP="00193A61">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Cohen, J. (1960). A coefficient of agreement for nominal scales. </w:t>
      </w:r>
      <w:r w:rsidRPr="005670FB">
        <w:rPr>
          <w:rFonts w:ascii="Times New Roman" w:hAnsi="Times New Roman" w:cs="Times New Roman"/>
          <w:i/>
          <w:iCs/>
          <w:sz w:val="20"/>
          <w:szCs w:val="20"/>
        </w:rPr>
        <w:t>Educational and Psychological Measurement</w:t>
      </w:r>
      <w:r w:rsidRPr="005670FB">
        <w:rPr>
          <w:rFonts w:ascii="Times New Roman" w:hAnsi="Times New Roman" w:cs="Times New Roman"/>
          <w:sz w:val="20"/>
          <w:szCs w:val="20"/>
        </w:rPr>
        <w:t>, 20, 37-46. </w:t>
      </w:r>
      <w:hyperlink r:id="rId9" w:tgtFrame="_blank" w:history="1">
        <w:r w:rsidRPr="005670FB">
          <w:rPr>
            <w:rStyle w:val="Hyperlink"/>
            <w:rFonts w:ascii="Times New Roman" w:hAnsi="Times New Roman" w:cs="Times New Roman"/>
            <w:sz w:val="20"/>
            <w:szCs w:val="20"/>
          </w:rPr>
          <w:t>https://doi.org/10.1177/001316446002000104</w:t>
        </w:r>
      </w:hyperlink>
    </w:p>
    <w:p w14:paraId="2067805C" w14:textId="77777777" w:rsidR="00E66CB6" w:rsidRP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Çetin, Y., Islak, Y., Çınar, E., &amp; Hassan, A. (2026). Between pixels and emotions: Semiotic-NLP deconstruction of cultural heritage's social media image. </w:t>
      </w:r>
      <w:r w:rsidRPr="00E66CB6">
        <w:rPr>
          <w:rFonts w:ascii="Times New Roman" w:hAnsi="Times New Roman" w:cs="Times New Roman"/>
          <w:i/>
          <w:iCs/>
          <w:sz w:val="20"/>
          <w:szCs w:val="20"/>
        </w:rPr>
        <w:t>Research Square</w:t>
      </w:r>
      <w:r w:rsidRPr="00E66CB6">
        <w:rPr>
          <w:rFonts w:ascii="Times New Roman" w:hAnsi="Times New Roman" w:cs="Times New Roman"/>
          <w:sz w:val="20"/>
          <w:szCs w:val="20"/>
        </w:rPr>
        <w:t>. </w:t>
      </w:r>
      <w:hyperlink r:id="rId10" w:tgtFrame="_blank" w:history="1">
        <w:r w:rsidRPr="00E66CB6">
          <w:rPr>
            <w:rStyle w:val="Hyperlink"/>
            <w:rFonts w:ascii="Times New Roman" w:hAnsi="Times New Roman" w:cs="Times New Roman"/>
            <w:sz w:val="20"/>
            <w:szCs w:val="20"/>
          </w:rPr>
          <w:t>https://doi.org/10.21203/rs.3.rs-8882435/v1</w:t>
        </w:r>
      </w:hyperlink>
    </w:p>
    <w:p w14:paraId="372A809C" w14:textId="6FF31DA6" w:rsidR="00362A2C" w:rsidRDefault="00362A2C" w:rsidP="00E66CB6">
      <w:pPr>
        <w:spacing w:line="240" w:lineRule="auto"/>
        <w:jc w:val="both"/>
        <w:rPr>
          <w:rStyle w:val="Hyperlink"/>
          <w:rFonts w:ascii="Times New Roman" w:hAnsi="Times New Roman" w:cs="Times New Roman"/>
          <w:sz w:val="20"/>
          <w:szCs w:val="20"/>
        </w:rPr>
      </w:pPr>
      <w:r w:rsidRPr="00362A2C">
        <w:rPr>
          <w:rFonts w:ascii="Times New Roman" w:hAnsi="Times New Roman" w:cs="Times New Roman"/>
          <w:sz w:val="20"/>
          <w:szCs w:val="20"/>
        </w:rPr>
        <w:t>Deterding, S., Dixon, D., Khaled, R., &amp; Nacke, L. (2011). From game design elements to gamefulness: Defining "gamification". In Proceedings of the 15th International Academic MindTrek Conference: Envisioning Future Media Environments (pp. 9–15). Association for Computing Machinery.</w:t>
      </w:r>
      <w:r w:rsidRPr="00362A2C">
        <w:t xml:space="preserve"> </w:t>
      </w:r>
      <w:hyperlink r:id="rId11" w:history="1">
        <w:r w:rsidR="00A445C6" w:rsidRPr="008A1321">
          <w:rPr>
            <w:rStyle w:val="Hyperlink"/>
            <w:rFonts w:ascii="Times New Roman" w:hAnsi="Times New Roman" w:cs="Times New Roman"/>
            <w:sz w:val="20"/>
            <w:szCs w:val="20"/>
          </w:rPr>
          <w:t>https://doi.org/10.1145/2181037.2181040</w:t>
        </w:r>
      </w:hyperlink>
    </w:p>
    <w:p w14:paraId="13B72C8C" w14:textId="77777777" w:rsidR="00A445C6" w:rsidRPr="005670FB" w:rsidRDefault="00A445C6" w:rsidP="00A445C6">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Fjællingsdal, K. S., &amp; Klöckner, C. A. (2017). ENED-GEM: A conceptual framework model for psychological enjoyment factors and learning mechanisms in educational games about the environment. </w:t>
      </w:r>
      <w:r w:rsidRPr="005670FB">
        <w:rPr>
          <w:rFonts w:ascii="Times New Roman" w:hAnsi="Times New Roman" w:cs="Times New Roman"/>
          <w:i/>
          <w:iCs/>
          <w:sz w:val="20"/>
          <w:szCs w:val="20"/>
        </w:rPr>
        <w:t>Frontiers in Psychology</w:t>
      </w:r>
      <w:r w:rsidRPr="005670FB">
        <w:rPr>
          <w:rFonts w:ascii="Times New Roman" w:hAnsi="Times New Roman" w:cs="Times New Roman"/>
          <w:sz w:val="20"/>
          <w:szCs w:val="20"/>
        </w:rPr>
        <w:t>, 8, 1085. </w:t>
      </w:r>
      <w:hyperlink r:id="rId12" w:tgtFrame="_blank" w:history="1">
        <w:r w:rsidRPr="005670FB">
          <w:rPr>
            <w:rStyle w:val="Hyperlink"/>
            <w:rFonts w:ascii="Times New Roman" w:hAnsi="Times New Roman" w:cs="Times New Roman"/>
            <w:sz w:val="20"/>
            <w:szCs w:val="20"/>
          </w:rPr>
          <w:t>https://doi.org/10.3389/fpsyg.2017.01085</w:t>
        </w:r>
      </w:hyperlink>
    </w:p>
    <w:p w14:paraId="19798BA6" w14:textId="77777777" w:rsidR="00D26CA5" w:rsidRDefault="00D26CA5" w:rsidP="00D26CA5">
      <w:pPr>
        <w:spacing w:line="240" w:lineRule="auto"/>
        <w:jc w:val="both"/>
      </w:pPr>
      <w:r w:rsidRPr="00D35982">
        <w:rPr>
          <w:rFonts w:ascii="Times New Roman" w:hAnsi="Times New Roman" w:cs="Times New Roman"/>
          <w:sz w:val="20"/>
          <w:szCs w:val="20"/>
        </w:rPr>
        <w:t>Font, X., &amp; McCabe, S. (2017). Sustainability and marketing in tourism: Its contexts, paradoxes, approaches, challenges and potential. </w:t>
      </w:r>
      <w:r w:rsidRPr="00D35982">
        <w:rPr>
          <w:rFonts w:ascii="Times New Roman" w:hAnsi="Times New Roman" w:cs="Times New Roman"/>
          <w:i/>
          <w:iCs/>
          <w:sz w:val="20"/>
          <w:szCs w:val="20"/>
        </w:rPr>
        <w:t>Journal of Sustainable Tourism</w:t>
      </w:r>
      <w:r w:rsidRPr="00D35982">
        <w:rPr>
          <w:rFonts w:ascii="Times New Roman" w:hAnsi="Times New Roman" w:cs="Times New Roman"/>
          <w:sz w:val="20"/>
          <w:szCs w:val="20"/>
        </w:rPr>
        <w:t>, 25(7), 869-883. </w:t>
      </w:r>
      <w:hyperlink r:id="rId13" w:tgtFrame="_blank" w:history="1">
        <w:r w:rsidRPr="00D35982">
          <w:rPr>
            <w:rStyle w:val="Hyperlink"/>
            <w:rFonts w:ascii="Times New Roman" w:hAnsi="Times New Roman" w:cs="Times New Roman"/>
            <w:sz w:val="20"/>
            <w:szCs w:val="20"/>
          </w:rPr>
          <w:t>https://doi.org/10.1080/09669582.2017.1301721</w:t>
        </w:r>
      </w:hyperlink>
    </w:p>
    <w:p w14:paraId="2C8E88F7" w14:textId="77777777" w:rsidR="00D26CA5" w:rsidRDefault="00D26CA5" w:rsidP="00D26CA5">
      <w:pPr>
        <w:spacing w:line="240" w:lineRule="auto"/>
        <w:jc w:val="both"/>
      </w:pPr>
      <w:r w:rsidRPr="00D35982">
        <w:rPr>
          <w:rFonts w:ascii="Times New Roman" w:hAnsi="Times New Roman" w:cs="Times New Roman"/>
          <w:sz w:val="20"/>
          <w:szCs w:val="20"/>
        </w:rPr>
        <w:t>Gardeli, A., Vosinakis, S., Englezos, K., Mavroudi, D., Stratis, M., &amp; Stavrakis, M. (2017). Design and development of games and interactive installations for environmental awareness. </w:t>
      </w:r>
      <w:r w:rsidRPr="00D35982">
        <w:rPr>
          <w:rFonts w:ascii="Times New Roman" w:hAnsi="Times New Roman" w:cs="Times New Roman"/>
          <w:i/>
          <w:iCs/>
          <w:sz w:val="20"/>
          <w:szCs w:val="20"/>
        </w:rPr>
        <w:t>EAI Endorsed Transactions on Game-Based Learning</w:t>
      </w:r>
      <w:r w:rsidRPr="00D35982">
        <w:rPr>
          <w:rFonts w:ascii="Times New Roman" w:hAnsi="Times New Roman" w:cs="Times New Roman"/>
          <w:sz w:val="20"/>
          <w:szCs w:val="20"/>
        </w:rPr>
        <w:t>, 4(12), 153402. </w:t>
      </w:r>
      <w:hyperlink r:id="rId14" w:tgtFrame="_blank" w:history="1">
        <w:r w:rsidRPr="00D35982">
          <w:rPr>
            <w:rStyle w:val="Hyperlink"/>
            <w:rFonts w:ascii="Times New Roman" w:hAnsi="Times New Roman" w:cs="Times New Roman"/>
            <w:sz w:val="20"/>
            <w:szCs w:val="20"/>
          </w:rPr>
          <w:t>http://eprints.eai.eu/id/eprint/16815</w:t>
        </w:r>
      </w:hyperlink>
    </w:p>
    <w:p w14:paraId="14CEAD9F" w14:textId="77777777" w:rsidR="00D26CA5" w:rsidRDefault="00D26CA5" w:rsidP="00D26CA5">
      <w:pPr>
        <w:spacing w:line="240" w:lineRule="auto"/>
        <w:jc w:val="both"/>
      </w:pPr>
      <w:r w:rsidRPr="00D35982">
        <w:rPr>
          <w:rFonts w:ascii="Times New Roman" w:hAnsi="Times New Roman" w:cs="Times New Roman"/>
          <w:sz w:val="20"/>
          <w:szCs w:val="20"/>
        </w:rPr>
        <w:t>Galeote, D. F., &amp; Hamari, J. (2021). Game-based climate change engagement. </w:t>
      </w:r>
      <w:r w:rsidRPr="00D35982">
        <w:rPr>
          <w:rFonts w:ascii="Times New Roman" w:hAnsi="Times New Roman" w:cs="Times New Roman"/>
          <w:i/>
          <w:iCs/>
          <w:sz w:val="20"/>
          <w:szCs w:val="20"/>
        </w:rPr>
        <w:t>Proceedings of the ACM on Human-Computer Interaction</w:t>
      </w:r>
      <w:r w:rsidRPr="00D35982">
        <w:rPr>
          <w:rFonts w:ascii="Times New Roman" w:hAnsi="Times New Roman" w:cs="Times New Roman"/>
          <w:sz w:val="20"/>
          <w:szCs w:val="20"/>
        </w:rPr>
        <w:t>, 5, 1-21. </w:t>
      </w:r>
      <w:hyperlink r:id="rId15" w:tgtFrame="_blank" w:history="1">
        <w:r w:rsidRPr="00D35982">
          <w:rPr>
            <w:rStyle w:val="Hyperlink"/>
            <w:rFonts w:ascii="Times New Roman" w:hAnsi="Times New Roman" w:cs="Times New Roman"/>
            <w:sz w:val="20"/>
            <w:szCs w:val="20"/>
          </w:rPr>
          <w:t>https://doi.org/10.1145/3474653</w:t>
        </w:r>
      </w:hyperlink>
    </w:p>
    <w:p w14:paraId="1B8857FE" w14:textId="6C84E7E8" w:rsidR="00A35C9E" w:rsidRPr="005670FB" w:rsidRDefault="00A35C9E" w:rsidP="00A35C9E">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 xml:space="preserve">Gölbaşı, B. T., &amp; Gökcek, H. A. (2022). </w:t>
      </w:r>
      <w:r w:rsidR="00E47378" w:rsidRPr="005670FB">
        <w:rPr>
          <w:rFonts w:ascii="Times New Roman" w:hAnsi="Times New Roman" w:cs="Times New Roman"/>
          <w:sz w:val="20"/>
          <w:szCs w:val="20"/>
        </w:rPr>
        <w:t>Dijital Pazarlamaya Yönelik Olarak Oyunlaştırma İçeren E-Ticaret Siteleri Üzerine Bir Meta Analiz</w:t>
      </w:r>
      <w:r w:rsidRPr="005670FB">
        <w:rPr>
          <w:rFonts w:ascii="Times New Roman" w:hAnsi="Times New Roman" w:cs="Times New Roman"/>
          <w:sz w:val="20"/>
          <w:szCs w:val="20"/>
        </w:rPr>
        <w:t>. </w:t>
      </w:r>
      <w:r w:rsidRPr="005670FB">
        <w:rPr>
          <w:rFonts w:ascii="Times New Roman" w:hAnsi="Times New Roman" w:cs="Times New Roman"/>
          <w:i/>
          <w:iCs/>
          <w:sz w:val="20"/>
          <w:szCs w:val="20"/>
        </w:rPr>
        <w:t>Elektronik Sosyal Bilimler Dergisi</w:t>
      </w:r>
      <w:r w:rsidRPr="005670FB">
        <w:rPr>
          <w:rFonts w:ascii="Times New Roman" w:hAnsi="Times New Roman" w:cs="Times New Roman"/>
          <w:sz w:val="20"/>
          <w:szCs w:val="20"/>
        </w:rPr>
        <w:t>, 21(84), 1909-1929. </w:t>
      </w:r>
      <w:hyperlink r:id="rId16" w:tgtFrame="_blank" w:history="1">
        <w:r w:rsidRPr="005670FB">
          <w:rPr>
            <w:rStyle w:val="Hyperlink"/>
            <w:rFonts w:ascii="Times New Roman" w:hAnsi="Times New Roman" w:cs="Times New Roman"/>
            <w:sz w:val="20"/>
            <w:szCs w:val="20"/>
          </w:rPr>
          <w:t>https://doi.org/10.17755/esosder.1064214</w:t>
        </w:r>
      </w:hyperlink>
    </w:p>
    <w:p w14:paraId="615F13BF" w14:textId="77777777" w:rsidR="00D26CA5" w:rsidRDefault="00D26CA5" w:rsidP="00D26CA5">
      <w:pPr>
        <w:spacing w:line="240" w:lineRule="auto"/>
        <w:jc w:val="both"/>
      </w:pPr>
      <w:r w:rsidRPr="00D35982">
        <w:rPr>
          <w:rFonts w:ascii="Times New Roman" w:hAnsi="Times New Roman" w:cs="Times New Roman"/>
          <w:sz w:val="20"/>
          <w:szCs w:val="20"/>
        </w:rPr>
        <w:t>Ho, M., Huyền, N. T. T., Nguyen, M., La, V., &amp; Vuong, Q. (2022). Virtual tree, real impact: How simulated worlds associate with the perception of limited resources. </w:t>
      </w:r>
      <w:r w:rsidRPr="00D35982">
        <w:rPr>
          <w:rFonts w:ascii="Times New Roman" w:hAnsi="Times New Roman" w:cs="Times New Roman"/>
          <w:i/>
          <w:iCs/>
          <w:sz w:val="20"/>
          <w:szCs w:val="20"/>
        </w:rPr>
        <w:t>Humanities and Social Sciences Communications</w:t>
      </w:r>
      <w:r w:rsidRPr="00D35982">
        <w:rPr>
          <w:rFonts w:ascii="Times New Roman" w:hAnsi="Times New Roman" w:cs="Times New Roman"/>
          <w:sz w:val="20"/>
          <w:szCs w:val="20"/>
        </w:rPr>
        <w:t>, 9(1), 213. </w:t>
      </w:r>
      <w:hyperlink r:id="rId17" w:tgtFrame="_blank" w:history="1">
        <w:r w:rsidRPr="00D35982">
          <w:rPr>
            <w:rStyle w:val="Hyperlink"/>
            <w:rFonts w:ascii="Times New Roman" w:hAnsi="Times New Roman" w:cs="Times New Roman"/>
            <w:sz w:val="20"/>
            <w:szCs w:val="20"/>
          </w:rPr>
          <w:t>https://doi.org/10.1057/s41599-022-01225-1</w:t>
        </w:r>
      </w:hyperlink>
    </w:p>
    <w:p w14:paraId="4609EA12" w14:textId="77777777" w:rsidR="00A445C6" w:rsidRDefault="00A445C6" w:rsidP="00A445C6">
      <w:pPr>
        <w:spacing w:line="240" w:lineRule="auto"/>
        <w:jc w:val="both"/>
      </w:pPr>
      <w:r w:rsidRPr="00D35982">
        <w:rPr>
          <w:rFonts w:ascii="Times New Roman" w:hAnsi="Times New Roman" w:cs="Times New Roman"/>
          <w:sz w:val="20"/>
          <w:szCs w:val="20"/>
        </w:rPr>
        <w:lastRenderedPageBreak/>
        <w:t>Hognon, L., Teran-Escobar, C., Bernard, P., Chevance, G., &amp; Caille, P. (2026). A call for robust evaluations of the impacts of serious games for climate change mitigation: The Climate Fresk as a global case study. </w:t>
      </w:r>
      <w:r w:rsidRPr="00D35982">
        <w:rPr>
          <w:rFonts w:ascii="Times New Roman" w:hAnsi="Times New Roman" w:cs="Times New Roman"/>
          <w:i/>
          <w:iCs/>
          <w:sz w:val="20"/>
          <w:szCs w:val="20"/>
        </w:rPr>
        <w:t>Journal of Environmental Psychology</w:t>
      </w:r>
      <w:r w:rsidRPr="00D35982">
        <w:rPr>
          <w:rFonts w:ascii="Times New Roman" w:hAnsi="Times New Roman" w:cs="Times New Roman"/>
          <w:sz w:val="20"/>
          <w:szCs w:val="20"/>
        </w:rPr>
        <w:t>, 110, 102942. </w:t>
      </w:r>
      <w:hyperlink r:id="rId18" w:tgtFrame="_blank" w:history="1">
        <w:r w:rsidRPr="00D35982">
          <w:rPr>
            <w:rStyle w:val="Hyperlink"/>
            <w:rFonts w:ascii="Times New Roman" w:hAnsi="Times New Roman" w:cs="Times New Roman"/>
            <w:sz w:val="20"/>
            <w:szCs w:val="20"/>
          </w:rPr>
          <w:t>https://doi.org/10.1016/j.jenvp.2026.102942</w:t>
        </w:r>
      </w:hyperlink>
    </w:p>
    <w:p w14:paraId="111E39DA" w14:textId="7A966851" w:rsidR="00C12FB2" w:rsidRDefault="00C12FB2" w:rsidP="00D26CA5">
      <w:pPr>
        <w:spacing w:line="240" w:lineRule="auto"/>
        <w:jc w:val="both"/>
      </w:pPr>
      <w:r w:rsidRPr="00C12FB2">
        <w:rPr>
          <w:rFonts w:ascii="Times New Roman" w:hAnsi="Times New Roman" w:cs="Times New Roman"/>
          <w:sz w:val="20"/>
          <w:szCs w:val="20"/>
        </w:rPr>
        <w:t>Hsieh, H.-F., &amp; Shannon, S. E. (2005). Three approaches to qualitative content analysis. Qualitative Health Research, 15(9), 1277–1288.</w:t>
      </w:r>
      <w:r w:rsidRPr="00C12FB2">
        <w:t xml:space="preserve"> </w:t>
      </w:r>
      <w:hyperlink r:id="rId19" w:tgtFrame="_blank" w:history="1">
        <w:r w:rsidRPr="00C12FB2">
          <w:rPr>
            <w:rStyle w:val="Hyperlink"/>
            <w:rFonts w:ascii="Times New Roman" w:hAnsi="Times New Roman" w:cs="Times New Roman"/>
            <w:sz w:val="20"/>
            <w:szCs w:val="20"/>
          </w:rPr>
          <w:t>https://doi.org/10.1177/1049732305276687</w:t>
        </w:r>
      </w:hyperlink>
    </w:p>
    <w:p w14:paraId="67B824C1" w14:textId="77777777" w:rsidR="00A445C6" w:rsidRPr="005670FB" w:rsidRDefault="00A445C6" w:rsidP="00A445C6">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Irabor, T.-J., Yameogo, P. S. A., Perrin, L., Pétré, B., Faulx, D., Rüegg, S. R., &amp; Antoine-Moussiaux, N. (2025). Gaming for change - exploring systems thinking and sustainable practices through complexity-inspired game mechanics. </w:t>
      </w:r>
      <w:r w:rsidRPr="005670FB">
        <w:rPr>
          <w:rFonts w:ascii="Times New Roman" w:hAnsi="Times New Roman" w:cs="Times New Roman"/>
          <w:i/>
          <w:iCs/>
          <w:sz w:val="20"/>
          <w:szCs w:val="20"/>
        </w:rPr>
        <w:t>Humanities and Social Sciences Communications</w:t>
      </w:r>
      <w:r w:rsidRPr="005670FB">
        <w:rPr>
          <w:rFonts w:ascii="Times New Roman" w:hAnsi="Times New Roman" w:cs="Times New Roman"/>
          <w:sz w:val="20"/>
          <w:szCs w:val="20"/>
        </w:rPr>
        <w:t>, 12(1). </w:t>
      </w:r>
      <w:hyperlink r:id="rId20" w:tgtFrame="_blank" w:history="1">
        <w:r w:rsidRPr="005670FB">
          <w:rPr>
            <w:rStyle w:val="Hyperlink"/>
            <w:rFonts w:ascii="Times New Roman" w:hAnsi="Times New Roman" w:cs="Times New Roman"/>
            <w:sz w:val="20"/>
            <w:szCs w:val="20"/>
          </w:rPr>
          <w:t>https://doi.org/10.1057/s41599-025-04990-x</w:t>
        </w:r>
      </w:hyperlink>
    </w:p>
    <w:p w14:paraId="5867093F" w14:textId="77777777" w:rsidR="00A445C6" w:rsidRPr="005670FB" w:rsidRDefault="00A445C6" w:rsidP="00A445C6">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Iwendi, C., Aboutorabi, N., Uwah, S. E., Amiri, F., Hollins, P., &amp; Sharma, V. (2025). Gaming for the planet: Exploring belief, motivation, and behaviour in climate-conscious play. </w:t>
      </w:r>
      <w:r w:rsidRPr="005670FB">
        <w:rPr>
          <w:rFonts w:ascii="Times New Roman" w:hAnsi="Times New Roman" w:cs="Times New Roman"/>
          <w:i/>
          <w:iCs/>
          <w:sz w:val="20"/>
          <w:szCs w:val="20"/>
        </w:rPr>
        <w:t>AI Summit Proceedings</w:t>
      </w:r>
      <w:r w:rsidRPr="005670FB">
        <w:rPr>
          <w:rFonts w:ascii="Times New Roman" w:hAnsi="Times New Roman" w:cs="Times New Roman"/>
          <w:sz w:val="20"/>
          <w:szCs w:val="20"/>
        </w:rPr>
        <w:t>, 573-578. </w:t>
      </w:r>
      <w:hyperlink r:id="rId21" w:tgtFrame="_blank" w:history="1">
        <w:r w:rsidRPr="005670FB">
          <w:rPr>
            <w:rStyle w:val="Hyperlink"/>
            <w:rFonts w:ascii="Times New Roman" w:hAnsi="Times New Roman" w:cs="Times New Roman"/>
            <w:sz w:val="20"/>
            <w:szCs w:val="20"/>
          </w:rPr>
          <w:t>https://doi.org/10.1109/AISummit66170.2025.11410911</w:t>
        </w:r>
      </w:hyperlink>
    </w:p>
    <w:p w14:paraId="47EBE313" w14:textId="77777777" w:rsidR="00193A61" w:rsidRDefault="00193A61" w:rsidP="00193A61">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Landis, J. R., &amp; Koch, G. G. (1977). The measurement of observer agreement for categorical data. </w:t>
      </w:r>
      <w:r w:rsidRPr="005670FB">
        <w:rPr>
          <w:rFonts w:ascii="Times New Roman" w:hAnsi="Times New Roman" w:cs="Times New Roman"/>
          <w:i/>
          <w:iCs/>
          <w:sz w:val="20"/>
          <w:szCs w:val="20"/>
        </w:rPr>
        <w:t>Biometrics</w:t>
      </w:r>
      <w:r w:rsidRPr="005670FB">
        <w:rPr>
          <w:rFonts w:ascii="Times New Roman" w:hAnsi="Times New Roman" w:cs="Times New Roman"/>
          <w:sz w:val="20"/>
          <w:szCs w:val="20"/>
        </w:rPr>
        <w:t>, 33(1), 159-174.</w:t>
      </w:r>
    </w:p>
    <w:p w14:paraId="5E07CA2D" w14:textId="06A71434" w:rsidR="00193A61" w:rsidRPr="005670FB" w:rsidRDefault="00193A61" w:rsidP="00193A61">
      <w:pPr>
        <w:spacing w:line="240" w:lineRule="auto"/>
        <w:jc w:val="both"/>
        <w:rPr>
          <w:rFonts w:ascii="Times New Roman" w:hAnsi="Times New Roman" w:cs="Times New Roman"/>
          <w:sz w:val="20"/>
          <w:szCs w:val="20"/>
        </w:rPr>
      </w:pPr>
      <w:r w:rsidRPr="00193A61">
        <w:rPr>
          <w:rFonts w:ascii="Times New Roman" w:hAnsi="Times New Roman" w:cs="Times New Roman"/>
          <w:sz w:val="20"/>
          <w:szCs w:val="20"/>
        </w:rPr>
        <w:t>Lincoln, Y.S. and Guba, E.G. (1985) Naturalistic Inquiry. SAGE, Thousand Oaks, 289-331.</w:t>
      </w:r>
      <w:r w:rsidRPr="00193A61">
        <w:rPr>
          <w:rFonts w:ascii="Times New Roman" w:hAnsi="Times New Roman" w:cs="Times New Roman"/>
          <w:sz w:val="20"/>
          <w:szCs w:val="20"/>
        </w:rPr>
        <w:br/>
      </w:r>
      <w:hyperlink r:id="rId22" w:history="1">
        <w:r w:rsidRPr="008A1321">
          <w:rPr>
            <w:rStyle w:val="Hyperlink"/>
            <w:rFonts w:ascii="Times New Roman" w:hAnsi="Times New Roman" w:cs="Times New Roman"/>
            <w:sz w:val="20"/>
            <w:szCs w:val="20"/>
          </w:rPr>
          <w:t>http://dx.doi.org/10.1016/0147-1767(85)90062-8</w:t>
        </w:r>
      </w:hyperlink>
      <w:r>
        <w:rPr>
          <w:rFonts w:ascii="Times New Roman" w:hAnsi="Times New Roman" w:cs="Times New Roman"/>
          <w:sz w:val="20"/>
          <w:szCs w:val="20"/>
        </w:rPr>
        <w:t xml:space="preserve"> </w:t>
      </w:r>
    </w:p>
    <w:p w14:paraId="6F932762" w14:textId="77777777" w:rsidR="00D26CA5" w:rsidRDefault="00D26CA5" w:rsidP="00D26CA5">
      <w:pPr>
        <w:spacing w:line="240" w:lineRule="auto"/>
        <w:jc w:val="both"/>
      </w:pPr>
      <w:r w:rsidRPr="00D35982">
        <w:rPr>
          <w:rFonts w:ascii="Times New Roman" w:hAnsi="Times New Roman" w:cs="Times New Roman"/>
          <w:sz w:val="20"/>
          <w:szCs w:val="20"/>
        </w:rPr>
        <w:t>Mao, F. (2025). Learning to address environmental challenges using serious games: A cookbook for beginners. </w:t>
      </w:r>
      <w:r w:rsidRPr="00D35982">
        <w:rPr>
          <w:rFonts w:ascii="Times New Roman" w:hAnsi="Times New Roman" w:cs="Times New Roman"/>
          <w:i/>
          <w:iCs/>
          <w:sz w:val="20"/>
          <w:szCs w:val="20"/>
        </w:rPr>
        <w:t>EGU General Assembly</w:t>
      </w:r>
      <w:r w:rsidRPr="00D35982">
        <w:rPr>
          <w:rFonts w:ascii="Times New Roman" w:hAnsi="Times New Roman" w:cs="Times New Roman"/>
          <w:sz w:val="20"/>
          <w:szCs w:val="20"/>
        </w:rPr>
        <w:t>. </w:t>
      </w:r>
      <w:hyperlink r:id="rId23" w:tgtFrame="_blank" w:history="1">
        <w:r w:rsidRPr="00D35982">
          <w:rPr>
            <w:rStyle w:val="Hyperlink"/>
            <w:rFonts w:ascii="Times New Roman" w:hAnsi="Times New Roman" w:cs="Times New Roman"/>
            <w:sz w:val="20"/>
            <w:szCs w:val="20"/>
          </w:rPr>
          <w:t>https://ui.adsabs.harvard.edu/link_gateway/2025EGUGA..27.3570M/doi:10.5194/egusphere-egu25-3570</w:t>
        </w:r>
      </w:hyperlink>
    </w:p>
    <w:p w14:paraId="797217A7" w14:textId="77777777" w:rsidR="00A445C6" w:rsidRDefault="00A445C6" w:rsidP="00A445C6">
      <w:pPr>
        <w:spacing w:line="240" w:lineRule="auto"/>
        <w:jc w:val="both"/>
      </w:pPr>
      <w:r w:rsidRPr="005670FB">
        <w:rPr>
          <w:rFonts w:ascii="Times New Roman" w:hAnsi="Times New Roman" w:cs="Times New Roman"/>
          <w:sz w:val="20"/>
          <w:szCs w:val="20"/>
        </w:rPr>
        <w:t>Meya, J. N., &amp; Eisenack, K. (2018). Effectiveness of gaming for communicating and teaching climate change. </w:t>
      </w:r>
      <w:r w:rsidRPr="005670FB">
        <w:rPr>
          <w:rFonts w:ascii="Times New Roman" w:hAnsi="Times New Roman" w:cs="Times New Roman"/>
          <w:i/>
          <w:iCs/>
          <w:sz w:val="20"/>
          <w:szCs w:val="20"/>
        </w:rPr>
        <w:t>Climatic Change</w:t>
      </w:r>
      <w:r w:rsidRPr="005670FB">
        <w:rPr>
          <w:rFonts w:ascii="Times New Roman" w:hAnsi="Times New Roman" w:cs="Times New Roman"/>
          <w:sz w:val="20"/>
          <w:szCs w:val="20"/>
        </w:rPr>
        <w:t>, 149, 319-333. </w:t>
      </w:r>
      <w:hyperlink r:id="rId24" w:tgtFrame="_blank" w:history="1">
        <w:r w:rsidRPr="005670FB">
          <w:rPr>
            <w:rStyle w:val="Hyperlink"/>
            <w:rFonts w:ascii="Times New Roman" w:hAnsi="Times New Roman" w:cs="Times New Roman"/>
            <w:sz w:val="20"/>
            <w:szCs w:val="20"/>
          </w:rPr>
          <w:t>https://d-nb.info/1190292424/34</w:t>
        </w:r>
      </w:hyperlink>
    </w:p>
    <w:p w14:paraId="77EB3E03" w14:textId="77777777" w:rsidR="00A445C6" w:rsidRPr="005670FB" w:rsidRDefault="00A445C6" w:rsidP="00A445C6">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Ouariachi, T., Olvera-Lobo, M., &amp; Pérez, J. G. (2017). Evaluación de juegos online para la enseñanza y aprendizaje del cambio climático. </w:t>
      </w:r>
      <w:r w:rsidRPr="005670FB">
        <w:rPr>
          <w:rFonts w:ascii="Times New Roman" w:hAnsi="Times New Roman" w:cs="Times New Roman"/>
          <w:i/>
          <w:iCs/>
          <w:sz w:val="20"/>
          <w:szCs w:val="20"/>
        </w:rPr>
        <w:t>Enseñanza de las Ciencias</w:t>
      </w:r>
      <w:r w:rsidRPr="005670FB">
        <w:rPr>
          <w:rFonts w:ascii="Times New Roman" w:hAnsi="Times New Roman" w:cs="Times New Roman"/>
          <w:sz w:val="20"/>
          <w:szCs w:val="20"/>
        </w:rPr>
        <w:t>, 35(1), 193-214. </w:t>
      </w:r>
      <w:hyperlink r:id="rId25" w:tgtFrame="_blank" w:history="1">
        <w:r w:rsidRPr="005670FB">
          <w:rPr>
            <w:rStyle w:val="Hyperlink"/>
            <w:rFonts w:ascii="Times New Roman" w:hAnsi="Times New Roman" w:cs="Times New Roman"/>
            <w:sz w:val="20"/>
            <w:szCs w:val="20"/>
          </w:rPr>
          <w:t>https://doi.org/10.5565/rev/ensciencias.2088</w:t>
        </w:r>
      </w:hyperlink>
    </w:p>
    <w:p w14:paraId="3C9DD95E" w14:textId="77777777" w:rsidR="00E66CB6" w:rsidRDefault="00E66CB6" w:rsidP="00E66CB6">
      <w:pPr>
        <w:spacing w:line="240" w:lineRule="auto"/>
        <w:jc w:val="both"/>
        <w:rPr>
          <w:rFonts w:ascii="Times New Roman" w:hAnsi="Times New Roman" w:cs="Times New Roman"/>
          <w:sz w:val="20"/>
          <w:szCs w:val="20"/>
        </w:rPr>
      </w:pPr>
      <w:r w:rsidRPr="00E66CB6">
        <w:rPr>
          <w:rFonts w:ascii="Times New Roman" w:hAnsi="Times New Roman" w:cs="Times New Roman"/>
          <w:sz w:val="20"/>
          <w:szCs w:val="20"/>
        </w:rPr>
        <w:t>Roth, C. E. (1992). </w:t>
      </w:r>
      <w:r w:rsidRPr="00E66CB6">
        <w:rPr>
          <w:rFonts w:ascii="Times New Roman" w:hAnsi="Times New Roman" w:cs="Times New Roman"/>
          <w:i/>
          <w:iCs/>
          <w:sz w:val="20"/>
          <w:szCs w:val="20"/>
        </w:rPr>
        <w:t>Environmental Literacy: Its Roots, Evolution and Directions in the 1990s</w:t>
      </w:r>
      <w:r w:rsidRPr="00E66CB6">
        <w:rPr>
          <w:rFonts w:ascii="Times New Roman" w:hAnsi="Times New Roman" w:cs="Times New Roman"/>
          <w:sz w:val="20"/>
          <w:szCs w:val="20"/>
        </w:rPr>
        <w:t>. ERIC Clearinghouse for Science, Mathematics, and Environmental Education.</w:t>
      </w:r>
    </w:p>
    <w:p w14:paraId="390375DA" w14:textId="77777777" w:rsidR="00D26CA5" w:rsidRPr="00D35982" w:rsidRDefault="00D26CA5" w:rsidP="00D26CA5">
      <w:pPr>
        <w:spacing w:line="240" w:lineRule="auto"/>
        <w:jc w:val="both"/>
        <w:rPr>
          <w:rFonts w:ascii="Times New Roman" w:hAnsi="Times New Roman" w:cs="Times New Roman"/>
          <w:sz w:val="20"/>
          <w:szCs w:val="20"/>
        </w:rPr>
      </w:pPr>
      <w:r w:rsidRPr="00D35982">
        <w:rPr>
          <w:rFonts w:ascii="Times New Roman" w:hAnsi="Times New Roman" w:cs="Times New Roman"/>
          <w:sz w:val="20"/>
          <w:szCs w:val="20"/>
        </w:rPr>
        <w:t>Ruhanen, L., &amp; Shakeela, A. (2013). Responding to climate change: A review of tourism and climate change research. </w:t>
      </w:r>
      <w:r w:rsidRPr="00D35982">
        <w:rPr>
          <w:rFonts w:ascii="Times New Roman" w:hAnsi="Times New Roman" w:cs="Times New Roman"/>
          <w:i/>
          <w:iCs/>
          <w:sz w:val="20"/>
          <w:szCs w:val="20"/>
        </w:rPr>
        <w:t>Tourism Management</w:t>
      </w:r>
      <w:r w:rsidRPr="00D35982">
        <w:rPr>
          <w:rFonts w:ascii="Times New Roman" w:hAnsi="Times New Roman" w:cs="Times New Roman"/>
          <w:sz w:val="20"/>
          <w:szCs w:val="20"/>
        </w:rPr>
        <w:t>, 36, 241-253. </w:t>
      </w:r>
      <w:hyperlink r:id="rId26" w:tgtFrame="_blank" w:history="1">
        <w:r w:rsidRPr="00D35982">
          <w:rPr>
            <w:rStyle w:val="Hyperlink"/>
            <w:rFonts w:ascii="Times New Roman" w:hAnsi="Times New Roman" w:cs="Times New Roman"/>
            <w:sz w:val="20"/>
            <w:szCs w:val="20"/>
          </w:rPr>
          <w:t>https://doi.org/10.1080/10941665.2012.688510</w:t>
        </w:r>
      </w:hyperlink>
    </w:p>
    <w:p w14:paraId="76EE7DED" w14:textId="77777777" w:rsidR="00D26CA5" w:rsidRDefault="00D26CA5" w:rsidP="00D26CA5">
      <w:pPr>
        <w:spacing w:line="240" w:lineRule="auto"/>
        <w:jc w:val="both"/>
      </w:pPr>
      <w:r w:rsidRPr="00D35982">
        <w:rPr>
          <w:rFonts w:ascii="Times New Roman" w:hAnsi="Times New Roman" w:cs="Times New Roman"/>
          <w:sz w:val="20"/>
          <w:szCs w:val="20"/>
        </w:rPr>
        <w:t>Scott, D., Hall, C. M., &amp; Gössling, S. (2012). </w:t>
      </w:r>
      <w:r w:rsidRPr="00D35982">
        <w:rPr>
          <w:rFonts w:ascii="Times New Roman" w:hAnsi="Times New Roman" w:cs="Times New Roman"/>
          <w:i/>
          <w:iCs/>
          <w:sz w:val="20"/>
          <w:szCs w:val="20"/>
        </w:rPr>
        <w:t>Tourism and Climate Change: Impacts, Adaptation and Mitigation</w:t>
      </w:r>
      <w:r w:rsidRPr="00D35982">
        <w:rPr>
          <w:rFonts w:ascii="Times New Roman" w:hAnsi="Times New Roman" w:cs="Times New Roman"/>
          <w:sz w:val="20"/>
          <w:szCs w:val="20"/>
        </w:rPr>
        <w:t>. Routledge. </w:t>
      </w:r>
      <w:hyperlink r:id="rId27" w:tgtFrame="_blank" w:history="1">
        <w:r w:rsidRPr="00D35982">
          <w:rPr>
            <w:rStyle w:val="Hyperlink"/>
            <w:rFonts w:ascii="Times New Roman" w:hAnsi="Times New Roman" w:cs="Times New Roman"/>
            <w:sz w:val="20"/>
            <w:szCs w:val="20"/>
          </w:rPr>
          <w:t>https://doi.org/10.4324/9780203127490</w:t>
        </w:r>
      </w:hyperlink>
    </w:p>
    <w:p w14:paraId="7BF3DA67" w14:textId="77777777" w:rsidR="00A445C6" w:rsidRPr="00D35982" w:rsidRDefault="00A445C6" w:rsidP="00A445C6">
      <w:pPr>
        <w:spacing w:line="240" w:lineRule="auto"/>
        <w:jc w:val="both"/>
        <w:rPr>
          <w:rFonts w:ascii="Times New Roman" w:hAnsi="Times New Roman" w:cs="Times New Roman"/>
          <w:sz w:val="20"/>
          <w:szCs w:val="20"/>
        </w:rPr>
      </w:pPr>
      <w:r w:rsidRPr="00D35982">
        <w:rPr>
          <w:rFonts w:ascii="Times New Roman" w:hAnsi="Times New Roman" w:cs="Times New Roman"/>
          <w:sz w:val="20"/>
          <w:szCs w:val="20"/>
        </w:rPr>
        <w:t>Stanitsas, M., Kirytopoulos, K., &amp; Vareilles, É. (2018). Facilitating sustainability transition through serious games: A systematic literature review. </w:t>
      </w:r>
      <w:r w:rsidRPr="00D35982">
        <w:rPr>
          <w:rFonts w:ascii="Times New Roman" w:hAnsi="Times New Roman" w:cs="Times New Roman"/>
          <w:i/>
          <w:iCs/>
          <w:sz w:val="20"/>
          <w:szCs w:val="20"/>
        </w:rPr>
        <w:t>Journal of Cleaner Production</w:t>
      </w:r>
      <w:r w:rsidRPr="00D35982">
        <w:rPr>
          <w:rFonts w:ascii="Times New Roman" w:hAnsi="Times New Roman" w:cs="Times New Roman"/>
          <w:sz w:val="20"/>
          <w:szCs w:val="20"/>
        </w:rPr>
        <w:t>, 208, 924-936. </w:t>
      </w:r>
      <w:hyperlink r:id="rId28" w:tgtFrame="_blank" w:history="1">
        <w:r w:rsidRPr="00D35982">
          <w:rPr>
            <w:rStyle w:val="Hyperlink"/>
            <w:rFonts w:ascii="Times New Roman" w:hAnsi="Times New Roman" w:cs="Times New Roman"/>
            <w:sz w:val="20"/>
            <w:szCs w:val="20"/>
          </w:rPr>
          <w:t>https://doi.org/10.1016/j.jclepro.2018.10.157</w:t>
        </w:r>
      </w:hyperlink>
    </w:p>
    <w:p w14:paraId="6465B8D3" w14:textId="77777777" w:rsidR="00A35C9E" w:rsidRPr="005670FB" w:rsidRDefault="00A35C9E" w:rsidP="00A35C9E">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Tan, C. K. W., &amp; Nurul-Asna, H. (2023). Serious games for environmental education. </w:t>
      </w:r>
      <w:r w:rsidRPr="005670FB">
        <w:rPr>
          <w:rFonts w:ascii="Times New Roman" w:hAnsi="Times New Roman" w:cs="Times New Roman"/>
          <w:i/>
          <w:iCs/>
          <w:sz w:val="20"/>
          <w:szCs w:val="20"/>
        </w:rPr>
        <w:t>Integrative Conservation</w:t>
      </w:r>
      <w:r w:rsidRPr="005670FB">
        <w:rPr>
          <w:rFonts w:ascii="Times New Roman" w:hAnsi="Times New Roman" w:cs="Times New Roman"/>
          <w:sz w:val="20"/>
          <w:szCs w:val="20"/>
        </w:rPr>
        <w:t>, 2(1), 19-42. </w:t>
      </w:r>
      <w:hyperlink r:id="rId29" w:tgtFrame="_blank" w:history="1">
        <w:r w:rsidRPr="005670FB">
          <w:rPr>
            <w:rStyle w:val="Hyperlink"/>
            <w:rFonts w:ascii="Times New Roman" w:hAnsi="Times New Roman" w:cs="Times New Roman"/>
            <w:sz w:val="20"/>
            <w:szCs w:val="20"/>
          </w:rPr>
          <w:t>https://doi.org/10.1002/inc3.18</w:t>
        </w:r>
      </w:hyperlink>
    </w:p>
    <w:p w14:paraId="42DE42C5" w14:textId="77777777" w:rsidR="00D26CA5" w:rsidRDefault="00D26CA5" w:rsidP="00D26CA5">
      <w:pPr>
        <w:spacing w:line="240" w:lineRule="auto"/>
        <w:jc w:val="both"/>
      </w:pPr>
      <w:r w:rsidRPr="00D35982">
        <w:rPr>
          <w:rFonts w:ascii="Times New Roman" w:hAnsi="Times New Roman" w:cs="Times New Roman"/>
          <w:sz w:val="20"/>
          <w:szCs w:val="20"/>
        </w:rPr>
        <w:t>Wang, J., &amp; Li, Y. (2026). From ecology to emotion: How students translate real-world knowledge into game mechanics and narratives. </w:t>
      </w:r>
      <w:r w:rsidRPr="00D35982">
        <w:rPr>
          <w:rFonts w:ascii="Times New Roman" w:hAnsi="Times New Roman" w:cs="Times New Roman"/>
          <w:i/>
          <w:iCs/>
          <w:sz w:val="20"/>
          <w:szCs w:val="20"/>
        </w:rPr>
        <w:t>European Journal of Education</w:t>
      </w:r>
      <w:r w:rsidRPr="00D35982">
        <w:rPr>
          <w:rFonts w:ascii="Times New Roman" w:hAnsi="Times New Roman" w:cs="Times New Roman"/>
          <w:sz w:val="20"/>
          <w:szCs w:val="20"/>
        </w:rPr>
        <w:t>, 61(1). </w:t>
      </w:r>
      <w:hyperlink r:id="rId30" w:tgtFrame="_blank" w:history="1">
        <w:r w:rsidRPr="00D35982">
          <w:rPr>
            <w:rStyle w:val="Hyperlink"/>
            <w:rFonts w:ascii="Times New Roman" w:hAnsi="Times New Roman" w:cs="Times New Roman"/>
            <w:sz w:val="20"/>
            <w:szCs w:val="20"/>
          </w:rPr>
          <w:t>https://doi.org/10.1111/ejed.70534</w:t>
        </w:r>
      </w:hyperlink>
    </w:p>
    <w:p w14:paraId="103C3F75" w14:textId="62ABE3E2" w:rsidR="008C4060" w:rsidRDefault="008C4060" w:rsidP="00D26CA5">
      <w:pPr>
        <w:spacing w:line="240" w:lineRule="auto"/>
        <w:jc w:val="both"/>
      </w:pPr>
      <w:r w:rsidRPr="008C4060">
        <w:rPr>
          <w:rFonts w:ascii="Times New Roman" w:hAnsi="Times New Roman" w:cs="Times New Roman"/>
          <w:sz w:val="20"/>
          <w:szCs w:val="20"/>
        </w:rPr>
        <w:t>VERBI Software. (2022). MAXQDA 2022 [Computer software]. VERBI Software.</w:t>
      </w:r>
      <w:r w:rsidRPr="008C4060">
        <w:t xml:space="preserve"> </w:t>
      </w:r>
      <w:hyperlink r:id="rId31" w:tgtFrame="_blank" w:history="1">
        <w:r w:rsidRPr="008C4060">
          <w:rPr>
            <w:rStyle w:val="Hyperlink"/>
            <w:rFonts w:ascii="Times New Roman" w:hAnsi="Times New Roman" w:cs="Times New Roman"/>
            <w:sz w:val="20"/>
            <w:szCs w:val="20"/>
          </w:rPr>
          <w:t>https://www.maxqda.com</w:t>
        </w:r>
      </w:hyperlink>
    </w:p>
    <w:p w14:paraId="50C6F534" w14:textId="0A955A51" w:rsidR="00A35C9E" w:rsidRPr="005670FB" w:rsidRDefault="00A35C9E" w:rsidP="00A35C9E">
      <w:pPr>
        <w:spacing w:line="240" w:lineRule="auto"/>
        <w:jc w:val="both"/>
        <w:rPr>
          <w:rFonts w:ascii="Times New Roman" w:hAnsi="Times New Roman" w:cs="Times New Roman"/>
          <w:sz w:val="20"/>
          <w:szCs w:val="20"/>
        </w:rPr>
      </w:pPr>
      <w:r w:rsidRPr="005670FB">
        <w:rPr>
          <w:rFonts w:ascii="Times New Roman" w:hAnsi="Times New Roman" w:cs="Times New Roman"/>
          <w:sz w:val="20"/>
          <w:szCs w:val="20"/>
        </w:rPr>
        <w:t xml:space="preserve">Yanık, A., &amp; Batu, M. (2019). </w:t>
      </w:r>
      <w:r w:rsidR="00E47378" w:rsidRPr="005670FB">
        <w:rPr>
          <w:rFonts w:ascii="Times New Roman" w:hAnsi="Times New Roman" w:cs="Times New Roman"/>
          <w:sz w:val="20"/>
          <w:szCs w:val="20"/>
        </w:rPr>
        <w:t xml:space="preserve">E-Öğrenme Oyunlarında Algılanan Haz </w:t>
      </w:r>
      <w:r w:rsidR="00E47378">
        <w:rPr>
          <w:rFonts w:ascii="Times New Roman" w:hAnsi="Times New Roman" w:cs="Times New Roman"/>
          <w:sz w:val="20"/>
          <w:szCs w:val="20"/>
        </w:rPr>
        <w:t>v</w:t>
      </w:r>
      <w:r w:rsidR="00E47378" w:rsidRPr="005670FB">
        <w:rPr>
          <w:rFonts w:ascii="Times New Roman" w:hAnsi="Times New Roman" w:cs="Times New Roman"/>
          <w:sz w:val="20"/>
          <w:szCs w:val="20"/>
        </w:rPr>
        <w:t>e Bilgi Gelişiminin Değerlendirilmesi: Egameflow Ölçeğinin Türkçe'ye Uyarlanması</w:t>
      </w:r>
      <w:r w:rsidRPr="005670FB">
        <w:rPr>
          <w:rFonts w:ascii="Times New Roman" w:hAnsi="Times New Roman" w:cs="Times New Roman"/>
          <w:sz w:val="20"/>
          <w:szCs w:val="20"/>
        </w:rPr>
        <w:t>. </w:t>
      </w:r>
      <w:r w:rsidRPr="005670FB">
        <w:rPr>
          <w:rFonts w:ascii="Times New Roman" w:hAnsi="Times New Roman" w:cs="Times New Roman"/>
          <w:i/>
          <w:iCs/>
          <w:sz w:val="20"/>
          <w:szCs w:val="20"/>
        </w:rPr>
        <w:t>Eğitim Teknolojisi Kuram ve Uygulama</w:t>
      </w:r>
      <w:r w:rsidRPr="005670FB">
        <w:rPr>
          <w:rFonts w:ascii="Times New Roman" w:hAnsi="Times New Roman" w:cs="Times New Roman"/>
          <w:sz w:val="20"/>
          <w:szCs w:val="20"/>
        </w:rPr>
        <w:t>, 9(2), 463-482. </w:t>
      </w:r>
      <w:hyperlink r:id="rId32" w:tgtFrame="_blank" w:history="1">
        <w:r w:rsidRPr="005670FB">
          <w:rPr>
            <w:rStyle w:val="Hyperlink"/>
            <w:rFonts w:ascii="Times New Roman" w:hAnsi="Times New Roman" w:cs="Times New Roman"/>
            <w:sz w:val="20"/>
            <w:szCs w:val="20"/>
          </w:rPr>
          <w:t>https://doi.org/10.17943/etku.541589</w:t>
        </w:r>
      </w:hyperlink>
    </w:p>
    <w:p w14:paraId="10275A7C" w14:textId="77777777" w:rsidR="00A35C9E" w:rsidRPr="00D35982" w:rsidRDefault="00A35C9E" w:rsidP="00D26CA5">
      <w:pPr>
        <w:spacing w:line="240" w:lineRule="auto"/>
        <w:jc w:val="both"/>
        <w:rPr>
          <w:sz w:val="20"/>
          <w:szCs w:val="20"/>
        </w:rPr>
      </w:pPr>
    </w:p>
    <w:p w14:paraId="52D4A582" w14:textId="77777777" w:rsidR="00D26CA5" w:rsidRPr="00D35982" w:rsidRDefault="00D26CA5" w:rsidP="00D26CA5">
      <w:pPr>
        <w:spacing w:line="240" w:lineRule="auto"/>
        <w:jc w:val="both"/>
        <w:rPr>
          <w:rFonts w:ascii="Times New Roman" w:hAnsi="Times New Roman" w:cs="Times New Roman"/>
          <w:sz w:val="20"/>
          <w:szCs w:val="20"/>
        </w:rPr>
      </w:pPr>
    </w:p>
    <w:p w14:paraId="3F4FE41A" w14:textId="77777777" w:rsidR="00D26CA5" w:rsidRPr="00E66CB6" w:rsidRDefault="00D26CA5" w:rsidP="00E66CB6">
      <w:pPr>
        <w:spacing w:line="240" w:lineRule="auto"/>
        <w:jc w:val="both"/>
        <w:rPr>
          <w:rFonts w:ascii="Times New Roman" w:hAnsi="Times New Roman" w:cs="Times New Roman"/>
          <w:sz w:val="20"/>
          <w:szCs w:val="20"/>
        </w:rPr>
      </w:pPr>
    </w:p>
    <w:p w14:paraId="2FEF3446" w14:textId="77777777" w:rsidR="0006339F" w:rsidRPr="00E66CB6" w:rsidRDefault="0006339F" w:rsidP="00E66CB6">
      <w:pPr>
        <w:spacing w:line="240" w:lineRule="auto"/>
        <w:jc w:val="both"/>
        <w:rPr>
          <w:rFonts w:ascii="Times New Roman" w:hAnsi="Times New Roman" w:cs="Times New Roman"/>
          <w:sz w:val="20"/>
          <w:szCs w:val="20"/>
        </w:rPr>
      </w:pPr>
    </w:p>
    <w:sectPr w:rsidR="0006339F" w:rsidRPr="00E66C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58755" w14:textId="77777777" w:rsidR="00372678" w:rsidRDefault="00372678" w:rsidP="008D1D2F">
      <w:pPr>
        <w:spacing w:after="0" w:line="240" w:lineRule="auto"/>
      </w:pPr>
      <w:r>
        <w:separator/>
      </w:r>
    </w:p>
  </w:endnote>
  <w:endnote w:type="continuationSeparator" w:id="0">
    <w:p w14:paraId="313659C2" w14:textId="77777777" w:rsidR="00372678" w:rsidRDefault="00372678" w:rsidP="008D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BB0F6" w14:textId="77777777" w:rsidR="00372678" w:rsidRDefault="00372678" w:rsidP="008D1D2F">
      <w:pPr>
        <w:spacing w:after="0" w:line="240" w:lineRule="auto"/>
      </w:pPr>
      <w:r>
        <w:separator/>
      </w:r>
    </w:p>
  </w:footnote>
  <w:footnote w:type="continuationSeparator" w:id="0">
    <w:p w14:paraId="2C580B9A" w14:textId="77777777" w:rsidR="00372678" w:rsidRDefault="00372678" w:rsidP="008D1D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25E39"/>
    <w:multiLevelType w:val="multilevel"/>
    <w:tmpl w:val="11CE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137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B6"/>
    <w:rsid w:val="0006339F"/>
    <w:rsid w:val="00193A61"/>
    <w:rsid w:val="002777A9"/>
    <w:rsid w:val="002F2B3E"/>
    <w:rsid w:val="00362A2C"/>
    <w:rsid w:val="00372678"/>
    <w:rsid w:val="00527440"/>
    <w:rsid w:val="005A6E79"/>
    <w:rsid w:val="005D6125"/>
    <w:rsid w:val="006603E4"/>
    <w:rsid w:val="007172A2"/>
    <w:rsid w:val="00754F22"/>
    <w:rsid w:val="008C4060"/>
    <w:rsid w:val="008D1D2F"/>
    <w:rsid w:val="00A35C9E"/>
    <w:rsid w:val="00A410C8"/>
    <w:rsid w:val="00A445C6"/>
    <w:rsid w:val="00B24FF6"/>
    <w:rsid w:val="00BB5B09"/>
    <w:rsid w:val="00C04E60"/>
    <w:rsid w:val="00C12FB2"/>
    <w:rsid w:val="00C23CEA"/>
    <w:rsid w:val="00D26CA5"/>
    <w:rsid w:val="00E47378"/>
    <w:rsid w:val="00E66CB6"/>
    <w:rsid w:val="00E73B9A"/>
    <w:rsid w:val="00F751E5"/>
    <w:rsid w:val="00FC54D4"/>
    <w:rsid w:val="00FC5A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A5C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C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C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C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C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C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C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C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C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C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C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C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C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C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C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C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C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CB6"/>
    <w:rPr>
      <w:rFonts w:eastAsiaTheme="majorEastAsia" w:cstheme="majorBidi"/>
      <w:color w:val="272727" w:themeColor="text1" w:themeTint="D8"/>
    </w:rPr>
  </w:style>
  <w:style w:type="paragraph" w:styleId="Title">
    <w:name w:val="Title"/>
    <w:basedOn w:val="Normal"/>
    <w:next w:val="Normal"/>
    <w:link w:val="TitleChar"/>
    <w:uiPriority w:val="10"/>
    <w:qFormat/>
    <w:rsid w:val="00E66C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CB6"/>
    <w:pPr>
      <w:spacing w:before="160"/>
      <w:jc w:val="center"/>
    </w:pPr>
    <w:rPr>
      <w:i/>
      <w:iCs/>
      <w:color w:val="404040" w:themeColor="text1" w:themeTint="BF"/>
    </w:rPr>
  </w:style>
  <w:style w:type="character" w:customStyle="1" w:styleId="QuoteChar">
    <w:name w:val="Quote Char"/>
    <w:basedOn w:val="DefaultParagraphFont"/>
    <w:link w:val="Quote"/>
    <w:uiPriority w:val="29"/>
    <w:rsid w:val="00E66CB6"/>
    <w:rPr>
      <w:i/>
      <w:iCs/>
      <w:color w:val="404040" w:themeColor="text1" w:themeTint="BF"/>
    </w:rPr>
  </w:style>
  <w:style w:type="paragraph" w:styleId="ListParagraph">
    <w:name w:val="List Paragraph"/>
    <w:basedOn w:val="Normal"/>
    <w:uiPriority w:val="34"/>
    <w:qFormat/>
    <w:rsid w:val="00E66CB6"/>
    <w:pPr>
      <w:ind w:left="720"/>
      <w:contextualSpacing/>
    </w:pPr>
  </w:style>
  <w:style w:type="character" w:styleId="IntenseEmphasis">
    <w:name w:val="Intense Emphasis"/>
    <w:basedOn w:val="DefaultParagraphFont"/>
    <w:uiPriority w:val="21"/>
    <w:qFormat/>
    <w:rsid w:val="00E66CB6"/>
    <w:rPr>
      <w:i/>
      <w:iCs/>
      <w:color w:val="0F4761" w:themeColor="accent1" w:themeShade="BF"/>
    </w:rPr>
  </w:style>
  <w:style w:type="paragraph" w:styleId="IntenseQuote">
    <w:name w:val="Intense Quote"/>
    <w:basedOn w:val="Normal"/>
    <w:next w:val="Normal"/>
    <w:link w:val="IntenseQuoteChar"/>
    <w:uiPriority w:val="30"/>
    <w:qFormat/>
    <w:rsid w:val="00E66C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CB6"/>
    <w:rPr>
      <w:i/>
      <w:iCs/>
      <w:color w:val="0F4761" w:themeColor="accent1" w:themeShade="BF"/>
    </w:rPr>
  </w:style>
  <w:style w:type="character" w:styleId="IntenseReference">
    <w:name w:val="Intense Reference"/>
    <w:basedOn w:val="DefaultParagraphFont"/>
    <w:uiPriority w:val="32"/>
    <w:qFormat/>
    <w:rsid w:val="00E66CB6"/>
    <w:rPr>
      <w:b/>
      <w:bCs/>
      <w:smallCaps/>
      <w:color w:val="0F4761" w:themeColor="accent1" w:themeShade="BF"/>
      <w:spacing w:val="5"/>
    </w:rPr>
  </w:style>
  <w:style w:type="character" w:styleId="Hyperlink">
    <w:name w:val="Hyperlink"/>
    <w:basedOn w:val="DefaultParagraphFont"/>
    <w:uiPriority w:val="99"/>
    <w:unhideWhenUsed/>
    <w:rsid w:val="00E66CB6"/>
    <w:rPr>
      <w:color w:val="467886" w:themeColor="hyperlink"/>
      <w:u w:val="single"/>
    </w:rPr>
  </w:style>
  <w:style w:type="character" w:styleId="UnresolvedMention">
    <w:name w:val="Unresolved Mention"/>
    <w:basedOn w:val="DefaultParagraphFont"/>
    <w:uiPriority w:val="99"/>
    <w:semiHidden/>
    <w:unhideWhenUsed/>
    <w:rsid w:val="00E66CB6"/>
    <w:rPr>
      <w:color w:val="605E5C"/>
      <w:shd w:val="clear" w:color="auto" w:fill="E1DFDD"/>
    </w:rPr>
  </w:style>
  <w:style w:type="paragraph" w:styleId="Header">
    <w:name w:val="header"/>
    <w:basedOn w:val="Normal"/>
    <w:link w:val="HeaderChar"/>
    <w:uiPriority w:val="99"/>
    <w:unhideWhenUsed/>
    <w:rsid w:val="008D1D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1D2F"/>
  </w:style>
  <w:style w:type="paragraph" w:styleId="Footer">
    <w:name w:val="footer"/>
    <w:basedOn w:val="Normal"/>
    <w:link w:val="FooterChar"/>
    <w:uiPriority w:val="99"/>
    <w:unhideWhenUsed/>
    <w:rsid w:val="008D1D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1D2F"/>
  </w:style>
  <w:style w:type="table" w:styleId="PlainTable1">
    <w:name w:val="Plain Table 1"/>
    <w:basedOn w:val="TableNormal"/>
    <w:uiPriority w:val="41"/>
    <w:rsid w:val="00BB5B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9669582.2017.1301721" TargetMode="External"/><Relationship Id="rId18" Type="http://schemas.openxmlformats.org/officeDocument/2006/relationships/hyperlink" Target="https://doi.org/10.1016/j.jenvp.2026.102942" TargetMode="External"/><Relationship Id="rId26" Type="http://schemas.openxmlformats.org/officeDocument/2006/relationships/hyperlink" Target="https://doi.org/10.1080/10941665.2012.688510" TargetMode="External"/><Relationship Id="rId3" Type="http://schemas.openxmlformats.org/officeDocument/2006/relationships/settings" Target="settings.xml"/><Relationship Id="rId21" Type="http://schemas.openxmlformats.org/officeDocument/2006/relationships/hyperlink" Target="https://doi.org/10.1109/AISummit66170.2025.11410911" TargetMode="External"/><Relationship Id="rId34" Type="http://schemas.openxmlformats.org/officeDocument/2006/relationships/theme" Target="theme/theme1.xml"/><Relationship Id="rId7" Type="http://schemas.openxmlformats.org/officeDocument/2006/relationships/hyperlink" Target="https://doi.org/10.21832/9781845410681" TargetMode="External"/><Relationship Id="rId12" Type="http://schemas.openxmlformats.org/officeDocument/2006/relationships/hyperlink" Target="https://doi.org/10.3389/fpsyg.2017.01085" TargetMode="External"/><Relationship Id="rId17" Type="http://schemas.openxmlformats.org/officeDocument/2006/relationships/hyperlink" Target="https://doi.org/10.1057/s41599-022-01225-1" TargetMode="External"/><Relationship Id="rId25" Type="http://schemas.openxmlformats.org/officeDocument/2006/relationships/hyperlink" Target="https://doi.org/10.5565/rev/ensciencias.2088"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7755/esosder.1064214" TargetMode="External"/><Relationship Id="rId20" Type="http://schemas.openxmlformats.org/officeDocument/2006/relationships/hyperlink" Target="https://doi.org/10.1057/s41599-025-04990-x" TargetMode="External"/><Relationship Id="rId29" Type="http://schemas.openxmlformats.org/officeDocument/2006/relationships/hyperlink" Target="https://doi.org/10.1002/inc3.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45/2181037.2181040" TargetMode="External"/><Relationship Id="rId24" Type="http://schemas.openxmlformats.org/officeDocument/2006/relationships/hyperlink" Target="https://d-nb.info/1190292424/34" TargetMode="External"/><Relationship Id="rId32" Type="http://schemas.openxmlformats.org/officeDocument/2006/relationships/hyperlink" Target="https://doi.org/10.17943/etku.541589" TargetMode="External"/><Relationship Id="rId5" Type="http://schemas.openxmlformats.org/officeDocument/2006/relationships/footnotes" Target="footnotes.xml"/><Relationship Id="rId15" Type="http://schemas.openxmlformats.org/officeDocument/2006/relationships/hyperlink" Target="https://doi.org/10.1145/3474653" TargetMode="External"/><Relationship Id="rId23" Type="http://schemas.openxmlformats.org/officeDocument/2006/relationships/hyperlink" Target="https://ui.adsabs.harvard.edu/link_gateway/2025EGUGA..27.3570M/doi:10.5194/egusphere-egu25-3570" TargetMode="External"/><Relationship Id="rId28" Type="http://schemas.openxmlformats.org/officeDocument/2006/relationships/hyperlink" Target="https://doi.org/10.1016/j.jclepro.2018.10.157" TargetMode="External"/><Relationship Id="rId10" Type="http://schemas.openxmlformats.org/officeDocument/2006/relationships/hyperlink" Target="https://doi.org/10.21203/rs.3.rs-8882435/v1" TargetMode="External"/><Relationship Id="rId19" Type="http://schemas.openxmlformats.org/officeDocument/2006/relationships/hyperlink" Target="https://doi.org/10.1177/1049732305276687" TargetMode="External"/><Relationship Id="rId31" Type="http://schemas.openxmlformats.org/officeDocument/2006/relationships/hyperlink" Target="https://www.maxqda.com" TargetMode="External"/><Relationship Id="rId4" Type="http://schemas.openxmlformats.org/officeDocument/2006/relationships/webSettings" Target="webSettings.xml"/><Relationship Id="rId9" Type="http://schemas.openxmlformats.org/officeDocument/2006/relationships/hyperlink" Target="https://doi.org/10.1177/001316446002000104" TargetMode="External"/><Relationship Id="rId14" Type="http://schemas.openxmlformats.org/officeDocument/2006/relationships/hyperlink" Target="http://eprints.eai.eu/id/eprint/16815" TargetMode="External"/><Relationship Id="rId22" Type="http://schemas.openxmlformats.org/officeDocument/2006/relationships/hyperlink" Target="http://dx.doi.org/10.1016/0147-1767(85)90062-8" TargetMode="External"/><Relationship Id="rId27" Type="http://schemas.openxmlformats.org/officeDocument/2006/relationships/hyperlink" Target="https://doi.org/10.4324/9780203127490" TargetMode="External"/><Relationship Id="rId30" Type="http://schemas.openxmlformats.org/officeDocument/2006/relationships/hyperlink" Target="https://doi.org/10.1111/ejed.70534" TargetMode="External"/><Relationship Id="rId8" Type="http://schemas.openxmlformats.org/officeDocument/2006/relationships/hyperlink" Target="https://doi.org/10.7551/mitpress/5334.001.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3561</Words>
  <Characters>20298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2026-08-05T11:39:00Z</dcterms:created>
  <dcterms:modified xsi:type="dcterms:W3CDTF">2026-08-20T08:49:00Z</dcterms:modified>
</cp:coreProperties>
</file>