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1A30B" w14:textId="77777777" w:rsidR="008722B6" w:rsidRPr="00594323" w:rsidRDefault="008722B6" w:rsidP="00152D91">
      <w:pPr>
        <w:spacing w:line="480" w:lineRule="auto"/>
        <w:jc w:val="center"/>
        <w:rPr>
          <w:rFonts w:ascii="Arial" w:hAnsi="Arial" w:cs="Arial"/>
          <w:b/>
          <w:bCs/>
          <w:sz w:val="32"/>
          <w:szCs w:val="32"/>
        </w:rPr>
      </w:pPr>
      <w:r w:rsidRPr="00594323">
        <w:rPr>
          <w:rFonts w:ascii="Arial" w:hAnsi="Arial" w:cs="Arial"/>
          <w:b/>
          <w:bCs/>
          <w:sz w:val="32"/>
          <w:szCs w:val="32"/>
        </w:rPr>
        <w:t>Supplemental Materials</w:t>
      </w:r>
    </w:p>
    <w:p w14:paraId="3D48D555" w14:textId="77777777" w:rsidR="00941911" w:rsidRPr="00594323" w:rsidRDefault="00941911" w:rsidP="00152D91">
      <w:pPr>
        <w:spacing w:line="480" w:lineRule="auto"/>
        <w:rPr>
          <w:rFonts w:ascii="Arial" w:hAnsi="Arial" w:cs="Arial"/>
          <w:b/>
          <w:bCs/>
          <w:szCs w:val="21"/>
        </w:rPr>
      </w:pPr>
    </w:p>
    <w:p w14:paraId="2E2CECC8" w14:textId="46C603DF" w:rsidR="00D732C8" w:rsidRPr="00594323" w:rsidRDefault="008722B6" w:rsidP="00152D91">
      <w:pPr>
        <w:spacing w:line="480" w:lineRule="auto"/>
        <w:rPr>
          <w:rFonts w:ascii="Arial" w:hAnsi="Arial" w:cs="Arial"/>
          <w:b/>
          <w:bCs/>
          <w:szCs w:val="21"/>
        </w:rPr>
      </w:pPr>
      <w:r w:rsidRPr="00594323">
        <w:rPr>
          <w:rFonts w:ascii="Arial" w:hAnsi="Arial" w:cs="Arial"/>
          <w:b/>
          <w:bCs/>
          <w:szCs w:val="21"/>
        </w:rPr>
        <w:t xml:space="preserve">Part I. </w:t>
      </w:r>
      <w:r w:rsidR="00950913" w:rsidRPr="00594323">
        <w:rPr>
          <w:rFonts w:ascii="Arial" w:hAnsi="Arial" w:cs="Arial"/>
          <w:b/>
          <w:bCs/>
          <w:szCs w:val="21"/>
        </w:rPr>
        <w:t>S</w:t>
      </w:r>
      <w:r w:rsidRPr="00594323">
        <w:rPr>
          <w:rFonts w:ascii="Arial" w:hAnsi="Arial" w:cs="Arial"/>
          <w:b/>
          <w:bCs/>
          <w:szCs w:val="21"/>
        </w:rPr>
        <w:t xml:space="preserve">upplemental </w:t>
      </w:r>
      <w:r w:rsidR="00594323" w:rsidRPr="00594323">
        <w:rPr>
          <w:rFonts w:ascii="Arial" w:hAnsi="Arial" w:cs="Arial"/>
          <w:b/>
          <w:bCs/>
          <w:szCs w:val="21"/>
        </w:rPr>
        <w:t xml:space="preserve">Tables and </w:t>
      </w:r>
      <w:r w:rsidRPr="00594323">
        <w:rPr>
          <w:rFonts w:ascii="Arial" w:hAnsi="Arial" w:cs="Arial"/>
          <w:b/>
          <w:bCs/>
          <w:szCs w:val="21"/>
        </w:rPr>
        <w:t>figures</w:t>
      </w:r>
    </w:p>
    <w:tbl>
      <w:tblPr>
        <w:tblW w:w="11840" w:type="dxa"/>
        <w:tblInd w:w="108" w:type="dxa"/>
        <w:tblLook w:val="04A0" w:firstRow="1" w:lastRow="0" w:firstColumn="1" w:lastColumn="0" w:noHBand="0" w:noVBand="1"/>
      </w:tblPr>
      <w:tblGrid>
        <w:gridCol w:w="222"/>
        <w:gridCol w:w="4258"/>
        <w:gridCol w:w="222"/>
        <w:gridCol w:w="2442"/>
        <w:gridCol w:w="1263"/>
        <w:gridCol w:w="222"/>
        <w:gridCol w:w="2442"/>
        <w:gridCol w:w="1263"/>
        <w:gridCol w:w="222"/>
      </w:tblGrid>
      <w:tr w:rsidR="00594323" w:rsidRPr="00594323" w14:paraId="477AA94D" w14:textId="77777777" w:rsidTr="00594323">
        <w:trPr>
          <w:trHeight w:val="520"/>
        </w:trPr>
        <w:tc>
          <w:tcPr>
            <w:tcW w:w="11840" w:type="dxa"/>
            <w:gridSpan w:val="9"/>
            <w:tcBorders>
              <w:top w:val="nil"/>
              <w:left w:val="nil"/>
              <w:bottom w:val="nil"/>
              <w:right w:val="nil"/>
            </w:tcBorders>
            <w:shd w:val="clear" w:color="000000" w:fill="FFFFFF"/>
            <w:noWrap/>
            <w:vAlign w:val="bottom"/>
            <w:hideMark/>
          </w:tcPr>
          <w:p w14:paraId="721FC2A2" w14:textId="77777777" w:rsidR="00594323" w:rsidRPr="00594323" w:rsidRDefault="00594323" w:rsidP="00594323">
            <w:pPr>
              <w:rPr>
                <w:rFonts w:ascii="Arial" w:eastAsia="DengXian" w:hAnsi="Arial" w:cs="Arial"/>
                <w:color w:val="000000"/>
              </w:rPr>
            </w:pPr>
            <w:r w:rsidRPr="00594323">
              <w:rPr>
                <w:rFonts w:ascii="Arial" w:eastAsia="DengXian" w:hAnsi="Arial" w:cs="Arial"/>
                <w:b/>
                <w:bCs/>
                <w:color w:val="000000"/>
              </w:rPr>
              <w:t>Table S1.</w:t>
            </w:r>
            <w:r w:rsidRPr="00594323">
              <w:rPr>
                <w:rFonts w:ascii="Arial" w:eastAsia="DengXian" w:hAnsi="Arial" w:cs="Arial"/>
                <w:color w:val="000000"/>
              </w:rPr>
              <w:t xml:space="preserve"> Univariate survival analysis on risk factors for OS in patients undergoing Car-T cell therapy</w:t>
            </w:r>
          </w:p>
        </w:tc>
      </w:tr>
      <w:tr w:rsidR="00594323" w:rsidRPr="00594323" w14:paraId="3016CA2B" w14:textId="77777777" w:rsidTr="00594323">
        <w:trPr>
          <w:trHeight w:val="320"/>
        </w:trPr>
        <w:tc>
          <w:tcPr>
            <w:tcW w:w="43" w:type="dxa"/>
            <w:tcBorders>
              <w:top w:val="nil"/>
              <w:left w:val="nil"/>
              <w:bottom w:val="nil"/>
              <w:right w:val="nil"/>
            </w:tcBorders>
            <w:shd w:val="clear" w:color="000000" w:fill="BFBFBF"/>
            <w:noWrap/>
            <w:vAlign w:val="center"/>
            <w:hideMark/>
          </w:tcPr>
          <w:p w14:paraId="47BDD0E7"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vMerge w:val="restart"/>
            <w:tcBorders>
              <w:top w:val="nil"/>
              <w:left w:val="nil"/>
              <w:bottom w:val="nil"/>
              <w:right w:val="nil"/>
            </w:tcBorders>
            <w:shd w:val="clear" w:color="000000" w:fill="BFBFBF"/>
            <w:noWrap/>
            <w:vAlign w:val="center"/>
            <w:hideMark/>
          </w:tcPr>
          <w:p w14:paraId="58041744" w14:textId="77777777" w:rsidR="00594323" w:rsidRPr="00594323" w:rsidRDefault="00594323" w:rsidP="00594323">
            <w:pPr>
              <w:rPr>
                <w:rFonts w:ascii="Arial" w:eastAsia="DengXian" w:hAnsi="Arial" w:cs="Arial"/>
                <w:b/>
                <w:bCs/>
                <w:color w:val="000000"/>
              </w:rPr>
            </w:pPr>
            <w:r w:rsidRPr="00594323">
              <w:rPr>
                <w:rFonts w:ascii="Arial" w:eastAsia="DengXian" w:hAnsi="Arial" w:cs="Arial"/>
                <w:b/>
                <w:bCs/>
                <w:color w:val="000000"/>
              </w:rPr>
              <w:t>Variation</w:t>
            </w:r>
          </w:p>
        </w:tc>
        <w:tc>
          <w:tcPr>
            <w:tcW w:w="43" w:type="dxa"/>
            <w:tcBorders>
              <w:top w:val="nil"/>
              <w:left w:val="nil"/>
              <w:bottom w:val="nil"/>
              <w:right w:val="nil"/>
            </w:tcBorders>
            <w:shd w:val="clear" w:color="000000" w:fill="BFBFBF"/>
            <w:noWrap/>
            <w:vAlign w:val="center"/>
            <w:hideMark/>
          </w:tcPr>
          <w:p w14:paraId="2FFD7461" w14:textId="77777777" w:rsidR="00594323" w:rsidRPr="00594323" w:rsidRDefault="00594323" w:rsidP="00594323">
            <w:pPr>
              <w:rPr>
                <w:rFonts w:ascii="Arial" w:eastAsia="DengXian" w:hAnsi="Arial" w:cs="Arial"/>
                <w:b/>
                <w:bCs/>
                <w:color w:val="000000"/>
              </w:rPr>
            </w:pPr>
            <w:r w:rsidRPr="00594323">
              <w:rPr>
                <w:rFonts w:ascii="Arial" w:eastAsia="DengXian" w:hAnsi="Arial" w:cs="Arial"/>
                <w:b/>
                <w:bCs/>
                <w:color w:val="000000"/>
              </w:rPr>
              <w:t xml:space="preserve">　</w:t>
            </w:r>
          </w:p>
        </w:tc>
        <w:tc>
          <w:tcPr>
            <w:tcW w:w="3705" w:type="dxa"/>
            <w:gridSpan w:val="2"/>
            <w:tcBorders>
              <w:top w:val="nil"/>
              <w:left w:val="nil"/>
              <w:bottom w:val="nil"/>
              <w:right w:val="nil"/>
            </w:tcBorders>
            <w:shd w:val="clear" w:color="000000" w:fill="BFBFBF"/>
            <w:noWrap/>
            <w:vAlign w:val="center"/>
            <w:hideMark/>
          </w:tcPr>
          <w:p w14:paraId="29667D90" w14:textId="77777777" w:rsidR="00594323" w:rsidRPr="00594323" w:rsidRDefault="00594323" w:rsidP="00594323">
            <w:pPr>
              <w:jc w:val="center"/>
              <w:rPr>
                <w:rFonts w:ascii="Arial" w:eastAsia="DengXian" w:hAnsi="Arial" w:cs="Arial"/>
                <w:b/>
                <w:bCs/>
                <w:color w:val="000000"/>
              </w:rPr>
            </w:pPr>
            <w:r w:rsidRPr="00594323">
              <w:rPr>
                <w:rFonts w:ascii="Arial" w:eastAsia="DengXian" w:hAnsi="Arial" w:cs="Arial"/>
                <w:b/>
                <w:bCs/>
                <w:color w:val="000000"/>
              </w:rPr>
              <w:t>Non-adjusted</w:t>
            </w:r>
          </w:p>
        </w:tc>
        <w:tc>
          <w:tcPr>
            <w:tcW w:w="43" w:type="dxa"/>
            <w:tcBorders>
              <w:top w:val="nil"/>
              <w:left w:val="nil"/>
              <w:bottom w:val="nil"/>
              <w:right w:val="nil"/>
            </w:tcBorders>
            <w:shd w:val="clear" w:color="000000" w:fill="BFBFBF"/>
            <w:noWrap/>
            <w:vAlign w:val="center"/>
            <w:hideMark/>
          </w:tcPr>
          <w:p w14:paraId="5BEBCC5C" w14:textId="77777777" w:rsidR="00594323" w:rsidRPr="00594323" w:rsidRDefault="00594323" w:rsidP="00594323">
            <w:pPr>
              <w:rPr>
                <w:rFonts w:ascii="Arial" w:eastAsia="DengXian" w:hAnsi="Arial" w:cs="Arial"/>
                <w:b/>
                <w:bCs/>
                <w:color w:val="000000"/>
              </w:rPr>
            </w:pPr>
            <w:r w:rsidRPr="00594323">
              <w:rPr>
                <w:rFonts w:ascii="Arial" w:eastAsia="DengXian" w:hAnsi="Arial" w:cs="Arial"/>
                <w:b/>
                <w:bCs/>
                <w:color w:val="000000"/>
              </w:rPr>
              <w:t xml:space="preserve">　</w:t>
            </w:r>
          </w:p>
        </w:tc>
        <w:tc>
          <w:tcPr>
            <w:tcW w:w="3705" w:type="dxa"/>
            <w:gridSpan w:val="2"/>
            <w:tcBorders>
              <w:top w:val="nil"/>
              <w:left w:val="nil"/>
              <w:bottom w:val="nil"/>
              <w:right w:val="nil"/>
            </w:tcBorders>
            <w:shd w:val="clear" w:color="000000" w:fill="BFBFBF"/>
            <w:noWrap/>
            <w:vAlign w:val="center"/>
            <w:hideMark/>
          </w:tcPr>
          <w:p w14:paraId="000BD778" w14:textId="77777777" w:rsidR="00594323" w:rsidRPr="00594323" w:rsidRDefault="00594323" w:rsidP="00594323">
            <w:pPr>
              <w:jc w:val="center"/>
              <w:rPr>
                <w:rFonts w:ascii="Arial" w:eastAsia="DengXian" w:hAnsi="Arial" w:cs="Arial"/>
                <w:b/>
                <w:bCs/>
                <w:color w:val="000000"/>
              </w:rPr>
            </w:pPr>
            <w:r w:rsidRPr="00594323">
              <w:rPr>
                <w:rFonts w:ascii="Arial" w:eastAsia="DengXian" w:hAnsi="Arial" w:cs="Arial"/>
                <w:b/>
                <w:bCs/>
                <w:color w:val="000000"/>
              </w:rPr>
              <w:t>Model 1</w:t>
            </w:r>
          </w:p>
        </w:tc>
        <w:tc>
          <w:tcPr>
            <w:tcW w:w="43" w:type="dxa"/>
            <w:tcBorders>
              <w:top w:val="nil"/>
              <w:left w:val="nil"/>
              <w:bottom w:val="nil"/>
              <w:right w:val="nil"/>
            </w:tcBorders>
            <w:shd w:val="clear" w:color="000000" w:fill="BFBFBF"/>
            <w:noWrap/>
            <w:vAlign w:val="center"/>
            <w:hideMark/>
          </w:tcPr>
          <w:p w14:paraId="6155B53D" w14:textId="77777777" w:rsidR="00594323" w:rsidRPr="00594323" w:rsidRDefault="00594323" w:rsidP="00594323">
            <w:pPr>
              <w:rPr>
                <w:rFonts w:ascii="Arial" w:eastAsia="DengXian" w:hAnsi="Arial" w:cs="Arial"/>
                <w:b/>
                <w:bCs/>
                <w:color w:val="000000"/>
              </w:rPr>
            </w:pPr>
            <w:r w:rsidRPr="00594323">
              <w:rPr>
                <w:rFonts w:ascii="Arial" w:eastAsia="DengXian" w:hAnsi="Arial" w:cs="Arial"/>
                <w:b/>
                <w:bCs/>
                <w:color w:val="000000"/>
              </w:rPr>
              <w:t xml:space="preserve">　</w:t>
            </w:r>
          </w:p>
        </w:tc>
      </w:tr>
      <w:tr w:rsidR="00594323" w:rsidRPr="00594323" w14:paraId="646AD9BD" w14:textId="77777777" w:rsidTr="00594323">
        <w:trPr>
          <w:trHeight w:val="320"/>
        </w:trPr>
        <w:tc>
          <w:tcPr>
            <w:tcW w:w="43" w:type="dxa"/>
            <w:tcBorders>
              <w:top w:val="nil"/>
              <w:left w:val="nil"/>
              <w:bottom w:val="nil"/>
              <w:right w:val="nil"/>
            </w:tcBorders>
            <w:shd w:val="clear" w:color="000000" w:fill="BFBFBF"/>
            <w:noWrap/>
            <w:vAlign w:val="center"/>
            <w:hideMark/>
          </w:tcPr>
          <w:p w14:paraId="75568F09"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vMerge/>
            <w:tcBorders>
              <w:top w:val="nil"/>
              <w:left w:val="nil"/>
              <w:bottom w:val="nil"/>
              <w:right w:val="nil"/>
            </w:tcBorders>
            <w:vAlign w:val="center"/>
            <w:hideMark/>
          </w:tcPr>
          <w:p w14:paraId="14BA4E0C" w14:textId="77777777" w:rsidR="00594323" w:rsidRPr="00594323" w:rsidRDefault="00594323" w:rsidP="00594323">
            <w:pPr>
              <w:rPr>
                <w:rFonts w:ascii="Arial" w:eastAsia="DengXian" w:hAnsi="Arial" w:cs="Arial"/>
                <w:b/>
                <w:bCs/>
                <w:color w:val="000000"/>
              </w:rPr>
            </w:pPr>
          </w:p>
        </w:tc>
        <w:tc>
          <w:tcPr>
            <w:tcW w:w="43" w:type="dxa"/>
            <w:tcBorders>
              <w:top w:val="nil"/>
              <w:left w:val="nil"/>
              <w:bottom w:val="nil"/>
              <w:right w:val="nil"/>
            </w:tcBorders>
            <w:shd w:val="clear" w:color="000000" w:fill="BFBFBF"/>
            <w:noWrap/>
            <w:vAlign w:val="center"/>
            <w:hideMark/>
          </w:tcPr>
          <w:p w14:paraId="4A50ECEA" w14:textId="77777777" w:rsidR="00594323" w:rsidRPr="00594323" w:rsidRDefault="00594323" w:rsidP="00594323">
            <w:pPr>
              <w:rPr>
                <w:rFonts w:ascii="Arial" w:eastAsia="DengXian" w:hAnsi="Arial" w:cs="Arial"/>
                <w:b/>
                <w:bCs/>
                <w:color w:val="000000"/>
              </w:rPr>
            </w:pPr>
            <w:r w:rsidRPr="00594323">
              <w:rPr>
                <w:rFonts w:ascii="Arial" w:eastAsia="DengXian" w:hAnsi="Arial" w:cs="Arial"/>
                <w:b/>
                <w:bCs/>
                <w:color w:val="000000"/>
              </w:rPr>
              <w:t xml:space="preserve">　</w:t>
            </w:r>
          </w:p>
        </w:tc>
        <w:tc>
          <w:tcPr>
            <w:tcW w:w="2442" w:type="dxa"/>
            <w:tcBorders>
              <w:top w:val="single" w:sz="4" w:space="0" w:color="auto"/>
              <w:left w:val="nil"/>
              <w:bottom w:val="nil"/>
              <w:right w:val="nil"/>
            </w:tcBorders>
            <w:shd w:val="clear" w:color="000000" w:fill="BFBFBF"/>
            <w:noWrap/>
            <w:vAlign w:val="center"/>
            <w:hideMark/>
          </w:tcPr>
          <w:p w14:paraId="1D9D9C96" w14:textId="77777777" w:rsidR="00594323" w:rsidRPr="00594323" w:rsidRDefault="00594323" w:rsidP="00594323">
            <w:pPr>
              <w:jc w:val="center"/>
              <w:rPr>
                <w:rFonts w:ascii="Arial" w:eastAsia="DengXian" w:hAnsi="Arial" w:cs="Arial"/>
                <w:b/>
                <w:bCs/>
                <w:color w:val="000000"/>
              </w:rPr>
            </w:pPr>
            <w:r w:rsidRPr="00594323">
              <w:rPr>
                <w:rFonts w:ascii="Arial" w:eastAsia="DengXian" w:hAnsi="Arial" w:cs="Arial"/>
                <w:b/>
                <w:bCs/>
                <w:color w:val="000000"/>
              </w:rPr>
              <w:t>HR (95% CI)</w:t>
            </w:r>
          </w:p>
        </w:tc>
        <w:tc>
          <w:tcPr>
            <w:tcW w:w="1263" w:type="dxa"/>
            <w:tcBorders>
              <w:top w:val="single" w:sz="4" w:space="0" w:color="auto"/>
              <w:left w:val="nil"/>
              <w:bottom w:val="nil"/>
              <w:right w:val="nil"/>
            </w:tcBorders>
            <w:shd w:val="clear" w:color="000000" w:fill="BFBFBF"/>
            <w:noWrap/>
            <w:vAlign w:val="center"/>
            <w:hideMark/>
          </w:tcPr>
          <w:p w14:paraId="428CD639" w14:textId="77777777" w:rsidR="00594323" w:rsidRPr="00594323" w:rsidRDefault="00594323" w:rsidP="00594323">
            <w:pPr>
              <w:jc w:val="center"/>
              <w:rPr>
                <w:rFonts w:ascii="Arial" w:eastAsia="DengXian" w:hAnsi="Arial" w:cs="Arial"/>
                <w:b/>
                <w:bCs/>
                <w:color w:val="000000"/>
              </w:rPr>
            </w:pPr>
            <w:r w:rsidRPr="00594323">
              <w:rPr>
                <w:rFonts w:ascii="Arial" w:eastAsia="DengXian" w:hAnsi="Arial" w:cs="Arial"/>
                <w:b/>
                <w:bCs/>
                <w:color w:val="000000"/>
              </w:rPr>
              <w:t>p value</w:t>
            </w:r>
          </w:p>
        </w:tc>
        <w:tc>
          <w:tcPr>
            <w:tcW w:w="43" w:type="dxa"/>
            <w:tcBorders>
              <w:top w:val="nil"/>
              <w:left w:val="nil"/>
              <w:bottom w:val="nil"/>
              <w:right w:val="nil"/>
            </w:tcBorders>
            <w:shd w:val="clear" w:color="000000" w:fill="BFBFBF"/>
            <w:noWrap/>
            <w:vAlign w:val="center"/>
            <w:hideMark/>
          </w:tcPr>
          <w:p w14:paraId="3003173C" w14:textId="77777777" w:rsidR="00594323" w:rsidRPr="00594323" w:rsidRDefault="00594323" w:rsidP="00594323">
            <w:pPr>
              <w:jc w:val="center"/>
              <w:rPr>
                <w:rFonts w:ascii="Arial" w:eastAsia="DengXian" w:hAnsi="Arial" w:cs="Arial"/>
                <w:b/>
                <w:bCs/>
                <w:color w:val="000000"/>
              </w:rPr>
            </w:pPr>
            <w:r w:rsidRPr="00594323">
              <w:rPr>
                <w:rFonts w:ascii="Arial" w:eastAsia="DengXian" w:hAnsi="Arial" w:cs="Arial"/>
                <w:b/>
                <w:bCs/>
                <w:color w:val="000000"/>
              </w:rPr>
              <w:t xml:space="preserve">　</w:t>
            </w:r>
          </w:p>
        </w:tc>
        <w:tc>
          <w:tcPr>
            <w:tcW w:w="2442" w:type="dxa"/>
            <w:tcBorders>
              <w:top w:val="single" w:sz="4" w:space="0" w:color="auto"/>
              <w:left w:val="nil"/>
              <w:bottom w:val="nil"/>
              <w:right w:val="nil"/>
            </w:tcBorders>
            <w:shd w:val="clear" w:color="000000" w:fill="BFBFBF"/>
            <w:noWrap/>
            <w:vAlign w:val="center"/>
            <w:hideMark/>
          </w:tcPr>
          <w:p w14:paraId="019F1A10" w14:textId="77777777" w:rsidR="00594323" w:rsidRPr="00594323" w:rsidRDefault="00594323" w:rsidP="00594323">
            <w:pPr>
              <w:jc w:val="center"/>
              <w:rPr>
                <w:rFonts w:ascii="Arial" w:eastAsia="DengXian" w:hAnsi="Arial" w:cs="Arial"/>
                <w:b/>
                <w:bCs/>
                <w:color w:val="000000"/>
              </w:rPr>
            </w:pPr>
            <w:r w:rsidRPr="00594323">
              <w:rPr>
                <w:rFonts w:ascii="Arial" w:eastAsia="DengXian" w:hAnsi="Arial" w:cs="Arial"/>
                <w:b/>
                <w:bCs/>
                <w:color w:val="000000"/>
              </w:rPr>
              <w:t>HR (95% CI)</w:t>
            </w:r>
          </w:p>
        </w:tc>
        <w:tc>
          <w:tcPr>
            <w:tcW w:w="1263" w:type="dxa"/>
            <w:tcBorders>
              <w:top w:val="single" w:sz="4" w:space="0" w:color="auto"/>
              <w:left w:val="nil"/>
              <w:bottom w:val="nil"/>
              <w:right w:val="nil"/>
            </w:tcBorders>
            <w:shd w:val="clear" w:color="000000" w:fill="BFBFBF"/>
            <w:noWrap/>
            <w:vAlign w:val="center"/>
            <w:hideMark/>
          </w:tcPr>
          <w:p w14:paraId="4FB7934E" w14:textId="77777777" w:rsidR="00594323" w:rsidRPr="00594323" w:rsidRDefault="00594323" w:rsidP="00594323">
            <w:pPr>
              <w:jc w:val="center"/>
              <w:rPr>
                <w:rFonts w:ascii="Arial" w:eastAsia="DengXian" w:hAnsi="Arial" w:cs="Arial"/>
                <w:b/>
                <w:bCs/>
                <w:color w:val="000000"/>
              </w:rPr>
            </w:pPr>
            <w:r w:rsidRPr="00594323">
              <w:rPr>
                <w:rFonts w:ascii="Arial" w:eastAsia="DengXian" w:hAnsi="Arial" w:cs="Arial"/>
                <w:b/>
                <w:bCs/>
                <w:color w:val="000000"/>
              </w:rPr>
              <w:t>p value</w:t>
            </w:r>
          </w:p>
        </w:tc>
        <w:tc>
          <w:tcPr>
            <w:tcW w:w="43" w:type="dxa"/>
            <w:tcBorders>
              <w:top w:val="nil"/>
              <w:left w:val="nil"/>
              <w:bottom w:val="nil"/>
              <w:right w:val="nil"/>
            </w:tcBorders>
            <w:shd w:val="clear" w:color="000000" w:fill="BFBFBF"/>
            <w:noWrap/>
            <w:vAlign w:val="center"/>
            <w:hideMark/>
          </w:tcPr>
          <w:p w14:paraId="509AF9B8" w14:textId="77777777" w:rsidR="00594323" w:rsidRPr="00594323" w:rsidRDefault="00594323" w:rsidP="00594323">
            <w:pPr>
              <w:jc w:val="center"/>
              <w:rPr>
                <w:rFonts w:ascii="Arial" w:eastAsia="DengXian" w:hAnsi="Arial" w:cs="Arial"/>
                <w:b/>
                <w:bCs/>
                <w:color w:val="000000"/>
              </w:rPr>
            </w:pPr>
            <w:r w:rsidRPr="00594323">
              <w:rPr>
                <w:rFonts w:ascii="Arial" w:eastAsia="DengXian" w:hAnsi="Arial" w:cs="Arial"/>
                <w:b/>
                <w:bCs/>
                <w:color w:val="000000"/>
              </w:rPr>
              <w:t xml:space="preserve">　</w:t>
            </w:r>
          </w:p>
        </w:tc>
      </w:tr>
      <w:tr w:rsidR="00594323" w:rsidRPr="00594323" w14:paraId="2967CAE3" w14:textId="77777777" w:rsidTr="00594323">
        <w:trPr>
          <w:trHeight w:val="320"/>
        </w:trPr>
        <w:tc>
          <w:tcPr>
            <w:tcW w:w="43" w:type="dxa"/>
            <w:tcBorders>
              <w:top w:val="nil"/>
              <w:left w:val="nil"/>
              <w:bottom w:val="nil"/>
              <w:right w:val="nil"/>
            </w:tcBorders>
            <w:shd w:val="clear" w:color="000000" w:fill="FFFFFF"/>
            <w:noWrap/>
            <w:vAlign w:val="center"/>
            <w:hideMark/>
          </w:tcPr>
          <w:p w14:paraId="723015F4"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FFFFFF"/>
            <w:noWrap/>
            <w:vAlign w:val="center"/>
            <w:hideMark/>
          </w:tcPr>
          <w:p w14:paraId="39C719DE"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Gender, male vs. female</w:t>
            </w:r>
          </w:p>
        </w:tc>
        <w:tc>
          <w:tcPr>
            <w:tcW w:w="43" w:type="dxa"/>
            <w:tcBorders>
              <w:top w:val="nil"/>
              <w:left w:val="nil"/>
              <w:bottom w:val="nil"/>
              <w:right w:val="nil"/>
            </w:tcBorders>
            <w:shd w:val="clear" w:color="000000" w:fill="FFFFFF"/>
            <w:noWrap/>
            <w:vAlign w:val="center"/>
            <w:hideMark/>
          </w:tcPr>
          <w:p w14:paraId="2638269A"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532DAA5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1.73 [0.74, 4.05]</w:t>
            </w:r>
          </w:p>
        </w:tc>
        <w:tc>
          <w:tcPr>
            <w:tcW w:w="1263" w:type="dxa"/>
            <w:tcBorders>
              <w:top w:val="nil"/>
              <w:left w:val="nil"/>
              <w:bottom w:val="nil"/>
              <w:right w:val="nil"/>
            </w:tcBorders>
            <w:shd w:val="clear" w:color="000000" w:fill="FFFFFF"/>
            <w:noWrap/>
            <w:vAlign w:val="center"/>
            <w:hideMark/>
          </w:tcPr>
          <w:p w14:paraId="19EC1DD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0.208</w:t>
            </w:r>
          </w:p>
        </w:tc>
        <w:tc>
          <w:tcPr>
            <w:tcW w:w="43" w:type="dxa"/>
            <w:tcBorders>
              <w:top w:val="nil"/>
              <w:left w:val="nil"/>
              <w:bottom w:val="nil"/>
              <w:right w:val="nil"/>
            </w:tcBorders>
            <w:shd w:val="clear" w:color="000000" w:fill="FFFFFF"/>
            <w:noWrap/>
            <w:vAlign w:val="center"/>
            <w:hideMark/>
          </w:tcPr>
          <w:p w14:paraId="1241022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62FCEF4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w:t>
            </w:r>
          </w:p>
        </w:tc>
        <w:tc>
          <w:tcPr>
            <w:tcW w:w="1263" w:type="dxa"/>
            <w:tcBorders>
              <w:top w:val="nil"/>
              <w:left w:val="nil"/>
              <w:bottom w:val="nil"/>
              <w:right w:val="nil"/>
            </w:tcBorders>
            <w:shd w:val="clear" w:color="000000" w:fill="FFFFFF"/>
            <w:noWrap/>
            <w:vAlign w:val="center"/>
            <w:hideMark/>
          </w:tcPr>
          <w:p w14:paraId="1C7477D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w:t>
            </w:r>
          </w:p>
        </w:tc>
        <w:tc>
          <w:tcPr>
            <w:tcW w:w="43" w:type="dxa"/>
            <w:tcBorders>
              <w:top w:val="nil"/>
              <w:left w:val="nil"/>
              <w:bottom w:val="nil"/>
              <w:right w:val="nil"/>
            </w:tcBorders>
            <w:shd w:val="clear" w:color="000000" w:fill="FFFFFF"/>
            <w:noWrap/>
            <w:vAlign w:val="center"/>
            <w:hideMark/>
          </w:tcPr>
          <w:p w14:paraId="3B2584E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5C4D2B38" w14:textId="77777777" w:rsidTr="00594323">
        <w:trPr>
          <w:trHeight w:val="320"/>
        </w:trPr>
        <w:tc>
          <w:tcPr>
            <w:tcW w:w="43" w:type="dxa"/>
            <w:tcBorders>
              <w:top w:val="nil"/>
              <w:left w:val="nil"/>
              <w:bottom w:val="nil"/>
              <w:right w:val="nil"/>
            </w:tcBorders>
            <w:shd w:val="clear" w:color="000000" w:fill="D9D9D9"/>
            <w:noWrap/>
            <w:vAlign w:val="center"/>
            <w:hideMark/>
          </w:tcPr>
          <w:p w14:paraId="0DDF38D0"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D9D9D9"/>
            <w:noWrap/>
            <w:vAlign w:val="center"/>
            <w:hideMark/>
          </w:tcPr>
          <w:p w14:paraId="47934EF1"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Age (year), ≥ 60 vs. </w:t>
            </w:r>
            <w:r w:rsidRPr="00594323">
              <w:rPr>
                <w:rFonts w:ascii="宋体" w:eastAsia="宋体" w:hAnsi="宋体" w:cs="Arial" w:hint="eastAsia"/>
                <w:color w:val="000000"/>
              </w:rPr>
              <w:t>＜</w:t>
            </w:r>
            <w:r w:rsidRPr="00594323">
              <w:rPr>
                <w:rFonts w:ascii="Arial" w:eastAsia="DengXian" w:hAnsi="Arial" w:cs="Arial"/>
                <w:color w:val="000000"/>
              </w:rPr>
              <w:t xml:space="preserve"> 60</w:t>
            </w:r>
          </w:p>
        </w:tc>
        <w:tc>
          <w:tcPr>
            <w:tcW w:w="43" w:type="dxa"/>
            <w:tcBorders>
              <w:top w:val="nil"/>
              <w:left w:val="nil"/>
              <w:bottom w:val="nil"/>
              <w:right w:val="nil"/>
            </w:tcBorders>
            <w:shd w:val="clear" w:color="000000" w:fill="D9D9D9"/>
            <w:noWrap/>
            <w:vAlign w:val="center"/>
            <w:hideMark/>
          </w:tcPr>
          <w:p w14:paraId="7948430C"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644118D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0.86 [0.26, 2.90]</w:t>
            </w:r>
          </w:p>
        </w:tc>
        <w:tc>
          <w:tcPr>
            <w:tcW w:w="1263" w:type="dxa"/>
            <w:tcBorders>
              <w:top w:val="nil"/>
              <w:left w:val="nil"/>
              <w:bottom w:val="nil"/>
              <w:right w:val="nil"/>
            </w:tcBorders>
            <w:shd w:val="clear" w:color="000000" w:fill="D9D9D9"/>
            <w:noWrap/>
            <w:vAlign w:val="center"/>
            <w:hideMark/>
          </w:tcPr>
          <w:p w14:paraId="30630F7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0.813</w:t>
            </w:r>
          </w:p>
        </w:tc>
        <w:tc>
          <w:tcPr>
            <w:tcW w:w="43" w:type="dxa"/>
            <w:tcBorders>
              <w:top w:val="nil"/>
              <w:left w:val="nil"/>
              <w:bottom w:val="nil"/>
              <w:right w:val="nil"/>
            </w:tcBorders>
            <w:shd w:val="clear" w:color="000000" w:fill="D9D9D9"/>
            <w:noWrap/>
            <w:vAlign w:val="center"/>
            <w:hideMark/>
          </w:tcPr>
          <w:p w14:paraId="6355A29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674AA06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w:t>
            </w:r>
          </w:p>
        </w:tc>
        <w:tc>
          <w:tcPr>
            <w:tcW w:w="1263" w:type="dxa"/>
            <w:tcBorders>
              <w:top w:val="nil"/>
              <w:left w:val="nil"/>
              <w:bottom w:val="nil"/>
              <w:right w:val="nil"/>
            </w:tcBorders>
            <w:shd w:val="clear" w:color="000000" w:fill="D9D9D9"/>
            <w:noWrap/>
            <w:vAlign w:val="center"/>
            <w:hideMark/>
          </w:tcPr>
          <w:p w14:paraId="34F8F97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w:t>
            </w:r>
          </w:p>
        </w:tc>
        <w:tc>
          <w:tcPr>
            <w:tcW w:w="43" w:type="dxa"/>
            <w:tcBorders>
              <w:top w:val="nil"/>
              <w:left w:val="nil"/>
              <w:bottom w:val="nil"/>
              <w:right w:val="nil"/>
            </w:tcBorders>
            <w:shd w:val="clear" w:color="000000" w:fill="D9D9D9"/>
            <w:noWrap/>
            <w:vAlign w:val="center"/>
            <w:hideMark/>
          </w:tcPr>
          <w:p w14:paraId="4E8841B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0C2844F4" w14:textId="77777777" w:rsidTr="00594323">
        <w:trPr>
          <w:trHeight w:val="320"/>
        </w:trPr>
        <w:tc>
          <w:tcPr>
            <w:tcW w:w="43" w:type="dxa"/>
            <w:tcBorders>
              <w:top w:val="nil"/>
              <w:left w:val="nil"/>
              <w:bottom w:val="nil"/>
              <w:right w:val="nil"/>
            </w:tcBorders>
            <w:shd w:val="clear" w:color="000000" w:fill="FFFFFF"/>
            <w:noWrap/>
            <w:vAlign w:val="center"/>
            <w:hideMark/>
          </w:tcPr>
          <w:p w14:paraId="177FF038"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FFFFFF"/>
            <w:noWrap/>
            <w:vAlign w:val="center"/>
            <w:hideMark/>
          </w:tcPr>
          <w:p w14:paraId="222F44E6"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Hypertension, Yes vs. No</w:t>
            </w:r>
          </w:p>
        </w:tc>
        <w:tc>
          <w:tcPr>
            <w:tcW w:w="43" w:type="dxa"/>
            <w:tcBorders>
              <w:top w:val="nil"/>
              <w:left w:val="nil"/>
              <w:bottom w:val="nil"/>
              <w:right w:val="nil"/>
            </w:tcBorders>
            <w:shd w:val="clear" w:color="000000" w:fill="FFFFFF"/>
            <w:noWrap/>
            <w:vAlign w:val="center"/>
            <w:hideMark/>
          </w:tcPr>
          <w:p w14:paraId="0A72FA02"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77EDD90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0.94 [0.66, 1.34]</w:t>
            </w:r>
          </w:p>
        </w:tc>
        <w:tc>
          <w:tcPr>
            <w:tcW w:w="1263" w:type="dxa"/>
            <w:tcBorders>
              <w:top w:val="nil"/>
              <w:left w:val="nil"/>
              <w:bottom w:val="nil"/>
              <w:right w:val="nil"/>
            </w:tcBorders>
            <w:shd w:val="clear" w:color="000000" w:fill="FFFFFF"/>
            <w:noWrap/>
            <w:vAlign w:val="center"/>
            <w:hideMark/>
          </w:tcPr>
          <w:p w14:paraId="7AAB7AC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0.729</w:t>
            </w:r>
          </w:p>
        </w:tc>
        <w:tc>
          <w:tcPr>
            <w:tcW w:w="43" w:type="dxa"/>
            <w:tcBorders>
              <w:top w:val="nil"/>
              <w:left w:val="nil"/>
              <w:bottom w:val="nil"/>
              <w:right w:val="nil"/>
            </w:tcBorders>
            <w:shd w:val="clear" w:color="000000" w:fill="FFFFFF"/>
            <w:noWrap/>
            <w:vAlign w:val="center"/>
            <w:hideMark/>
          </w:tcPr>
          <w:p w14:paraId="1F929FD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570A590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1.01 [0.61, 1.67]</w:t>
            </w:r>
          </w:p>
        </w:tc>
        <w:tc>
          <w:tcPr>
            <w:tcW w:w="1263" w:type="dxa"/>
            <w:tcBorders>
              <w:top w:val="nil"/>
              <w:left w:val="nil"/>
              <w:bottom w:val="nil"/>
              <w:right w:val="nil"/>
            </w:tcBorders>
            <w:shd w:val="clear" w:color="000000" w:fill="FFFFFF"/>
            <w:noWrap/>
            <w:vAlign w:val="center"/>
            <w:hideMark/>
          </w:tcPr>
          <w:p w14:paraId="4305AF7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0.956</w:t>
            </w:r>
          </w:p>
        </w:tc>
        <w:tc>
          <w:tcPr>
            <w:tcW w:w="43" w:type="dxa"/>
            <w:tcBorders>
              <w:top w:val="nil"/>
              <w:left w:val="nil"/>
              <w:bottom w:val="nil"/>
              <w:right w:val="nil"/>
            </w:tcBorders>
            <w:shd w:val="clear" w:color="000000" w:fill="FFFFFF"/>
            <w:noWrap/>
            <w:vAlign w:val="center"/>
            <w:hideMark/>
          </w:tcPr>
          <w:p w14:paraId="4C2A41B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52D072DB" w14:textId="77777777" w:rsidTr="00594323">
        <w:trPr>
          <w:trHeight w:val="320"/>
        </w:trPr>
        <w:tc>
          <w:tcPr>
            <w:tcW w:w="43" w:type="dxa"/>
            <w:tcBorders>
              <w:top w:val="nil"/>
              <w:left w:val="nil"/>
              <w:bottom w:val="nil"/>
              <w:right w:val="nil"/>
            </w:tcBorders>
            <w:shd w:val="clear" w:color="000000" w:fill="D9D9D9"/>
            <w:noWrap/>
            <w:vAlign w:val="center"/>
            <w:hideMark/>
          </w:tcPr>
          <w:p w14:paraId="7FEA09F2"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D9D9D9"/>
            <w:noWrap/>
            <w:vAlign w:val="center"/>
            <w:hideMark/>
          </w:tcPr>
          <w:p w14:paraId="508C89CA"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Diabetes, Yes vs. No</w:t>
            </w:r>
          </w:p>
        </w:tc>
        <w:tc>
          <w:tcPr>
            <w:tcW w:w="43" w:type="dxa"/>
            <w:tcBorders>
              <w:top w:val="nil"/>
              <w:left w:val="nil"/>
              <w:bottom w:val="nil"/>
              <w:right w:val="nil"/>
            </w:tcBorders>
            <w:shd w:val="clear" w:color="000000" w:fill="D9D9D9"/>
            <w:noWrap/>
            <w:vAlign w:val="center"/>
            <w:hideMark/>
          </w:tcPr>
          <w:p w14:paraId="3A8EF468"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1943147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1.02 [0.65, 1.58]</w:t>
            </w:r>
          </w:p>
        </w:tc>
        <w:tc>
          <w:tcPr>
            <w:tcW w:w="1263" w:type="dxa"/>
            <w:tcBorders>
              <w:top w:val="nil"/>
              <w:left w:val="nil"/>
              <w:bottom w:val="nil"/>
              <w:right w:val="nil"/>
            </w:tcBorders>
            <w:shd w:val="clear" w:color="000000" w:fill="D9D9D9"/>
            <w:noWrap/>
            <w:vAlign w:val="center"/>
            <w:hideMark/>
          </w:tcPr>
          <w:p w14:paraId="3D742B0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0.945</w:t>
            </w:r>
          </w:p>
        </w:tc>
        <w:tc>
          <w:tcPr>
            <w:tcW w:w="43" w:type="dxa"/>
            <w:tcBorders>
              <w:top w:val="nil"/>
              <w:left w:val="nil"/>
              <w:bottom w:val="nil"/>
              <w:right w:val="nil"/>
            </w:tcBorders>
            <w:shd w:val="clear" w:color="000000" w:fill="D9D9D9"/>
            <w:noWrap/>
            <w:vAlign w:val="center"/>
            <w:hideMark/>
          </w:tcPr>
          <w:p w14:paraId="2CA2E48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002547F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1.07 [0.57, 2.02]</w:t>
            </w:r>
          </w:p>
        </w:tc>
        <w:tc>
          <w:tcPr>
            <w:tcW w:w="1263" w:type="dxa"/>
            <w:tcBorders>
              <w:top w:val="nil"/>
              <w:left w:val="nil"/>
              <w:bottom w:val="nil"/>
              <w:right w:val="nil"/>
            </w:tcBorders>
            <w:shd w:val="clear" w:color="000000" w:fill="D9D9D9"/>
            <w:noWrap/>
            <w:vAlign w:val="center"/>
            <w:hideMark/>
          </w:tcPr>
          <w:p w14:paraId="31458D9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0.832</w:t>
            </w:r>
          </w:p>
        </w:tc>
        <w:tc>
          <w:tcPr>
            <w:tcW w:w="43" w:type="dxa"/>
            <w:tcBorders>
              <w:top w:val="nil"/>
              <w:left w:val="nil"/>
              <w:bottom w:val="nil"/>
              <w:right w:val="nil"/>
            </w:tcBorders>
            <w:shd w:val="clear" w:color="000000" w:fill="D9D9D9"/>
            <w:noWrap/>
            <w:vAlign w:val="center"/>
            <w:hideMark/>
          </w:tcPr>
          <w:p w14:paraId="5454C32D"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02FF7ED5" w14:textId="77777777" w:rsidTr="00594323">
        <w:trPr>
          <w:trHeight w:val="320"/>
        </w:trPr>
        <w:tc>
          <w:tcPr>
            <w:tcW w:w="43" w:type="dxa"/>
            <w:tcBorders>
              <w:top w:val="nil"/>
              <w:left w:val="nil"/>
              <w:bottom w:val="nil"/>
              <w:right w:val="nil"/>
            </w:tcBorders>
            <w:shd w:val="clear" w:color="000000" w:fill="FFFFFF"/>
            <w:noWrap/>
            <w:vAlign w:val="center"/>
            <w:hideMark/>
          </w:tcPr>
          <w:p w14:paraId="21D32FC6"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FFFFFF"/>
            <w:noWrap/>
            <w:vAlign w:val="center"/>
            <w:hideMark/>
          </w:tcPr>
          <w:p w14:paraId="3DDC8E34"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Blast (%), &gt; 20% vs. ≤ 20%</w:t>
            </w:r>
          </w:p>
        </w:tc>
        <w:tc>
          <w:tcPr>
            <w:tcW w:w="43" w:type="dxa"/>
            <w:tcBorders>
              <w:top w:val="nil"/>
              <w:left w:val="nil"/>
              <w:bottom w:val="nil"/>
              <w:right w:val="nil"/>
            </w:tcBorders>
            <w:shd w:val="clear" w:color="000000" w:fill="FFFFFF"/>
            <w:noWrap/>
            <w:vAlign w:val="center"/>
            <w:hideMark/>
          </w:tcPr>
          <w:p w14:paraId="51484179"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5C049DF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1.47 [0.44, 4.93]</w:t>
            </w:r>
          </w:p>
        </w:tc>
        <w:tc>
          <w:tcPr>
            <w:tcW w:w="1263" w:type="dxa"/>
            <w:tcBorders>
              <w:top w:val="nil"/>
              <w:left w:val="nil"/>
              <w:bottom w:val="nil"/>
              <w:right w:val="nil"/>
            </w:tcBorders>
            <w:shd w:val="clear" w:color="000000" w:fill="FFFFFF"/>
            <w:noWrap/>
            <w:vAlign w:val="center"/>
            <w:hideMark/>
          </w:tcPr>
          <w:p w14:paraId="382CF2D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0.537</w:t>
            </w:r>
          </w:p>
        </w:tc>
        <w:tc>
          <w:tcPr>
            <w:tcW w:w="43" w:type="dxa"/>
            <w:tcBorders>
              <w:top w:val="nil"/>
              <w:left w:val="nil"/>
              <w:bottom w:val="nil"/>
              <w:right w:val="nil"/>
            </w:tcBorders>
            <w:shd w:val="clear" w:color="000000" w:fill="FFFFFF"/>
            <w:noWrap/>
            <w:vAlign w:val="center"/>
            <w:hideMark/>
          </w:tcPr>
          <w:p w14:paraId="2F6DAB8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1D59359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1.41 [0.42, 4.80]</w:t>
            </w:r>
          </w:p>
        </w:tc>
        <w:tc>
          <w:tcPr>
            <w:tcW w:w="1263" w:type="dxa"/>
            <w:tcBorders>
              <w:top w:val="nil"/>
              <w:left w:val="nil"/>
              <w:bottom w:val="nil"/>
              <w:right w:val="nil"/>
            </w:tcBorders>
            <w:shd w:val="clear" w:color="000000" w:fill="FFFFFF"/>
            <w:noWrap/>
            <w:vAlign w:val="center"/>
            <w:hideMark/>
          </w:tcPr>
          <w:p w14:paraId="02692DB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0.579</w:t>
            </w:r>
          </w:p>
        </w:tc>
        <w:tc>
          <w:tcPr>
            <w:tcW w:w="43" w:type="dxa"/>
            <w:tcBorders>
              <w:top w:val="nil"/>
              <w:left w:val="nil"/>
              <w:bottom w:val="nil"/>
              <w:right w:val="nil"/>
            </w:tcBorders>
            <w:shd w:val="clear" w:color="000000" w:fill="FFFFFF"/>
            <w:noWrap/>
            <w:vAlign w:val="center"/>
            <w:hideMark/>
          </w:tcPr>
          <w:p w14:paraId="180B426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42358422" w14:textId="77777777" w:rsidTr="00594323">
        <w:trPr>
          <w:trHeight w:val="320"/>
        </w:trPr>
        <w:tc>
          <w:tcPr>
            <w:tcW w:w="43" w:type="dxa"/>
            <w:tcBorders>
              <w:top w:val="nil"/>
              <w:left w:val="nil"/>
              <w:bottom w:val="nil"/>
              <w:right w:val="nil"/>
            </w:tcBorders>
            <w:shd w:val="clear" w:color="000000" w:fill="D9D9D9"/>
            <w:noWrap/>
            <w:vAlign w:val="center"/>
            <w:hideMark/>
          </w:tcPr>
          <w:p w14:paraId="1EB15CD7"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D9D9D9"/>
            <w:noWrap/>
            <w:vAlign w:val="center"/>
            <w:hideMark/>
          </w:tcPr>
          <w:p w14:paraId="15436513"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HSCT, Yes vs. No</w:t>
            </w:r>
          </w:p>
        </w:tc>
        <w:tc>
          <w:tcPr>
            <w:tcW w:w="43" w:type="dxa"/>
            <w:tcBorders>
              <w:top w:val="nil"/>
              <w:left w:val="nil"/>
              <w:bottom w:val="nil"/>
              <w:right w:val="nil"/>
            </w:tcBorders>
            <w:shd w:val="clear" w:color="000000" w:fill="D9D9D9"/>
            <w:noWrap/>
            <w:vAlign w:val="center"/>
            <w:hideMark/>
          </w:tcPr>
          <w:p w14:paraId="55894086"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D9D9D9"/>
            <w:noWrap/>
            <w:vAlign w:val="center"/>
            <w:hideMark/>
          </w:tcPr>
          <w:p w14:paraId="0D7D3E7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1.02 [0.42, 2.46]</w:t>
            </w:r>
          </w:p>
        </w:tc>
        <w:tc>
          <w:tcPr>
            <w:tcW w:w="1263" w:type="dxa"/>
            <w:tcBorders>
              <w:top w:val="nil"/>
              <w:left w:val="nil"/>
              <w:bottom w:val="nil"/>
              <w:right w:val="nil"/>
            </w:tcBorders>
            <w:shd w:val="clear" w:color="000000" w:fill="D9D9D9"/>
            <w:noWrap/>
            <w:vAlign w:val="center"/>
            <w:hideMark/>
          </w:tcPr>
          <w:p w14:paraId="18D2BA7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0.973</w:t>
            </w:r>
          </w:p>
        </w:tc>
        <w:tc>
          <w:tcPr>
            <w:tcW w:w="43" w:type="dxa"/>
            <w:tcBorders>
              <w:top w:val="nil"/>
              <w:left w:val="nil"/>
              <w:bottom w:val="nil"/>
              <w:right w:val="nil"/>
            </w:tcBorders>
            <w:shd w:val="clear" w:color="000000" w:fill="D9D9D9"/>
            <w:noWrap/>
            <w:vAlign w:val="center"/>
            <w:hideMark/>
          </w:tcPr>
          <w:p w14:paraId="67475F0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3814C76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0.95 [0.39, 2.32]</w:t>
            </w:r>
          </w:p>
        </w:tc>
        <w:tc>
          <w:tcPr>
            <w:tcW w:w="1263" w:type="dxa"/>
            <w:tcBorders>
              <w:top w:val="nil"/>
              <w:left w:val="nil"/>
              <w:bottom w:val="nil"/>
              <w:right w:val="nil"/>
            </w:tcBorders>
            <w:shd w:val="clear" w:color="000000" w:fill="D9D9D9"/>
            <w:noWrap/>
            <w:vAlign w:val="center"/>
            <w:hideMark/>
          </w:tcPr>
          <w:p w14:paraId="1031FDE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0.918</w:t>
            </w:r>
          </w:p>
        </w:tc>
        <w:tc>
          <w:tcPr>
            <w:tcW w:w="43" w:type="dxa"/>
            <w:tcBorders>
              <w:top w:val="nil"/>
              <w:left w:val="nil"/>
              <w:bottom w:val="nil"/>
              <w:right w:val="nil"/>
            </w:tcBorders>
            <w:shd w:val="clear" w:color="000000" w:fill="D9D9D9"/>
            <w:noWrap/>
            <w:vAlign w:val="center"/>
            <w:hideMark/>
          </w:tcPr>
          <w:p w14:paraId="68E55D3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69834842" w14:textId="77777777" w:rsidTr="00594323">
        <w:trPr>
          <w:trHeight w:val="320"/>
        </w:trPr>
        <w:tc>
          <w:tcPr>
            <w:tcW w:w="43" w:type="dxa"/>
            <w:tcBorders>
              <w:top w:val="nil"/>
              <w:left w:val="nil"/>
              <w:bottom w:val="nil"/>
              <w:right w:val="nil"/>
            </w:tcBorders>
            <w:shd w:val="clear" w:color="000000" w:fill="FFFFFF"/>
            <w:noWrap/>
            <w:vAlign w:val="center"/>
            <w:hideMark/>
          </w:tcPr>
          <w:p w14:paraId="1A1AE9F1"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158D7102" w14:textId="77777777" w:rsidR="00594323" w:rsidRPr="00594323" w:rsidRDefault="00594323" w:rsidP="00594323">
            <w:pPr>
              <w:rPr>
                <w:rFonts w:ascii="Arial" w:eastAsia="DengXian" w:hAnsi="Arial" w:cs="Arial"/>
                <w:color w:val="000000"/>
              </w:rPr>
            </w:pPr>
            <w:proofErr w:type="spellStart"/>
            <w:r w:rsidRPr="00594323">
              <w:rPr>
                <w:rFonts w:ascii="Arial" w:eastAsia="DengXian" w:hAnsi="Arial" w:cs="Arial"/>
                <w:color w:val="000000"/>
              </w:rPr>
              <w:t>Diagnosis_AL</w:t>
            </w:r>
            <w:proofErr w:type="spellEnd"/>
            <w:r w:rsidRPr="00594323">
              <w:rPr>
                <w:rFonts w:ascii="Arial" w:eastAsia="DengXian" w:hAnsi="Arial" w:cs="Arial"/>
                <w:color w:val="000000"/>
              </w:rPr>
              <w:t>, Yes vs. No</w:t>
            </w:r>
          </w:p>
        </w:tc>
        <w:tc>
          <w:tcPr>
            <w:tcW w:w="43" w:type="dxa"/>
            <w:tcBorders>
              <w:top w:val="nil"/>
              <w:left w:val="nil"/>
              <w:bottom w:val="nil"/>
              <w:right w:val="nil"/>
            </w:tcBorders>
            <w:shd w:val="clear" w:color="000000" w:fill="FFFFFF"/>
            <w:noWrap/>
            <w:vAlign w:val="center"/>
            <w:hideMark/>
          </w:tcPr>
          <w:p w14:paraId="6E3524E1"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07D4ACB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0.82 [0.36, 1.86]</w:t>
            </w:r>
          </w:p>
        </w:tc>
        <w:tc>
          <w:tcPr>
            <w:tcW w:w="1263" w:type="dxa"/>
            <w:tcBorders>
              <w:top w:val="nil"/>
              <w:left w:val="nil"/>
              <w:bottom w:val="nil"/>
              <w:right w:val="nil"/>
            </w:tcBorders>
            <w:shd w:val="clear" w:color="000000" w:fill="FFFFFF"/>
            <w:noWrap/>
            <w:vAlign w:val="center"/>
            <w:hideMark/>
          </w:tcPr>
          <w:p w14:paraId="04F2044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0.638</w:t>
            </w:r>
          </w:p>
        </w:tc>
        <w:tc>
          <w:tcPr>
            <w:tcW w:w="43" w:type="dxa"/>
            <w:tcBorders>
              <w:top w:val="nil"/>
              <w:left w:val="nil"/>
              <w:bottom w:val="nil"/>
              <w:right w:val="nil"/>
            </w:tcBorders>
            <w:shd w:val="clear" w:color="000000" w:fill="FFFFFF"/>
            <w:noWrap/>
            <w:vAlign w:val="center"/>
            <w:hideMark/>
          </w:tcPr>
          <w:p w14:paraId="539BDD6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1D8AAE8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0.83 [0.36, 1.92]</w:t>
            </w:r>
          </w:p>
        </w:tc>
        <w:tc>
          <w:tcPr>
            <w:tcW w:w="1263" w:type="dxa"/>
            <w:tcBorders>
              <w:top w:val="nil"/>
              <w:left w:val="nil"/>
              <w:bottom w:val="nil"/>
              <w:right w:val="nil"/>
            </w:tcBorders>
            <w:shd w:val="clear" w:color="000000" w:fill="FFFFFF"/>
            <w:noWrap/>
            <w:vAlign w:val="center"/>
            <w:hideMark/>
          </w:tcPr>
          <w:p w14:paraId="6C5694F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0.664</w:t>
            </w:r>
          </w:p>
        </w:tc>
        <w:tc>
          <w:tcPr>
            <w:tcW w:w="43" w:type="dxa"/>
            <w:tcBorders>
              <w:top w:val="nil"/>
              <w:left w:val="nil"/>
              <w:bottom w:val="nil"/>
              <w:right w:val="nil"/>
            </w:tcBorders>
            <w:shd w:val="clear" w:color="000000" w:fill="FFFFFF"/>
            <w:noWrap/>
            <w:vAlign w:val="center"/>
            <w:hideMark/>
          </w:tcPr>
          <w:p w14:paraId="509E71D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2AE33F6D" w14:textId="77777777" w:rsidTr="00594323">
        <w:trPr>
          <w:trHeight w:val="320"/>
        </w:trPr>
        <w:tc>
          <w:tcPr>
            <w:tcW w:w="43" w:type="dxa"/>
            <w:tcBorders>
              <w:top w:val="nil"/>
              <w:left w:val="nil"/>
              <w:bottom w:val="nil"/>
              <w:right w:val="nil"/>
            </w:tcBorders>
            <w:shd w:val="clear" w:color="000000" w:fill="D9D9D9"/>
            <w:noWrap/>
            <w:vAlign w:val="center"/>
            <w:hideMark/>
          </w:tcPr>
          <w:p w14:paraId="6C77FA6B"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301" w:type="dxa"/>
            <w:gridSpan w:val="2"/>
            <w:tcBorders>
              <w:top w:val="nil"/>
              <w:left w:val="nil"/>
              <w:bottom w:val="nil"/>
              <w:right w:val="nil"/>
            </w:tcBorders>
            <w:shd w:val="clear" w:color="000000" w:fill="D9D9D9"/>
            <w:noWrap/>
            <w:vAlign w:val="center"/>
            <w:hideMark/>
          </w:tcPr>
          <w:p w14:paraId="51CED108" w14:textId="77777777" w:rsidR="00594323" w:rsidRPr="00594323" w:rsidRDefault="00594323" w:rsidP="00594323">
            <w:pPr>
              <w:rPr>
                <w:rFonts w:ascii="Arial" w:eastAsia="DengXian" w:hAnsi="Arial" w:cs="Arial"/>
                <w:color w:val="000000"/>
              </w:rPr>
            </w:pPr>
            <w:proofErr w:type="spellStart"/>
            <w:r w:rsidRPr="00594323">
              <w:rPr>
                <w:rFonts w:ascii="Arial" w:eastAsia="DengXian" w:hAnsi="Arial" w:cs="Arial"/>
                <w:color w:val="000000"/>
              </w:rPr>
              <w:t>CRS_</w:t>
            </w:r>
            <w:proofErr w:type="gramStart"/>
            <w:r w:rsidRPr="00594323">
              <w:rPr>
                <w:rFonts w:ascii="Arial" w:eastAsia="DengXian" w:hAnsi="Arial" w:cs="Arial"/>
                <w:color w:val="000000"/>
              </w:rPr>
              <w:t>stage,high</w:t>
            </w:r>
            <w:proofErr w:type="spellEnd"/>
            <w:proofErr w:type="gramEnd"/>
            <w:r w:rsidRPr="00594323">
              <w:rPr>
                <w:rFonts w:ascii="Arial" w:eastAsia="DengXian" w:hAnsi="Arial" w:cs="Arial"/>
                <w:color w:val="000000"/>
              </w:rPr>
              <w:t xml:space="preserve"> risk vs low risk</w:t>
            </w:r>
          </w:p>
        </w:tc>
        <w:tc>
          <w:tcPr>
            <w:tcW w:w="2442" w:type="dxa"/>
            <w:tcBorders>
              <w:top w:val="nil"/>
              <w:left w:val="nil"/>
              <w:bottom w:val="nil"/>
              <w:right w:val="nil"/>
            </w:tcBorders>
            <w:shd w:val="clear" w:color="000000" w:fill="D9D9D9"/>
            <w:noWrap/>
            <w:vAlign w:val="center"/>
            <w:hideMark/>
          </w:tcPr>
          <w:p w14:paraId="06360AF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18.73 [6.98, 50.26]</w:t>
            </w:r>
          </w:p>
        </w:tc>
        <w:tc>
          <w:tcPr>
            <w:tcW w:w="1263" w:type="dxa"/>
            <w:tcBorders>
              <w:top w:val="nil"/>
              <w:left w:val="nil"/>
              <w:bottom w:val="nil"/>
              <w:right w:val="nil"/>
            </w:tcBorders>
            <w:shd w:val="clear" w:color="000000" w:fill="D9D9D9"/>
            <w:noWrap/>
            <w:vAlign w:val="center"/>
            <w:hideMark/>
          </w:tcPr>
          <w:p w14:paraId="6250085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&lt;0.001***</w:t>
            </w:r>
          </w:p>
        </w:tc>
        <w:tc>
          <w:tcPr>
            <w:tcW w:w="43" w:type="dxa"/>
            <w:tcBorders>
              <w:top w:val="nil"/>
              <w:left w:val="nil"/>
              <w:bottom w:val="nil"/>
              <w:right w:val="nil"/>
            </w:tcBorders>
            <w:shd w:val="clear" w:color="000000" w:fill="D9D9D9"/>
            <w:noWrap/>
            <w:vAlign w:val="center"/>
            <w:hideMark/>
          </w:tcPr>
          <w:p w14:paraId="335BC9B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635562F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19.06 [7.10, 51.21]</w:t>
            </w:r>
          </w:p>
        </w:tc>
        <w:tc>
          <w:tcPr>
            <w:tcW w:w="1263" w:type="dxa"/>
            <w:tcBorders>
              <w:top w:val="nil"/>
              <w:left w:val="nil"/>
              <w:bottom w:val="nil"/>
              <w:right w:val="nil"/>
            </w:tcBorders>
            <w:shd w:val="clear" w:color="000000" w:fill="D9D9D9"/>
            <w:noWrap/>
            <w:vAlign w:val="center"/>
            <w:hideMark/>
          </w:tcPr>
          <w:p w14:paraId="5DC28B8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&lt;0.001***</w:t>
            </w:r>
          </w:p>
        </w:tc>
        <w:tc>
          <w:tcPr>
            <w:tcW w:w="43" w:type="dxa"/>
            <w:tcBorders>
              <w:top w:val="nil"/>
              <w:left w:val="nil"/>
              <w:bottom w:val="nil"/>
              <w:right w:val="nil"/>
            </w:tcBorders>
            <w:shd w:val="clear" w:color="000000" w:fill="D9D9D9"/>
            <w:noWrap/>
            <w:vAlign w:val="center"/>
            <w:hideMark/>
          </w:tcPr>
          <w:p w14:paraId="0B6E8B5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3B772AAA" w14:textId="77777777" w:rsidTr="00594323">
        <w:trPr>
          <w:trHeight w:val="320"/>
        </w:trPr>
        <w:tc>
          <w:tcPr>
            <w:tcW w:w="43" w:type="dxa"/>
            <w:tcBorders>
              <w:top w:val="nil"/>
              <w:left w:val="nil"/>
              <w:bottom w:val="nil"/>
              <w:right w:val="nil"/>
            </w:tcBorders>
            <w:shd w:val="clear" w:color="000000" w:fill="FFFFFF"/>
            <w:noWrap/>
            <w:vAlign w:val="center"/>
            <w:hideMark/>
          </w:tcPr>
          <w:p w14:paraId="6B04F763"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FFFFFF"/>
            <w:noWrap/>
            <w:vAlign w:val="center"/>
            <w:hideMark/>
          </w:tcPr>
          <w:p w14:paraId="3893730C"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CRS, Yes vs. No</w:t>
            </w:r>
          </w:p>
        </w:tc>
        <w:tc>
          <w:tcPr>
            <w:tcW w:w="43" w:type="dxa"/>
            <w:tcBorders>
              <w:top w:val="nil"/>
              <w:left w:val="nil"/>
              <w:bottom w:val="nil"/>
              <w:right w:val="nil"/>
            </w:tcBorders>
            <w:shd w:val="clear" w:color="000000" w:fill="FFFFFF"/>
            <w:noWrap/>
            <w:vAlign w:val="center"/>
            <w:hideMark/>
          </w:tcPr>
          <w:p w14:paraId="0BB1645C"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2F63DE7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8.22 [1.11, 60.88]</w:t>
            </w:r>
          </w:p>
        </w:tc>
        <w:tc>
          <w:tcPr>
            <w:tcW w:w="1263" w:type="dxa"/>
            <w:tcBorders>
              <w:top w:val="nil"/>
              <w:left w:val="nil"/>
              <w:bottom w:val="nil"/>
              <w:right w:val="nil"/>
            </w:tcBorders>
            <w:shd w:val="clear" w:color="000000" w:fill="FFFFFF"/>
            <w:noWrap/>
            <w:vAlign w:val="center"/>
            <w:hideMark/>
          </w:tcPr>
          <w:p w14:paraId="255A21D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0.039*</w:t>
            </w:r>
          </w:p>
        </w:tc>
        <w:tc>
          <w:tcPr>
            <w:tcW w:w="43" w:type="dxa"/>
            <w:tcBorders>
              <w:top w:val="nil"/>
              <w:left w:val="nil"/>
              <w:bottom w:val="nil"/>
              <w:right w:val="nil"/>
            </w:tcBorders>
            <w:shd w:val="clear" w:color="000000" w:fill="FFFFFF"/>
            <w:noWrap/>
            <w:vAlign w:val="center"/>
            <w:hideMark/>
          </w:tcPr>
          <w:p w14:paraId="0DD03DA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08DAB4C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8.37 [1.13, 62.08]</w:t>
            </w:r>
          </w:p>
        </w:tc>
        <w:tc>
          <w:tcPr>
            <w:tcW w:w="1263" w:type="dxa"/>
            <w:tcBorders>
              <w:top w:val="nil"/>
              <w:left w:val="nil"/>
              <w:bottom w:val="nil"/>
              <w:right w:val="nil"/>
            </w:tcBorders>
            <w:shd w:val="clear" w:color="000000" w:fill="FFFFFF"/>
            <w:noWrap/>
            <w:vAlign w:val="center"/>
            <w:hideMark/>
          </w:tcPr>
          <w:p w14:paraId="4956AA4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0.038</w:t>
            </w:r>
          </w:p>
        </w:tc>
        <w:tc>
          <w:tcPr>
            <w:tcW w:w="43" w:type="dxa"/>
            <w:tcBorders>
              <w:top w:val="nil"/>
              <w:left w:val="nil"/>
              <w:bottom w:val="nil"/>
              <w:right w:val="nil"/>
            </w:tcBorders>
            <w:shd w:val="clear" w:color="000000" w:fill="FFFFFF"/>
            <w:noWrap/>
            <w:vAlign w:val="center"/>
            <w:hideMark/>
          </w:tcPr>
          <w:p w14:paraId="1CCE900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15175C18" w14:textId="77777777" w:rsidTr="00594323">
        <w:trPr>
          <w:trHeight w:val="320"/>
        </w:trPr>
        <w:tc>
          <w:tcPr>
            <w:tcW w:w="43" w:type="dxa"/>
            <w:tcBorders>
              <w:top w:val="nil"/>
              <w:left w:val="nil"/>
              <w:bottom w:val="nil"/>
              <w:right w:val="nil"/>
            </w:tcBorders>
            <w:shd w:val="clear" w:color="000000" w:fill="D9D9D9"/>
            <w:noWrap/>
            <w:vAlign w:val="center"/>
            <w:hideMark/>
          </w:tcPr>
          <w:p w14:paraId="65AC8D5A"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D9D9D9"/>
            <w:noWrap/>
            <w:vAlign w:val="center"/>
            <w:hideMark/>
          </w:tcPr>
          <w:p w14:paraId="27B7AE7B"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Transfusion, Yes vs. No</w:t>
            </w:r>
          </w:p>
        </w:tc>
        <w:tc>
          <w:tcPr>
            <w:tcW w:w="43" w:type="dxa"/>
            <w:tcBorders>
              <w:top w:val="nil"/>
              <w:left w:val="nil"/>
              <w:bottom w:val="nil"/>
              <w:right w:val="nil"/>
            </w:tcBorders>
            <w:shd w:val="clear" w:color="000000" w:fill="D9D9D9"/>
            <w:noWrap/>
            <w:vAlign w:val="center"/>
            <w:hideMark/>
          </w:tcPr>
          <w:p w14:paraId="4CAD7708"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35BC394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7.35 [2.19, 24.65]</w:t>
            </w:r>
          </w:p>
        </w:tc>
        <w:tc>
          <w:tcPr>
            <w:tcW w:w="1263" w:type="dxa"/>
            <w:tcBorders>
              <w:top w:val="nil"/>
              <w:left w:val="nil"/>
              <w:bottom w:val="nil"/>
              <w:right w:val="nil"/>
            </w:tcBorders>
            <w:shd w:val="clear" w:color="000000" w:fill="D9D9D9"/>
            <w:noWrap/>
            <w:vAlign w:val="center"/>
            <w:hideMark/>
          </w:tcPr>
          <w:p w14:paraId="10EE750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0.001**</w:t>
            </w:r>
          </w:p>
        </w:tc>
        <w:tc>
          <w:tcPr>
            <w:tcW w:w="43" w:type="dxa"/>
            <w:tcBorders>
              <w:top w:val="nil"/>
              <w:left w:val="nil"/>
              <w:bottom w:val="nil"/>
              <w:right w:val="nil"/>
            </w:tcBorders>
            <w:shd w:val="clear" w:color="000000" w:fill="D9D9D9"/>
            <w:noWrap/>
            <w:vAlign w:val="center"/>
            <w:hideMark/>
          </w:tcPr>
          <w:p w14:paraId="270C0FF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14CC633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7.21 [2.15, 24.22]</w:t>
            </w:r>
          </w:p>
        </w:tc>
        <w:tc>
          <w:tcPr>
            <w:tcW w:w="1263" w:type="dxa"/>
            <w:tcBorders>
              <w:top w:val="nil"/>
              <w:left w:val="nil"/>
              <w:bottom w:val="nil"/>
              <w:right w:val="nil"/>
            </w:tcBorders>
            <w:shd w:val="clear" w:color="000000" w:fill="D9D9D9"/>
            <w:noWrap/>
            <w:vAlign w:val="center"/>
            <w:hideMark/>
          </w:tcPr>
          <w:p w14:paraId="00065C6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0.001</w:t>
            </w:r>
          </w:p>
        </w:tc>
        <w:tc>
          <w:tcPr>
            <w:tcW w:w="43" w:type="dxa"/>
            <w:tcBorders>
              <w:top w:val="nil"/>
              <w:left w:val="nil"/>
              <w:bottom w:val="nil"/>
              <w:right w:val="nil"/>
            </w:tcBorders>
            <w:shd w:val="clear" w:color="000000" w:fill="D9D9D9"/>
            <w:noWrap/>
            <w:vAlign w:val="center"/>
            <w:hideMark/>
          </w:tcPr>
          <w:p w14:paraId="0F1433E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504D45E7" w14:textId="77777777" w:rsidTr="00594323">
        <w:trPr>
          <w:trHeight w:val="320"/>
        </w:trPr>
        <w:tc>
          <w:tcPr>
            <w:tcW w:w="43" w:type="dxa"/>
            <w:tcBorders>
              <w:top w:val="nil"/>
              <w:left w:val="nil"/>
              <w:bottom w:val="nil"/>
              <w:right w:val="nil"/>
            </w:tcBorders>
            <w:shd w:val="clear" w:color="000000" w:fill="FFFFFF"/>
            <w:noWrap/>
            <w:vAlign w:val="center"/>
            <w:hideMark/>
          </w:tcPr>
          <w:p w14:paraId="3C34B092"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301" w:type="dxa"/>
            <w:gridSpan w:val="2"/>
            <w:tcBorders>
              <w:top w:val="nil"/>
              <w:left w:val="nil"/>
              <w:bottom w:val="nil"/>
              <w:right w:val="nil"/>
            </w:tcBorders>
            <w:shd w:val="clear" w:color="000000" w:fill="FFFFFF"/>
            <w:noWrap/>
            <w:vAlign w:val="center"/>
            <w:hideMark/>
          </w:tcPr>
          <w:p w14:paraId="4C66ACFF"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Car-T Cell, ≥ 0.5X10^7 vs. &lt; 0.5X10^7</w:t>
            </w:r>
          </w:p>
        </w:tc>
        <w:tc>
          <w:tcPr>
            <w:tcW w:w="2442" w:type="dxa"/>
            <w:tcBorders>
              <w:top w:val="nil"/>
              <w:left w:val="nil"/>
              <w:bottom w:val="nil"/>
              <w:right w:val="nil"/>
            </w:tcBorders>
            <w:shd w:val="clear" w:color="000000" w:fill="FFFFFF"/>
            <w:noWrap/>
            <w:vAlign w:val="center"/>
            <w:hideMark/>
          </w:tcPr>
          <w:p w14:paraId="1A077FB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0.82 [0.56, 1.20]</w:t>
            </w:r>
          </w:p>
        </w:tc>
        <w:tc>
          <w:tcPr>
            <w:tcW w:w="1263" w:type="dxa"/>
            <w:tcBorders>
              <w:top w:val="nil"/>
              <w:left w:val="nil"/>
              <w:bottom w:val="nil"/>
              <w:right w:val="nil"/>
            </w:tcBorders>
            <w:shd w:val="clear" w:color="000000" w:fill="FFFFFF"/>
            <w:noWrap/>
            <w:vAlign w:val="center"/>
            <w:hideMark/>
          </w:tcPr>
          <w:p w14:paraId="2CBC4BF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0.309</w:t>
            </w:r>
          </w:p>
        </w:tc>
        <w:tc>
          <w:tcPr>
            <w:tcW w:w="43" w:type="dxa"/>
            <w:tcBorders>
              <w:top w:val="nil"/>
              <w:left w:val="nil"/>
              <w:bottom w:val="nil"/>
              <w:right w:val="nil"/>
            </w:tcBorders>
            <w:shd w:val="clear" w:color="000000" w:fill="FFFFFF"/>
            <w:noWrap/>
            <w:vAlign w:val="center"/>
            <w:hideMark/>
          </w:tcPr>
          <w:p w14:paraId="4EBB994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0DF3078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1.06 [0.47, 2.39]</w:t>
            </w:r>
          </w:p>
        </w:tc>
        <w:tc>
          <w:tcPr>
            <w:tcW w:w="1263" w:type="dxa"/>
            <w:tcBorders>
              <w:top w:val="nil"/>
              <w:left w:val="nil"/>
              <w:bottom w:val="nil"/>
              <w:right w:val="nil"/>
            </w:tcBorders>
            <w:shd w:val="clear" w:color="000000" w:fill="FFFFFF"/>
            <w:noWrap/>
            <w:vAlign w:val="center"/>
            <w:hideMark/>
          </w:tcPr>
          <w:p w14:paraId="3F740F9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0.886</w:t>
            </w:r>
          </w:p>
        </w:tc>
        <w:tc>
          <w:tcPr>
            <w:tcW w:w="43" w:type="dxa"/>
            <w:tcBorders>
              <w:top w:val="nil"/>
              <w:left w:val="nil"/>
              <w:bottom w:val="nil"/>
              <w:right w:val="nil"/>
            </w:tcBorders>
            <w:shd w:val="clear" w:color="000000" w:fill="FFFFFF"/>
            <w:noWrap/>
            <w:vAlign w:val="center"/>
            <w:hideMark/>
          </w:tcPr>
          <w:p w14:paraId="62862BD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13C91482" w14:textId="77777777" w:rsidTr="00594323">
        <w:trPr>
          <w:trHeight w:val="320"/>
        </w:trPr>
        <w:tc>
          <w:tcPr>
            <w:tcW w:w="43" w:type="dxa"/>
            <w:tcBorders>
              <w:top w:val="nil"/>
              <w:left w:val="nil"/>
              <w:bottom w:val="nil"/>
              <w:right w:val="nil"/>
            </w:tcBorders>
            <w:shd w:val="clear" w:color="000000" w:fill="D9D9D9"/>
            <w:noWrap/>
            <w:vAlign w:val="center"/>
            <w:hideMark/>
          </w:tcPr>
          <w:p w14:paraId="3F7F847D"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D9D9D9"/>
            <w:noWrap/>
            <w:vAlign w:val="center"/>
            <w:hideMark/>
          </w:tcPr>
          <w:p w14:paraId="1A0A7386"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CART-CD</w:t>
            </w:r>
            <w:proofErr w:type="gramStart"/>
            <w:r w:rsidRPr="00594323">
              <w:rPr>
                <w:rFonts w:ascii="Arial" w:eastAsia="DengXian" w:hAnsi="Arial" w:cs="Arial"/>
                <w:color w:val="000000"/>
              </w:rPr>
              <w:t>19,Yes</w:t>
            </w:r>
            <w:proofErr w:type="gramEnd"/>
            <w:r w:rsidRPr="00594323">
              <w:rPr>
                <w:rFonts w:ascii="Arial" w:eastAsia="DengXian" w:hAnsi="Arial" w:cs="Arial"/>
                <w:color w:val="000000"/>
              </w:rPr>
              <w:t xml:space="preserve"> vs. No</w:t>
            </w:r>
          </w:p>
        </w:tc>
        <w:tc>
          <w:tcPr>
            <w:tcW w:w="43" w:type="dxa"/>
            <w:tcBorders>
              <w:top w:val="nil"/>
              <w:left w:val="nil"/>
              <w:bottom w:val="nil"/>
              <w:right w:val="nil"/>
            </w:tcBorders>
            <w:shd w:val="clear" w:color="000000" w:fill="D9D9D9"/>
            <w:noWrap/>
            <w:vAlign w:val="center"/>
            <w:hideMark/>
          </w:tcPr>
          <w:p w14:paraId="1DFE936E"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D9D9D9"/>
            <w:noWrap/>
            <w:vAlign w:val="center"/>
            <w:hideMark/>
          </w:tcPr>
          <w:p w14:paraId="4A6A9BD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0.36 [0.12, 1.06]</w:t>
            </w:r>
          </w:p>
        </w:tc>
        <w:tc>
          <w:tcPr>
            <w:tcW w:w="1263" w:type="dxa"/>
            <w:tcBorders>
              <w:top w:val="nil"/>
              <w:left w:val="nil"/>
              <w:bottom w:val="nil"/>
              <w:right w:val="nil"/>
            </w:tcBorders>
            <w:shd w:val="clear" w:color="000000" w:fill="D9D9D9"/>
            <w:noWrap/>
            <w:vAlign w:val="center"/>
            <w:hideMark/>
          </w:tcPr>
          <w:p w14:paraId="76E90F0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0.063</w:t>
            </w:r>
          </w:p>
        </w:tc>
        <w:tc>
          <w:tcPr>
            <w:tcW w:w="43" w:type="dxa"/>
            <w:tcBorders>
              <w:top w:val="nil"/>
              <w:left w:val="nil"/>
              <w:bottom w:val="nil"/>
              <w:right w:val="nil"/>
            </w:tcBorders>
            <w:shd w:val="clear" w:color="000000" w:fill="D9D9D9"/>
            <w:noWrap/>
            <w:vAlign w:val="center"/>
            <w:hideMark/>
          </w:tcPr>
          <w:p w14:paraId="65F322F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3B903A7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0.36 [0.12, 1.06]</w:t>
            </w:r>
          </w:p>
        </w:tc>
        <w:tc>
          <w:tcPr>
            <w:tcW w:w="1263" w:type="dxa"/>
            <w:tcBorders>
              <w:top w:val="nil"/>
              <w:left w:val="nil"/>
              <w:bottom w:val="nil"/>
              <w:right w:val="nil"/>
            </w:tcBorders>
            <w:shd w:val="clear" w:color="000000" w:fill="D9D9D9"/>
            <w:noWrap/>
            <w:vAlign w:val="center"/>
            <w:hideMark/>
          </w:tcPr>
          <w:p w14:paraId="271FA29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0.063</w:t>
            </w:r>
          </w:p>
        </w:tc>
        <w:tc>
          <w:tcPr>
            <w:tcW w:w="43" w:type="dxa"/>
            <w:tcBorders>
              <w:top w:val="nil"/>
              <w:left w:val="nil"/>
              <w:bottom w:val="nil"/>
              <w:right w:val="nil"/>
            </w:tcBorders>
            <w:shd w:val="clear" w:color="000000" w:fill="D9D9D9"/>
            <w:noWrap/>
            <w:vAlign w:val="center"/>
            <w:hideMark/>
          </w:tcPr>
          <w:p w14:paraId="03ACB5D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546EBE78" w14:textId="77777777" w:rsidTr="00594323">
        <w:trPr>
          <w:trHeight w:val="320"/>
        </w:trPr>
        <w:tc>
          <w:tcPr>
            <w:tcW w:w="43" w:type="dxa"/>
            <w:tcBorders>
              <w:top w:val="nil"/>
              <w:left w:val="nil"/>
              <w:bottom w:val="nil"/>
              <w:right w:val="nil"/>
            </w:tcBorders>
            <w:shd w:val="clear" w:color="000000" w:fill="FFFFFF"/>
            <w:noWrap/>
            <w:vAlign w:val="center"/>
            <w:hideMark/>
          </w:tcPr>
          <w:p w14:paraId="24248E6E"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2978C537" w14:textId="77777777" w:rsidR="00594323" w:rsidRPr="00594323" w:rsidRDefault="00594323" w:rsidP="00594323">
            <w:pPr>
              <w:rPr>
                <w:rFonts w:ascii="Arial" w:eastAsia="DengXian" w:hAnsi="Arial" w:cs="Arial"/>
                <w:color w:val="000000"/>
              </w:rPr>
            </w:pPr>
            <w:proofErr w:type="spellStart"/>
            <w:proofErr w:type="gramStart"/>
            <w:r w:rsidRPr="00594323">
              <w:rPr>
                <w:rFonts w:ascii="Arial" w:eastAsia="DengXian" w:hAnsi="Arial" w:cs="Arial"/>
                <w:color w:val="000000"/>
              </w:rPr>
              <w:t>CR,Yes</w:t>
            </w:r>
            <w:proofErr w:type="spellEnd"/>
            <w:proofErr w:type="gramEnd"/>
            <w:r w:rsidRPr="00594323">
              <w:rPr>
                <w:rFonts w:ascii="Arial" w:eastAsia="DengXian" w:hAnsi="Arial" w:cs="Arial"/>
                <w:color w:val="000000"/>
              </w:rPr>
              <w:t xml:space="preserve"> vs. No</w:t>
            </w:r>
          </w:p>
        </w:tc>
        <w:tc>
          <w:tcPr>
            <w:tcW w:w="43" w:type="dxa"/>
            <w:tcBorders>
              <w:top w:val="nil"/>
              <w:left w:val="nil"/>
              <w:bottom w:val="nil"/>
              <w:right w:val="nil"/>
            </w:tcBorders>
            <w:shd w:val="clear" w:color="000000" w:fill="FFFFFF"/>
            <w:noWrap/>
            <w:vAlign w:val="center"/>
            <w:hideMark/>
          </w:tcPr>
          <w:p w14:paraId="19328BC0"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4328042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0.15 [0.06, 0.39]</w:t>
            </w:r>
          </w:p>
        </w:tc>
        <w:tc>
          <w:tcPr>
            <w:tcW w:w="1263" w:type="dxa"/>
            <w:tcBorders>
              <w:top w:val="nil"/>
              <w:left w:val="nil"/>
              <w:bottom w:val="nil"/>
              <w:right w:val="nil"/>
            </w:tcBorders>
            <w:shd w:val="clear" w:color="000000" w:fill="FFFFFF"/>
            <w:noWrap/>
            <w:vAlign w:val="center"/>
            <w:hideMark/>
          </w:tcPr>
          <w:p w14:paraId="7133A62D"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&lt;0.001***</w:t>
            </w:r>
          </w:p>
        </w:tc>
        <w:tc>
          <w:tcPr>
            <w:tcW w:w="43" w:type="dxa"/>
            <w:tcBorders>
              <w:top w:val="nil"/>
              <w:left w:val="nil"/>
              <w:bottom w:val="nil"/>
              <w:right w:val="nil"/>
            </w:tcBorders>
            <w:shd w:val="clear" w:color="000000" w:fill="FFFFFF"/>
            <w:noWrap/>
            <w:vAlign w:val="center"/>
            <w:hideMark/>
          </w:tcPr>
          <w:p w14:paraId="657B090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3C1634F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0.16 [0.06, 0.40]</w:t>
            </w:r>
          </w:p>
        </w:tc>
        <w:tc>
          <w:tcPr>
            <w:tcW w:w="1263" w:type="dxa"/>
            <w:tcBorders>
              <w:top w:val="nil"/>
              <w:left w:val="nil"/>
              <w:bottom w:val="nil"/>
              <w:right w:val="nil"/>
            </w:tcBorders>
            <w:shd w:val="clear" w:color="000000" w:fill="FFFFFF"/>
            <w:noWrap/>
            <w:vAlign w:val="center"/>
            <w:hideMark/>
          </w:tcPr>
          <w:p w14:paraId="3AFB0FB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&lt;0.001***</w:t>
            </w:r>
          </w:p>
        </w:tc>
        <w:tc>
          <w:tcPr>
            <w:tcW w:w="43" w:type="dxa"/>
            <w:tcBorders>
              <w:top w:val="nil"/>
              <w:left w:val="nil"/>
              <w:bottom w:val="nil"/>
              <w:right w:val="nil"/>
            </w:tcBorders>
            <w:shd w:val="clear" w:color="000000" w:fill="FFFFFF"/>
            <w:noWrap/>
            <w:vAlign w:val="center"/>
            <w:hideMark/>
          </w:tcPr>
          <w:p w14:paraId="4C96E8D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1438915E" w14:textId="77777777" w:rsidTr="00594323">
        <w:trPr>
          <w:trHeight w:val="320"/>
        </w:trPr>
        <w:tc>
          <w:tcPr>
            <w:tcW w:w="43" w:type="dxa"/>
            <w:tcBorders>
              <w:top w:val="nil"/>
              <w:left w:val="nil"/>
              <w:bottom w:val="nil"/>
              <w:right w:val="nil"/>
            </w:tcBorders>
            <w:shd w:val="clear" w:color="000000" w:fill="D9D9D9"/>
            <w:noWrap/>
            <w:vAlign w:val="center"/>
            <w:hideMark/>
          </w:tcPr>
          <w:p w14:paraId="378DD6F0"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301" w:type="dxa"/>
            <w:gridSpan w:val="2"/>
            <w:tcBorders>
              <w:top w:val="nil"/>
              <w:left w:val="nil"/>
              <w:bottom w:val="nil"/>
              <w:right w:val="nil"/>
            </w:tcBorders>
            <w:shd w:val="clear" w:color="000000" w:fill="D9D9D9"/>
            <w:noWrap/>
            <w:vAlign w:val="center"/>
            <w:hideMark/>
          </w:tcPr>
          <w:p w14:paraId="577B8AC1" w14:textId="77777777" w:rsidR="00594323" w:rsidRPr="00594323" w:rsidRDefault="00594323" w:rsidP="00594323">
            <w:pPr>
              <w:rPr>
                <w:rFonts w:ascii="Arial" w:eastAsia="DengXian" w:hAnsi="Arial" w:cs="Arial"/>
                <w:b/>
                <w:bCs/>
                <w:color w:val="000000"/>
              </w:rPr>
            </w:pPr>
            <w:r w:rsidRPr="00594323">
              <w:rPr>
                <w:rFonts w:ascii="Arial" w:eastAsia="DengXian" w:hAnsi="Arial" w:cs="Arial"/>
                <w:b/>
                <w:bCs/>
                <w:color w:val="000000"/>
              </w:rPr>
              <w:t>Before infusion of Car-T cells</w:t>
            </w:r>
          </w:p>
        </w:tc>
        <w:tc>
          <w:tcPr>
            <w:tcW w:w="2442" w:type="dxa"/>
            <w:tcBorders>
              <w:top w:val="nil"/>
              <w:left w:val="nil"/>
              <w:bottom w:val="nil"/>
              <w:right w:val="nil"/>
            </w:tcBorders>
            <w:shd w:val="clear" w:color="000000" w:fill="D9D9D9"/>
            <w:noWrap/>
            <w:vAlign w:val="center"/>
            <w:hideMark/>
          </w:tcPr>
          <w:p w14:paraId="3986F89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1263" w:type="dxa"/>
            <w:tcBorders>
              <w:top w:val="nil"/>
              <w:left w:val="nil"/>
              <w:bottom w:val="nil"/>
              <w:right w:val="nil"/>
            </w:tcBorders>
            <w:shd w:val="clear" w:color="000000" w:fill="D9D9D9"/>
            <w:noWrap/>
            <w:vAlign w:val="center"/>
            <w:hideMark/>
          </w:tcPr>
          <w:p w14:paraId="09FB709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43" w:type="dxa"/>
            <w:tcBorders>
              <w:top w:val="nil"/>
              <w:left w:val="nil"/>
              <w:bottom w:val="nil"/>
              <w:right w:val="nil"/>
            </w:tcBorders>
            <w:shd w:val="clear" w:color="000000" w:fill="D9D9D9"/>
            <w:noWrap/>
            <w:vAlign w:val="center"/>
            <w:hideMark/>
          </w:tcPr>
          <w:p w14:paraId="0E1BA32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554FF06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1263" w:type="dxa"/>
            <w:tcBorders>
              <w:top w:val="nil"/>
              <w:left w:val="nil"/>
              <w:bottom w:val="nil"/>
              <w:right w:val="nil"/>
            </w:tcBorders>
            <w:shd w:val="clear" w:color="000000" w:fill="D9D9D9"/>
            <w:noWrap/>
            <w:vAlign w:val="center"/>
            <w:hideMark/>
          </w:tcPr>
          <w:p w14:paraId="76C59CD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43" w:type="dxa"/>
            <w:tcBorders>
              <w:top w:val="nil"/>
              <w:left w:val="nil"/>
              <w:bottom w:val="nil"/>
              <w:right w:val="nil"/>
            </w:tcBorders>
            <w:shd w:val="clear" w:color="000000" w:fill="D9D9D9"/>
            <w:noWrap/>
            <w:vAlign w:val="center"/>
            <w:hideMark/>
          </w:tcPr>
          <w:p w14:paraId="161DE72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4D748660" w14:textId="77777777" w:rsidTr="00594323">
        <w:trPr>
          <w:trHeight w:val="320"/>
        </w:trPr>
        <w:tc>
          <w:tcPr>
            <w:tcW w:w="43" w:type="dxa"/>
            <w:tcBorders>
              <w:top w:val="nil"/>
              <w:left w:val="nil"/>
              <w:bottom w:val="nil"/>
              <w:right w:val="nil"/>
            </w:tcBorders>
            <w:shd w:val="clear" w:color="000000" w:fill="FFFFFF"/>
            <w:noWrap/>
            <w:vAlign w:val="center"/>
            <w:hideMark/>
          </w:tcPr>
          <w:p w14:paraId="592D7559"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301" w:type="dxa"/>
            <w:gridSpan w:val="2"/>
            <w:tcBorders>
              <w:top w:val="nil"/>
              <w:left w:val="nil"/>
              <w:bottom w:val="nil"/>
              <w:right w:val="nil"/>
            </w:tcBorders>
            <w:shd w:val="clear" w:color="000000" w:fill="FFFFFF"/>
            <w:noWrap/>
            <w:vAlign w:val="center"/>
            <w:hideMark/>
          </w:tcPr>
          <w:p w14:paraId="3FFBCBFF"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WBC counts, &lt;4X10^9 vs. ≥ 4X10^9</w:t>
            </w:r>
          </w:p>
        </w:tc>
        <w:tc>
          <w:tcPr>
            <w:tcW w:w="2442" w:type="dxa"/>
            <w:tcBorders>
              <w:top w:val="nil"/>
              <w:left w:val="nil"/>
              <w:bottom w:val="nil"/>
              <w:right w:val="nil"/>
            </w:tcBorders>
            <w:shd w:val="clear" w:color="000000" w:fill="FFFFFF"/>
            <w:noWrap/>
            <w:vAlign w:val="center"/>
            <w:hideMark/>
          </w:tcPr>
          <w:p w14:paraId="39CDC85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1.29 [0.79, 2.12]</w:t>
            </w:r>
          </w:p>
        </w:tc>
        <w:tc>
          <w:tcPr>
            <w:tcW w:w="1263" w:type="dxa"/>
            <w:tcBorders>
              <w:top w:val="nil"/>
              <w:left w:val="nil"/>
              <w:bottom w:val="nil"/>
              <w:right w:val="nil"/>
            </w:tcBorders>
            <w:shd w:val="clear" w:color="000000" w:fill="FFFFFF"/>
            <w:noWrap/>
            <w:vAlign w:val="center"/>
            <w:hideMark/>
          </w:tcPr>
          <w:p w14:paraId="268C394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0.304</w:t>
            </w:r>
          </w:p>
        </w:tc>
        <w:tc>
          <w:tcPr>
            <w:tcW w:w="43" w:type="dxa"/>
            <w:tcBorders>
              <w:top w:val="nil"/>
              <w:left w:val="nil"/>
              <w:bottom w:val="nil"/>
              <w:right w:val="nil"/>
            </w:tcBorders>
            <w:shd w:val="clear" w:color="000000" w:fill="FFFFFF"/>
            <w:noWrap/>
            <w:vAlign w:val="center"/>
            <w:hideMark/>
          </w:tcPr>
          <w:p w14:paraId="6C7E3A0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4185D5B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2.51 [0.93, 6.77]</w:t>
            </w:r>
          </w:p>
        </w:tc>
        <w:tc>
          <w:tcPr>
            <w:tcW w:w="1263" w:type="dxa"/>
            <w:tcBorders>
              <w:top w:val="nil"/>
              <w:left w:val="nil"/>
              <w:bottom w:val="nil"/>
              <w:right w:val="nil"/>
            </w:tcBorders>
            <w:shd w:val="clear" w:color="000000" w:fill="FFFFFF"/>
            <w:noWrap/>
            <w:vAlign w:val="center"/>
            <w:hideMark/>
          </w:tcPr>
          <w:p w14:paraId="4664DB5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0.068</w:t>
            </w:r>
          </w:p>
        </w:tc>
        <w:tc>
          <w:tcPr>
            <w:tcW w:w="43" w:type="dxa"/>
            <w:tcBorders>
              <w:top w:val="nil"/>
              <w:left w:val="nil"/>
              <w:bottom w:val="nil"/>
              <w:right w:val="nil"/>
            </w:tcBorders>
            <w:shd w:val="clear" w:color="000000" w:fill="FFFFFF"/>
            <w:noWrap/>
            <w:vAlign w:val="center"/>
            <w:hideMark/>
          </w:tcPr>
          <w:p w14:paraId="263EACB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0BEF5448" w14:textId="77777777" w:rsidTr="00594323">
        <w:trPr>
          <w:trHeight w:val="320"/>
        </w:trPr>
        <w:tc>
          <w:tcPr>
            <w:tcW w:w="43" w:type="dxa"/>
            <w:tcBorders>
              <w:top w:val="nil"/>
              <w:left w:val="nil"/>
              <w:bottom w:val="nil"/>
              <w:right w:val="nil"/>
            </w:tcBorders>
            <w:shd w:val="clear" w:color="000000" w:fill="FFFFFF"/>
            <w:noWrap/>
            <w:vAlign w:val="center"/>
            <w:hideMark/>
          </w:tcPr>
          <w:p w14:paraId="0A53FCED"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301" w:type="dxa"/>
            <w:gridSpan w:val="2"/>
            <w:tcBorders>
              <w:top w:val="nil"/>
              <w:left w:val="nil"/>
              <w:bottom w:val="nil"/>
              <w:right w:val="nil"/>
            </w:tcBorders>
            <w:shd w:val="clear" w:color="000000" w:fill="FFFFFF"/>
            <w:noWrap/>
            <w:vAlign w:val="center"/>
            <w:hideMark/>
          </w:tcPr>
          <w:p w14:paraId="531AC0BA"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Hemoglobin, &lt; 100g/L vs. ≥ 100g/L</w:t>
            </w:r>
          </w:p>
        </w:tc>
        <w:tc>
          <w:tcPr>
            <w:tcW w:w="2442" w:type="dxa"/>
            <w:tcBorders>
              <w:top w:val="nil"/>
              <w:left w:val="nil"/>
              <w:bottom w:val="nil"/>
              <w:right w:val="nil"/>
            </w:tcBorders>
            <w:shd w:val="clear" w:color="000000" w:fill="FFFFFF"/>
            <w:noWrap/>
            <w:vAlign w:val="center"/>
            <w:hideMark/>
          </w:tcPr>
          <w:p w14:paraId="446074FD"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5.73 [1.96, 16.82]</w:t>
            </w:r>
          </w:p>
        </w:tc>
        <w:tc>
          <w:tcPr>
            <w:tcW w:w="1263" w:type="dxa"/>
            <w:tcBorders>
              <w:top w:val="nil"/>
              <w:left w:val="nil"/>
              <w:bottom w:val="nil"/>
              <w:right w:val="nil"/>
            </w:tcBorders>
            <w:shd w:val="clear" w:color="000000" w:fill="FFFFFF"/>
            <w:noWrap/>
            <w:vAlign w:val="center"/>
            <w:hideMark/>
          </w:tcPr>
          <w:p w14:paraId="4374EA7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0.001**</w:t>
            </w:r>
          </w:p>
        </w:tc>
        <w:tc>
          <w:tcPr>
            <w:tcW w:w="43" w:type="dxa"/>
            <w:tcBorders>
              <w:top w:val="nil"/>
              <w:left w:val="nil"/>
              <w:bottom w:val="nil"/>
              <w:right w:val="nil"/>
            </w:tcBorders>
            <w:shd w:val="clear" w:color="000000" w:fill="FFFFFF"/>
            <w:noWrap/>
            <w:vAlign w:val="center"/>
            <w:hideMark/>
          </w:tcPr>
          <w:p w14:paraId="7752FDC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45DE26B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5.58 [1.90, 16.38]</w:t>
            </w:r>
          </w:p>
        </w:tc>
        <w:tc>
          <w:tcPr>
            <w:tcW w:w="1263" w:type="dxa"/>
            <w:tcBorders>
              <w:top w:val="nil"/>
              <w:left w:val="nil"/>
              <w:bottom w:val="nil"/>
              <w:right w:val="nil"/>
            </w:tcBorders>
            <w:shd w:val="clear" w:color="000000" w:fill="FFFFFF"/>
            <w:noWrap/>
            <w:vAlign w:val="center"/>
            <w:hideMark/>
          </w:tcPr>
          <w:p w14:paraId="767F09B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0.002</w:t>
            </w:r>
          </w:p>
        </w:tc>
        <w:tc>
          <w:tcPr>
            <w:tcW w:w="43" w:type="dxa"/>
            <w:tcBorders>
              <w:top w:val="nil"/>
              <w:left w:val="nil"/>
              <w:bottom w:val="nil"/>
              <w:right w:val="nil"/>
            </w:tcBorders>
            <w:shd w:val="clear" w:color="000000" w:fill="FFFFFF"/>
            <w:noWrap/>
            <w:vAlign w:val="center"/>
            <w:hideMark/>
          </w:tcPr>
          <w:p w14:paraId="02A4EB9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2CC6002C" w14:textId="77777777" w:rsidTr="00594323">
        <w:trPr>
          <w:trHeight w:val="320"/>
        </w:trPr>
        <w:tc>
          <w:tcPr>
            <w:tcW w:w="43" w:type="dxa"/>
            <w:tcBorders>
              <w:top w:val="nil"/>
              <w:left w:val="nil"/>
              <w:bottom w:val="nil"/>
              <w:right w:val="nil"/>
            </w:tcBorders>
            <w:shd w:val="clear" w:color="000000" w:fill="FFFFFF"/>
            <w:noWrap/>
            <w:vAlign w:val="center"/>
            <w:hideMark/>
          </w:tcPr>
          <w:p w14:paraId="7780FFC2"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lastRenderedPageBreak/>
              <w:t xml:space="preserve">　</w:t>
            </w:r>
          </w:p>
        </w:tc>
        <w:tc>
          <w:tcPr>
            <w:tcW w:w="4301" w:type="dxa"/>
            <w:gridSpan w:val="2"/>
            <w:tcBorders>
              <w:top w:val="nil"/>
              <w:left w:val="nil"/>
              <w:bottom w:val="nil"/>
              <w:right w:val="nil"/>
            </w:tcBorders>
            <w:shd w:val="clear" w:color="000000" w:fill="FFFFFF"/>
            <w:noWrap/>
            <w:vAlign w:val="center"/>
            <w:hideMark/>
          </w:tcPr>
          <w:p w14:paraId="2AE0AFC0"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Platelet, &lt; 30X10^9 vs. ≥ 30X10^9</w:t>
            </w:r>
          </w:p>
        </w:tc>
        <w:tc>
          <w:tcPr>
            <w:tcW w:w="2442" w:type="dxa"/>
            <w:tcBorders>
              <w:top w:val="nil"/>
              <w:left w:val="nil"/>
              <w:bottom w:val="nil"/>
              <w:right w:val="nil"/>
            </w:tcBorders>
            <w:shd w:val="clear" w:color="000000" w:fill="FFFFFF"/>
            <w:noWrap/>
            <w:vAlign w:val="center"/>
            <w:hideMark/>
          </w:tcPr>
          <w:p w14:paraId="08C3343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3.97 [1.57, 10.06]</w:t>
            </w:r>
          </w:p>
        </w:tc>
        <w:tc>
          <w:tcPr>
            <w:tcW w:w="1263" w:type="dxa"/>
            <w:tcBorders>
              <w:top w:val="nil"/>
              <w:left w:val="nil"/>
              <w:bottom w:val="nil"/>
              <w:right w:val="nil"/>
            </w:tcBorders>
            <w:shd w:val="clear" w:color="000000" w:fill="FFFFFF"/>
            <w:noWrap/>
            <w:vAlign w:val="center"/>
            <w:hideMark/>
          </w:tcPr>
          <w:p w14:paraId="43B7D9A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0.004**</w:t>
            </w:r>
          </w:p>
        </w:tc>
        <w:tc>
          <w:tcPr>
            <w:tcW w:w="43" w:type="dxa"/>
            <w:tcBorders>
              <w:top w:val="nil"/>
              <w:left w:val="nil"/>
              <w:bottom w:val="nil"/>
              <w:right w:val="nil"/>
            </w:tcBorders>
            <w:shd w:val="clear" w:color="000000" w:fill="FFFFFF"/>
            <w:noWrap/>
            <w:vAlign w:val="center"/>
            <w:hideMark/>
          </w:tcPr>
          <w:p w14:paraId="7F26DA0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1087150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3.84 [1.51, 9.73]</w:t>
            </w:r>
          </w:p>
        </w:tc>
        <w:tc>
          <w:tcPr>
            <w:tcW w:w="1263" w:type="dxa"/>
            <w:tcBorders>
              <w:top w:val="nil"/>
              <w:left w:val="nil"/>
              <w:bottom w:val="nil"/>
              <w:right w:val="nil"/>
            </w:tcBorders>
            <w:shd w:val="clear" w:color="000000" w:fill="FFFFFF"/>
            <w:noWrap/>
            <w:vAlign w:val="center"/>
            <w:hideMark/>
          </w:tcPr>
          <w:p w14:paraId="293DDF3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0.005</w:t>
            </w:r>
          </w:p>
        </w:tc>
        <w:tc>
          <w:tcPr>
            <w:tcW w:w="43" w:type="dxa"/>
            <w:tcBorders>
              <w:top w:val="nil"/>
              <w:left w:val="nil"/>
              <w:bottom w:val="nil"/>
              <w:right w:val="nil"/>
            </w:tcBorders>
            <w:shd w:val="clear" w:color="000000" w:fill="FFFFFF"/>
            <w:noWrap/>
            <w:vAlign w:val="center"/>
            <w:hideMark/>
          </w:tcPr>
          <w:p w14:paraId="45AA2E7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776FA47F" w14:textId="77777777" w:rsidTr="00594323">
        <w:trPr>
          <w:trHeight w:val="320"/>
        </w:trPr>
        <w:tc>
          <w:tcPr>
            <w:tcW w:w="43" w:type="dxa"/>
            <w:tcBorders>
              <w:top w:val="nil"/>
              <w:left w:val="nil"/>
              <w:bottom w:val="nil"/>
              <w:right w:val="nil"/>
            </w:tcBorders>
            <w:shd w:val="clear" w:color="000000" w:fill="FFFFFF"/>
            <w:noWrap/>
            <w:vAlign w:val="center"/>
            <w:hideMark/>
          </w:tcPr>
          <w:p w14:paraId="43016982"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28396BAE"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FIB(g/L</w:t>
            </w:r>
            <w:proofErr w:type="gramStart"/>
            <w:r w:rsidRPr="00594323">
              <w:rPr>
                <w:rFonts w:ascii="Arial" w:eastAsia="DengXian" w:hAnsi="Arial" w:cs="Arial"/>
                <w:color w:val="000000"/>
              </w:rPr>
              <w:t>),≥</w:t>
            </w:r>
            <w:proofErr w:type="gramEnd"/>
            <w:r w:rsidRPr="00594323">
              <w:rPr>
                <w:rFonts w:ascii="Arial" w:eastAsia="DengXian" w:hAnsi="Arial" w:cs="Arial"/>
                <w:color w:val="000000"/>
              </w:rPr>
              <w:t xml:space="preserve"> 3.065 vs. &lt;  3.065</w:t>
            </w:r>
          </w:p>
        </w:tc>
        <w:tc>
          <w:tcPr>
            <w:tcW w:w="43" w:type="dxa"/>
            <w:tcBorders>
              <w:top w:val="nil"/>
              <w:left w:val="nil"/>
              <w:bottom w:val="nil"/>
              <w:right w:val="nil"/>
            </w:tcBorders>
            <w:shd w:val="clear" w:color="000000" w:fill="FFFFFF"/>
            <w:noWrap/>
            <w:vAlign w:val="center"/>
            <w:hideMark/>
          </w:tcPr>
          <w:p w14:paraId="3DE4C8AE"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0CF3863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1.96 [0.85, 4.53]</w:t>
            </w:r>
          </w:p>
        </w:tc>
        <w:tc>
          <w:tcPr>
            <w:tcW w:w="1263" w:type="dxa"/>
            <w:tcBorders>
              <w:top w:val="nil"/>
              <w:left w:val="nil"/>
              <w:bottom w:val="nil"/>
              <w:right w:val="nil"/>
            </w:tcBorders>
            <w:shd w:val="clear" w:color="000000" w:fill="FFFFFF"/>
            <w:noWrap/>
            <w:vAlign w:val="center"/>
            <w:hideMark/>
          </w:tcPr>
          <w:p w14:paraId="7570BF0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0.113</w:t>
            </w:r>
          </w:p>
        </w:tc>
        <w:tc>
          <w:tcPr>
            <w:tcW w:w="43" w:type="dxa"/>
            <w:tcBorders>
              <w:top w:val="nil"/>
              <w:left w:val="nil"/>
              <w:bottom w:val="nil"/>
              <w:right w:val="nil"/>
            </w:tcBorders>
            <w:shd w:val="clear" w:color="000000" w:fill="FFFFFF"/>
            <w:noWrap/>
            <w:vAlign w:val="center"/>
            <w:hideMark/>
          </w:tcPr>
          <w:p w14:paraId="015C46B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4C1244C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1.91 [0.82, 4.43]</w:t>
            </w:r>
          </w:p>
        </w:tc>
        <w:tc>
          <w:tcPr>
            <w:tcW w:w="1263" w:type="dxa"/>
            <w:tcBorders>
              <w:top w:val="nil"/>
              <w:left w:val="nil"/>
              <w:bottom w:val="nil"/>
              <w:right w:val="nil"/>
            </w:tcBorders>
            <w:shd w:val="clear" w:color="000000" w:fill="FFFFFF"/>
            <w:noWrap/>
            <w:vAlign w:val="center"/>
            <w:hideMark/>
          </w:tcPr>
          <w:p w14:paraId="73E5861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0.132</w:t>
            </w:r>
          </w:p>
        </w:tc>
        <w:tc>
          <w:tcPr>
            <w:tcW w:w="43" w:type="dxa"/>
            <w:tcBorders>
              <w:top w:val="nil"/>
              <w:left w:val="nil"/>
              <w:bottom w:val="nil"/>
              <w:right w:val="nil"/>
            </w:tcBorders>
            <w:shd w:val="clear" w:color="000000" w:fill="FFFFFF"/>
            <w:noWrap/>
            <w:vAlign w:val="center"/>
            <w:hideMark/>
          </w:tcPr>
          <w:p w14:paraId="475733E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56FECE3C" w14:textId="77777777" w:rsidTr="00594323">
        <w:trPr>
          <w:trHeight w:val="320"/>
        </w:trPr>
        <w:tc>
          <w:tcPr>
            <w:tcW w:w="43" w:type="dxa"/>
            <w:tcBorders>
              <w:top w:val="nil"/>
              <w:left w:val="nil"/>
              <w:bottom w:val="nil"/>
              <w:right w:val="nil"/>
            </w:tcBorders>
            <w:shd w:val="clear" w:color="000000" w:fill="FFFFFF"/>
            <w:noWrap/>
            <w:vAlign w:val="center"/>
            <w:hideMark/>
          </w:tcPr>
          <w:p w14:paraId="11068C15"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4338C37E"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APTT(s</w:t>
            </w:r>
            <w:proofErr w:type="gramStart"/>
            <w:r w:rsidRPr="00594323">
              <w:rPr>
                <w:rFonts w:ascii="Arial" w:eastAsia="DengXian" w:hAnsi="Arial" w:cs="Arial"/>
                <w:color w:val="000000"/>
              </w:rPr>
              <w:t>),≥</w:t>
            </w:r>
            <w:proofErr w:type="gramEnd"/>
            <w:r w:rsidRPr="00594323">
              <w:rPr>
                <w:rFonts w:ascii="Arial" w:eastAsia="DengXian" w:hAnsi="Arial" w:cs="Arial"/>
                <w:color w:val="000000"/>
              </w:rPr>
              <w:t xml:space="preserve"> 31.4 vs. &lt;  31.4</w:t>
            </w:r>
          </w:p>
        </w:tc>
        <w:tc>
          <w:tcPr>
            <w:tcW w:w="43" w:type="dxa"/>
            <w:tcBorders>
              <w:top w:val="nil"/>
              <w:left w:val="nil"/>
              <w:bottom w:val="nil"/>
              <w:right w:val="nil"/>
            </w:tcBorders>
            <w:shd w:val="clear" w:color="000000" w:fill="FFFFFF"/>
            <w:noWrap/>
            <w:vAlign w:val="center"/>
            <w:hideMark/>
          </w:tcPr>
          <w:p w14:paraId="73B085A6"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5604191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1.15 [0.51, 2.57]</w:t>
            </w:r>
          </w:p>
        </w:tc>
        <w:tc>
          <w:tcPr>
            <w:tcW w:w="1263" w:type="dxa"/>
            <w:tcBorders>
              <w:top w:val="nil"/>
              <w:left w:val="nil"/>
              <w:bottom w:val="nil"/>
              <w:right w:val="nil"/>
            </w:tcBorders>
            <w:shd w:val="clear" w:color="000000" w:fill="FFFFFF"/>
            <w:noWrap/>
            <w:vAlign w:val="center"/>
            <w:hideMark/>
          </w:tcPr>
          <w:p w14:paraId="7643042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0.74</w:t>
            </w:r>
          </w:p>
        </w:tc>
        <w:tc>
          <w:tcPr>
            <w:tcW w:w="43" w:type="dxa"/>
            <w:tcBorders>
              <w:top w:val="nil"/>
              <w:left w:val="nil"/>
              <w:bottom w:val="nil"/>
              <w:right w:val="nil"/>
            </w:tcBorders>
            <w:shd w:val="clear" w:color="000000" w:fill="FFFFFF"/>
            <w:noWrap/>
            <w:vAlign w:val="center"/>
            <w:hideMark/>
          </w:tcPr>
          <w:p w14:paraId="04026D7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6C2E0AED"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1.18 [0.52, 2.65]</w:t>
            </w:r>
          </w:p>
        </w:tc>
        <w:tc>
          <w:tcPr>
            <w:tcW w:w="1263" w:type="dxa"/>
            <w:tcBorders>
              <w:top w:val="nil"/>
              <w:left w:val="nil"/>
              <w:bottom w:val="nil"/>
              <w:right w:val="nil"/>
            </w:tcBorders>
            <w:shd w:val="clear" w:color="000000" w:fill="FFFFFF"/>
            <w:noWrap/>
            <w:vAlign w:val="center"/>
            <w:hideMark/>
          </w:tcPr>
          <w:p w14:paraId="3D6615B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0.691</w:t>
            </w:r>
          </w:p>
        </w:tc>
        <w:tc>
          <w:tcPr>
            <w:tcW w:w="43" w:type="dxa"/>
            <w:tcBorders>
              <w:top w:val="nil"/>
              <w:left w:val="nil"/>
              <w:bottom w:val="nil"/>
              <w:right w:val="nil"/>
            </w:tcBorders>
            <w:shd w:val="clear" w:color="000000" w:fill="FFFFFF"/>
            <w:noWrap/>
            <w:vAlign w:val="center"/>
            <w:hideMark/>
          </w:tcPr>
          <w:p w14:paraId="105CE66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33EBE613" w14:textId="77777777" w:rsidTr="00594323">
        <w:trPr>
          <w:trHeight w:val="320"/>
        </w:trPr>
        <w:tc>
          <w:tcPr>
            <w:tcW w:w="43" w:type="dxa"/>
            <w:tcBorders>
              <w:top w:val="nil"/>
              <w:left w:val="nil"/>
              <w:bottom w:val="nil"/>
              <w:right w:val="nil"/>
            </w:tcBorders>
            <w:shd w:val="clear" w:color="000000" w:fill="FFFFFF"/>
            <w:noWrap/>
            <w:vAlign w:val="center"/>
            <w:hideMark/>
          </w:tcPr>
          <w:p w14:paraId="083ABA14"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5001426B"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PT(s), ≥ 12.2 vs. &lt; 12.2</w:t>
            </w:r>
          </w:p>
        </w:tc>
        <w:tc>
          <w:tcPr>
            <w:tcW w:w="43" w:type="dxa"/>
            <w:tcBorders>
              <w:top w:val="nil"/>
              <w:left w:val="nil"/>
              <w:bottom w:val="nil"/>
              <w:right w:val="nil"/>
            </w:tcBorders>
            <w:shd w:val="clear" w:color="000000" w:fill="FFFFFF"/>
            <w:noWrap/>
            <w:vAlign w:val="center"/>
            <w:hideMark/>
          </w:tcPr>
          <w:p w14:paraId="5B5DE2B4"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3BCEF97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1.48 [0.66, 3.32]</w:t>
            </w:r>
          </w:p>
        </w:tc>
        <w:tc>
          <w:tcPr>
            <w:tcW w:w="1263" w:type="dxa"/>
            <w:tcBorders>
              <w:top w:val="nil"/>
              <w:left w:val="nil"/>
              <w:bottom w:val="nil"/>
              <w:right w:val="nil"/>
            </w:tcBorders>
            <w:shd w:val="clear" w:color="000000" w:fill="FFFFFF"/>
            <w:noWrap/>
            <w:vAlign w:val="center"/>
            <w:hideMark/>
          </w:tcPr>
          <w:p w14:paraId="0E444D0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0.337</w:t>
            </w:r>
          </w:p>
        </w:tc>
        <w:tc>
          <w:tcPr>
            <w:tcW w:w="43" w:type="dxa"/>
            <w:tcBorders>
              <w:top w:val="nil"/>
              <w:left w:val="nil"/>
              <w:bottom w:val="nil"/>
              <w:right w:val="nil"/>
            </w:tcBorders>
            <w:shd w:val="clear" w:color="000000" w:fill="FFFFFF"/>
            <w:noWrap/>
            <w:vAlign w:val="center"/>
            <w:hideMark/>
          </w:tcPr>
          <w:p w14:paraId="6D4BCB6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0FC606C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1.53 [0.68, 3.44]</w:t>
            </w:r>
          </w:p>
        </w:tc>
        <w:tc>
          <w:tcPr>
            <w:tcW w:w="1263" w:type="dxa"/>
            <w:tcBorders>
              <w:top w:val="nil"/>
              <w:left w:val="nil"/>
              <w:bottom w:val="nil"/>
              <w:right w:val="nil"/>
            </w:tcBorders>
            <w:shd w:val="clear" w:color="000000" w:fill="FFFFFF"/>
            <w:noWrap/>
            <w:vAlign w:val="center"/>
            <w:hideMark/>
          </w:tcPr>
          <w:p w14:paraId="3AFFDA1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0.299</w:t>
            </w:r>
          </w:p>
        </w:tc>
        <w:tc>
          <w:tcPr>
            <w:tcW w:w="43" w:type="dxa"/>
            <w:tcBorders>
              <w:top w:val="nil"/>
              <w:left w:val="nil"/>
              <w:bottom w:val="nil"/>
              <w:right w:val="nil"/>
            </w:tcBorders>
            <w:shd w:val="clear" w:color="000000" w:fill="FFFFFF"/>
            <w:noWrap/>
            <w:vAlign w:val="center"/>
            <w:hideMark/>
          </w:tcPr>
          <w:p w14:paraId="045E624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639C9828" w14:textId="77777777" w:rsidTr="00594323">
        <w:trPr>
          <w:trHeight w:val="320"/>
        </w:trPr>
        <w:tc>
          <w:tcPr>
            <w:tcW w:w="43" w:type="dxa"/>
            <w:tcBorders>
              <w:top w:val="nil"/>
              <w:left w:val="nil"/>
              <w:bottom w:val="nil"/>
              <w:right w:val="nil"/>
            </w:tcBorders>
            <w:shd w:val="clear" w:color="000000" w:fill="FFFFFF"/>
            <w:noWrap/>
            <w:vAlign w:val="center"/>
            <w:hideMark/>
          </w:tcPr>
          <w:p w14:paraId="7BE642E9"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4BA1E6F2"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TT(s), ≥ 16.15 vs. &lt; 16.15</w:t>
            </w:r>
          </w:p>
        </w:tc>
        <w:tc>
          <w:tcPr>
            <w:tcW w:w="43" w:type="dxa"/>
            <w:tcBorders>
              <w:top w:val="nil"/>
              <w:left w:val="nil"/>
              <w:bottom w:val="nil"/>
              <w:right w:val="nil"/>
            </w:tcBorders>
            <w:shd w:val="clear" w:color="000000" w:fill="FFFFFF"/>
            <w:noWrap/>
            <w:vAlign w:val="center"/>
            <w:hideMark/>
          </w:tcPr>
          <w:p w14:paraId="1D25A6F6"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4882E51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2.21 [0.66, 7.43]</w:t>
            </w:r>
          </w:p>
        </w:tc>
        <w:tc>
          <w:tcPr>
            <w:tcW w:w="1263" w:type="dxa"/>
            <w:tcBorders>
              <w:top w:val="nil"/>
              <w:left w:val="nil"/>
              <w:bottom w:val="nil"/>
              <w:right w:val="nil"/>
            </w:tcBorders>
            <w:shd w:val="clear" w:color="000000" w:fill="FFFFFF"/>
            <w:noWrap/>
            <w:vAlign w:val="center"/>
            <w:hideMark/>
          </w:tcPr>
          <w:p w14:paraId="609A6B6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0.199</w:t>
            </w:r>
          </w:p>
        </w:tc>
        <w:tc>
          <w:tcPr>
            <w:tcW w:w="43" w:type="dxa"/>
            <w:tcBorders>
              <w:top w:val="nil"/>
              <w:left w:val="nil"/>
              <w:bottom w:val="nil"/>
              <w:right w:val="nil"/>
            </w:tcBorders>
            <w:shd w:val="clear" w:color="000000" w:fill="FFFFFF"/>
            <w:noWrap/>
            <w:vAlign w:val="center"/>
            <w:hideMark/>
          </w:tcPr>
          <w:p w14:paraId="1F17516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5C9A56A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2.27 [0.67, 7.65]</w:t>
            </w:r>
          </w:p>
        </w:tc>
        <w:tc>
          <w:tcPr>
            <w:tcW w:w="1263" w:type="dxa"/>
            <w:tcBorders>
              <w:top w:val="nil"/>
              <w:left w:val="nil"/>
              <w:bottom w:val="nil"/>
              <w:right w:val="nil"/>
            </w:tcBorders>
            <w:shd w:val="clear" w:color="000000" w:fill="FFFFFF"/>
            <w:noWrap/>
            <w:vAlign w:val="center"/>
            <w:hideMark/>
          </w:tcPr>
          <w:p w14:paraId="27FAF8A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0.187</w:t>
            </w:r>
          </w:p>
        </w:tc>
        <w:tc>
          <w:tcPr>
            <w:tcW w:w="43" w:type="dxa"/>
            <w:tcBorders>
              <w:top w:val="nil"/>
              <w:left w:val="nil"/>
              <w:bottom w:val="nil"/>
              <w:right w:val="nil"/>
            </w:tcBorders>
            <w:shd w:val="clear" w:color="000000" w:fill="FFFFFF"/>
            <w:noWrap/>
            <w:vAlign w:val="center"/>
            <w:hideMark/>
          </w:tcPr>
          <w:p w14:paraId="6222943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74479593" w14:textId="77777777" w:rsidTr="00594323">
        <w:trPr>
          <w:trHeight w:val="320"/>
        </w:trPr>
        <w:tc>
          <w:tcPr>
            <w:tcW w:w="43" w:type="dxa"/>
            <w:tcBorders>
              <w:top w:val="nil"/>
              <w:left w:val="nil"/>
              <w:bottom w:val="nil"/>
              <w:right w:val="nil"/>
            </w:tcBorders>
            <w:shd w:val="clear" w:color="000000" w:fill="D9D9D9"/>
            <w:noWrap/>
            <w:vAlign w:val="center"/>
            <w:hideMark/>
          </w:tcPr>
          <w:p w14:paraId="09862DBF"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D9D9D9"/>
            <w:noWrap/>
            <w:vAlign w:val="center"/>
            <w:hideMark/>
          </w:tcPr>
          <w:p w14:paraId="7B95AB7C" w14:textId="77777777" w:rsidR="00594323" w:rsidRPr="00594323" w:rsidRDefault="00594323" w:rsidP="00594323">
            <w:pPr>
              <w:rPr>
                <w:rFonts w:ascii="Arial" w:eastAsia="DengXian" w:hAnsi="Arial" w:cs="Arial"/>
                <w:b/>
                <w:bCs/>
                <w:color w:val="000000"/>
              </w:rPr>
            </w:pPr>
            <w:r w:rsidRPr="00594323">
              <w:rPr>
                <w:rFonts w:ascii="Arial" w:eastAsia="DengXian" w:hAnsi="Arial" w:cs="Arial"/>
                <w:b/>
                <w:bCs/>
                <w:color w:val="000000"/>
              </w:rPr>
              <w:t>After infusion of Car-T cells</w:t>
            </w:r>
          </w:p>
        </w:tc>
        <w:tc>
          <w:tcPr>
            <w:tcW w:w="43" w:type="dxa"/>
            <w:tcBorders>
              <w:top w:val="nil"/>
              <w:left w:val="nil"/>
              <w:bottom w:val="nil"/>
              <w:right w:val="nil"/>
            </w:tcBorders>
            <w:shd w:val="clear" w:color="000000" w:fill="D9D9D9"/>
            <w:noWrap/>
            <w:vAlign w:val="center"/>
            <w:hideMark/>
          </w:tcPr>
          <w:p w14:paraId="37E0AF9B"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41BD950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1263" w:type="dxa"/>
            <w:tcBorders>
              <w:top w:val="nil"/>
              <w:left w:val="nil"/>
              <w:bottom w:val="nil"/>
              <w:right w:val="nil"/>
            </w:tcBorders>
            <w:shd w:val="clear" w:color="000000" w:fill="D9D9D9"/>
            <w:noWrap/>
            <w:vAlign w:val="center"/>
            <w:hideMark/>
          </w:tcPr>
          <w:p w14:paraId="210A8DC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43" w:type="dxa"/>
            <w:tcBorders>
              <w:top w:val="nil"/>
              <w:left w:val="nil"/>
              <w:bottom w:val="nil"/>
              <w:right w:val="nil"/>
            </w:tcBorders>
            <w:shd w:val="clear" w:color="000000" w:fill="D9D9D9"/>
            <w:noWrap/>
            <w:vAlign w:val="center"/>
            <w:hideMark/>
          </w:tcPr>
          <w:p w14:paraId="2CEDBE2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D9D9D9"/>
            <w:noWrap/>
            <w:vAlign w:val="center"/>
            <w:hideMark/>
          </w:tcPr>
          <w:p w14:paraId="37A55E4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1263" w:type="dxa"/>
            <w:tcBorders>
              <w:top w:val="nil"/>
              <w:left w:val="nil"/>
              <w:bottom w:val="nil"/>
              <w:right w:val="nil"/>
            </w:tcBorders>
            <w:shd w:val="clear" w:color="000000" w:fill="D9D9D9"/>
            <w:noWrap/>
            <w:vAlign w:val="center"/>
            <w:hideMark/>
          </w:tcPr>
          <w:p w14:paraId="5E1E776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43" w:type="dxa"/>
            <w:tcBorders>
              <w:top w:val="nil"/>
              <w:left w:val="nil"/>
              <w:bottom w:val="nil"/>
              <w:right w:val="nil"/>
            </w:tcBorders>
            <w:shd w:val="clear" w:color="000000" w:fill="D9D9D9"/>
            <w:noWrap/>
            <w:vAlign w:val="center"/>
            <w:hideMark/>
          </w:tcPr>
          <w:p w14:paraId="51D85BD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220DAADB" w14:textId="77777777" w:rsidTr="00594323">
        <w:trPr>
          <w:trHeight w:val="320"/>
        </w:trPr>
        <w:tc>
          <w:tcPr>
            <w:tcW w:w="43" w:type="dxa"/>
            <w:tcBorders>
              <w:top w:val="nil"/>
              <w:left w:val="nil"/>
              <w:bottom w:val="nil"/>
              <w:right w:val="nil"/>
            </w:tcBorders>
            <w:shd w:val="clear" w:color="000000" w:fill="FFFFFF"/>
            <w:noWrap/>
            <w:vAlign w:val="center"/>
            <w:hideMark/>
          </w:tcPr>
          <w:p w14:paraId="79422621"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301" w:type="dxa"/>
            <w:gridSpan w:val="2"/>
            <w:tcBorders>
              <w:top w:val="nil"/>
              <w:left w:val="nil"/>
              <w:bottom w:val="nil"/>
              <w:right w:val="nil"/>
            </w:tcBorders>
            <w:shd w:val="clear" w:color="000000" w:fill="FFFFFF"/>
            <w:noWrap/>
            <w:vAlign w:val="center"/>
            <w:hideMark/>
          </w:tcPr>
          <w:p w14:paraId="79BDB865"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Platelet, &lt; 30X10^9 vs. ≥ 30X10^9</w:t>
            </w:r>
          </w:p>
        </w:tc>
        <w:tc>
          <w:tcPr>
            <w:tcW w:w="2442" w:type="dxa"/>
            <w:tcBorders>
              <w:top w:val="nil"/>
              <w:left w:val="nil"/>
              <w:bottom w:val="nil"/>
              <w:right w:val="nil"/>
            </w:tcBorders>
            <w:shd w:val="clear" w:color="000000" w:fill="FFFFFF"/>
            <w:noWrap/>
            <w:vAlign w:val="center"/>
            <w:hideMark/>
          </w:tcPr>
          <w:p w14:paraId="7E57F6F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3.61 [1.58, 8.26]</w:t>
            </w:r>
          </w:p>
        </w:tc>
        <w:tc>
          <w:tcPr>
            <w:tcW w:w="1263" w:type="dxa"/>
            <w:tcBorders>
              <w:top w:val="nil"/>
              <w:left w:val="nil"/>
              <w:bottom w:val="nil"/>
              <w:right w:val="nil"/>
            </w:tcBorders>
            <w:shd w:val="clear" w:color="000000" w:fill="FFFFFF"/>
            <w:noWrap/>
            <w:vAlign w:val="center"/>
            <w:hideMark/>
          </w:tcPr>
          <w:p w14:paraId="0FAB7BA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0.002**</w:t>
            </w:r>
          </w:p>
        </w:tc>
        <w:tc>
          <w:tcPr>
            <w:tcW w:w="43" w:type="dxa"/>
            <w:tcBorders>
              <w:top w:val="nil"/>
              <w:left w:val="nil"/>
              <w:bottom w:val="nil"/>
              <w:right w:val="nil"/>
            </w:tcBorders>
            <w:shd w:val="clear" w:color="000000" w:fill="FFFFFF"/>
            <w:noWrap/>
            <w:vAlign w:val="center"/>
            <w:hideMark/>
          </w:tcPr>
          <w:p w14:paraId="40B3F94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5370094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3.48 [1.52, 7.99]</w:t>
            </w:r>
          </w:p>
        </w:tc>
        <w:tc>
          <w:tcPr>
            <w:tcW w:w="1263" w:type="dxa"/>
            <w:tcBorders>
              <w:top w:val="nil"/>
              <w:left w:val="nil"/>
              <w:bottom w:val="nil"/>
              <w:right w:val="nil"/>
            </w:tcBorders>
            <w:shd w:val="clear" w:color="000000" w:fill="FFFFFF"/>
            <w:noWrap/>
            <w:vAlign w:val="center"/>
            <w:hideMark/>
          </w:tcPr>
          <w:p w14:paraId="0C21419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0.003</w:t>
            </w:r>
          </w:p>
        </w:tc>
        <w:tc>
          <w:tcPr>
            <w:tcW w:w="43" w:type="dxa"/>
            <w:tcBorders>
              <w:top w:val="nil"/>
              <w:left w:val="nil"/>
              <w:bottom w:val="nil"/>
              <w:right w:val="nil"/>
            </w:tcBorders>
            <w:shd w:val="clear" w:color="000000" w:fill="FFFFFF"/>
            <w:noWrap/>
            <w:vAlign w:val="center"/>
            <w:hideMark/>
          </w:tcPr>
          <w:p w14:paraId="72DCF77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510BBE97" w14:textId="77777777" w:rsidTr="00594323">
        <w:trPr>
          <w:trHeight w:val="320"/>
        </w:trPr>
        <w:tc>
          <w:tcPr>
            <w:tcW w:w="43" w:type="dxa"/>
            <w:tcBorders>
              <w:top w:val="nil"/>
              <w:left w:val="nil"/>
              <w:bottom w:val="nil"/>
              <w:right w:val="nil"/>
            </w:tcBorders>
            <w:shd w:val="clear" w:color="000000" w:fill="FFFFFF"/>
            <w:noWrap/>
            <w:vAlign w:val="center"/>
            <w:hideMark/>
          </w:tcPr>
          <w:p w14:paraId="01605054"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301" w:type="dxa"/>
            <w:gridSpan w:val="2"/>
            <w:tcBorders>
              <w:top w:val="nil"/>
              <w:left w:val="nil"/>
              <w:bottom w:val="nil"/>
              <w:right w:val="nil"/>
            </w:tcBorders>
            <w:shd w:val="clear" w:color="000000" w:fill="FFFFFF"/>
            <w:noWrap/>
            <w:vAlign w:val="center"/>
            <w:hideMark/>
          </w:tcPr>
          <w:p w14:paraId="66F665E7" w14:textId="77777777" w:rsidR="00594323" w:rsidRPr="00594323" w:rsidRDefault="00594323" w:rsidP="00594323">
            <w:pPr>
              <w:ind w:firstLineChars="100" w:firstLine="240"/>
              <w:rPr>
                <w:rFonts w:ascii="Arial" w:eastAsia="DengXian" w:hAnsi="Arial" w:cs="Arial"/>
                <w:color w:val="000000"/>
              </w:rPr>
            </w:pPr>
            <w:proofErr w:type="gramStart"/>
            <w:r w:rsidRPr="00594323">
              <w:rPr>
                <w:rFonts w:ascii="Arial" w:eastAsia="DengXian" w:hAnsi="Arial" w:cs="Arial"/>
                <w:color w:val="000000"/>
              </w:rPr>
              <w:t>CRP(</w:t>
            </w:r>
            <w:proofErr w:type="gramEnd"/>
            <w:r w:rsidRPr="00594323">
              <w:rPr>
                <w:rFonts w:ascii="Arial" w:eastAsia="DengXian" w:hAnsi="Arial" w:cs="Arial"/>
                <w:color w:val="000000"/>
              </w:rPr>
              <w:t>mg/L), ≥ 23.325 vs. &lt; 23.325</w:t>
            </w:r>
          </w:p>
        </w:tc>
        <w:tc>
          <w:tcPr>
            <w:tcW w:w="2442" w:type="dxa"/>
            <w:tcBorders>
              <w:top w:val="nil"/>
              <w:left w:val="nil"/>
              <w:bottom w:val="nil"/>
              <w:right w:val="nil"/>
            </w:tcBorders>
            <w:shd w:val="clear" w:color="000000" w:fill="FFFFFF"/>
            <w:noWrap/>
            <w:vAlign w:val="center"/>
            <w:hideMark/>
          </w:tcPr>
          <w:p w14:paraId="15B0426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3.17 [1.26, 7.99]</w:t>
            </w:r>
          </w:p>
        </w:tc>
        <w:tc>
          <w:tcPr>
            <w:tcW w:w="1263" w:type="dxa"/>
            <w:tcBorders>
              <w:top w:val="nil"/>
              <w:left w:val="nil"/>
              <w:bottom w:val="nil"/>
              <w:right w:val="nil"/>
            </w:tcBorders>
            <w:shd w:val="clear" w:color="000000" w:fill="FFFFFF"/>
            <w:noWrap/>
            <w:vAlign w:val="center"/>
            <w:hideMark/>
          </w:tcPr>
          <w:p w14:paraId="25EF8B6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0.015*</w:t>
            </w:r>
          </w:p>
        </w:tc>
        <w:tc>
          <w:tcPr>
            <w:tcW w:w="43" w:type="dxa"/>
            <w:tcBorders>
              <w:top w:val="nil"/>
              <w:left w:val="nil"/>
              <w:bottom w:val="nil"/>
              <w:right w:val="nil"/>
            </w:tcBorders>
            <w:shd w:val="clear" w:color="000000" w:fill="FFFFFF"/>
            <w:noWrap/>
            <w:vAlign w:val="center"/>
            <w:hideMark/>
          </w:tcPr>
          <w:p w14:paraId="71C30A0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6264060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3.06 [1.21, 7.74]</w:t>
            </w:r>
          </w:p>
        </w:tc>
        <w:tc>
          <w:tcPr>
            <w:tcW w:w="1263" w:type="dxa"/>
            <w:tcBorders>
              <w:top w:val="nil"/>
              <w:left w:val="nil"/>
              <w:bottom w:val="nil"/>
              <w:right w:val="nil"/>
            </w:tcBorders>
            <w:shd w:val="clear" w:color="000000" w:fill="FFFFFF"/>
            <w:noWrap/>
            <w:vAlign w:val="center"/>
            <w:hideMark/>
          </w:tcPr>
          <w:p w14:paraId="32474A6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0.018</w:t>
            </w:r>
          </w:p>
        </w:tc>
        <w:tc>
          <w:tcPr>
            <w:tcW w:w="43" w:type="dxa"/>
            <w:tcBorders>
              <w:top w:val="nil"/>
              <w:left w:val="nil"/>
              <w:bottom w:val="nil"/>
              <w:right w:val="nil"/>
            </w:tcBorders>
            <w:shd w:val="clear" w:color="000000" w:fill="FFFFFF"/>
            <w:noWrap/>
            <w:vAlign w:val="center"/>
            <w:hideMark/>
          </w:tcPr>
          <w:p w14:paraId="73FD21E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3CBD9DEB" w14:textId="77777777" w:rsidTr="00594323">
        <w:trPr>
          <w:trHeight w:val="320"/>
        </w:trPr>
        <w:tc>
          <w:tcPr>
            <w:tcW w:w="43" w:type="dxa"/>
            <w:tcBorders>
              <w:top w:val="nil"/>
              <w:left w:val="nil"/>
              <w:bottom w:val="nil"/>
              <w:right w:val="nil"/>
            </w:tcBorders>
            <w:shd w:val="clear" w:color="000000" w:fill="FFFFFF"/>
            <w:noWrap/>
            <w:vAlign w:val="center"/>
            <w:hideMark/>
          </w:tcPr>
          <w:p w14:paraId="4A9B8EEE"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4CC725C3"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FIB(g/L), ≥ 3.44 vs. &lt; 3.44</w:t>
            </w:r>
          </w:p>
        </w:tc>
        <w:tc>
          <w:tcPr>
            <w:tcW w:w="43" w:type="dxa"/>
            <w:tcBorders>
              <w:top w:val="nil"/>
              <w:left w:val="nil"/>
              <w:bottom w:val="nil"/>
              <w:right w:val="nil"/>
            </w:tcBorders>
            <w:shd w:val="clear" w:color="000000" w:fill="FFFFFF"/>
            <w:noWrap/>
            <w:vAlign w:val="center"/>
            <w:hideMark/>
          </w:tcPr>
          <w:p w14:paraId="0F0099DC"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251B559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1.47 [0.65, 3.32]</w:t>
            </w:r>
          </w:p>
        </w:tc>
        <w:tc>
          <w:tcPr>
            <w:tcW w:w="1263" w:type="dxa"/>
            <w:tcBorders>
              <w:top w:val="nil"/>
              <w:left w:val="nil"/>
              <w:bottom w:val="nil"/>
              <w:right w:val="nil"/>
            </w:tcBorders>
            <w:shd w:val="clear" w:color="000000" w:fill="FFFFFF"/>
            <w:noWrap/>
            <w:vAlign w:val="center"/>
            <w:hideMark/>
          </w:tcPr>
          <w:p w14:paraId="24AFD62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0.349</w:t>
            </w:r>
          </w:p>
        </w:tc>
        <w:tc>
          <w:tcPr>
            <w:tcW w:w="43" w:type="dxa"/>
            <w:tcBorders>
              <w:top w:val="nil"/>
              <w:left w:val="nil"/>
              <w:bottom w:val="nil"/>
              <w:right w:val="nil"/>
            </w:tcBorders>
            <w:shd w:val="clear" w:color="000000" w:fill="FFFFFF"/>
            <w:noWrap/>
            <w:vAlign w:val="center"/>
            <w:hideMark/>
          </w:tcPr>
          <w:p w14:paraId="08B67A0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5B73D6F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1.38 [0.61, 3.14]</w:t>
            </w:r>
          </w:p>
        </w:tc>
        <w:tc>
          <w:tcPr>
            <w:tcW w:w="1263" w:type="dxa"/>
            <w:tcBorders>
              <w:top w:val="nil"/>
              <w:left w:val="nil"/>
              <w:bottom w:val="nil"/>
              <w:right w:val="nil"/>
            </w:tcBorders>
            <w:shd w:val="clear" w:color="000000" w:fill="FFFFFF"/>
            <w:noWrap/>
            <w:vAlign w:val="center"/>
            <w:hideMark/>
          </w:tcPr>
          <w:p w14:paraId="060B016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0.435</w:t>
            </w:r>
          </w:p>
        </w:tc>
        <w:tc>
          <w:tcPr>
            <w:tcW w:w="43" w:type="dxa"/>
            <w:tcBorders>
              <w:top w:val="nil"/>
              <w:left w:val="nil"/>
              <w:bottom w:val="nil"/>
              <w:right w:val="nil"/>
            </w:tcBorders>
            <w:shd w:val="clear" w:color="000000" w:fill="FFFFFF"/>
            <w:noWrap/>
            <w:vAlign w:val="center"/>
            <w:hideMark/>
          </w:tcPr>
          <w:p w14:paraId="6F4171F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1AF6B687" w14:textId="77777777" w:rsidTr="00594323">
        <w:trPr>
          <w:trHeight w:val="320"/>
        </w:trPr>
        <w:tc>
          <w:tcPr>
            <w:tcW w:w="43" w:type="dxa"/>
            <w:tcBorders>
              <w:top w:val="nil"/>
              <w:left w:val="nil"/>
              <w:bottom w:val="nil"/>
              <w:right w:val="nil"/>
            </w:tcBorders>
            <w:shd w:val="clear" w:color="000000" w:fill="FFFFFF"/>
            <w:noWrap/>
            <w:vAlign w:val="center"/>
            <w:hideMark/>
          </w:tcPr>
          <w:p w14:paraId="51601903"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301" w:type="dxa"/>
            <w:gridSpan w:val="2"/>
            <w:tcBorders>
              <w:top w:val="nil"/>
              <w:left w:val="nil"/>
              <w:bottom w:val="nil"/>
              <w:right w:val="nil"/>
            </w:tcBorders>
            <w:shd w:val="clear" w:color="000000" w:fill="FFFFFF"/>
            <w:noWrap/>
            <w:vAlign w:val="center"/>
            <w:hideMark/>
          </w:tcPr>
          <w:p w14:paraId="6EAC5D5B"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APTT(s), ≥ 38.42 vs. &lt; 38.42</w:t>
            </w:r>
          </w:p>
        </w:tc>
        <w:tc>
          <w:tcPr>
            <w:tcW w:w="2442" w:type="dxa"/>
            <w:tcBorders>
              <w:top w:val="nil"/>
              <w:left w:val="nil"/>
              <w:bottom w:val="nil"/>
              <w:right w:val="nil"/>
            </w:tcBorders>
            <w:shd w:val="clear" w:color="000000" w:fill="FFFFFF"/>
            <w:noWrap/>
            <w:vAlign w:val="center"/>
            <w:hideMark/>
          </w:tcPr>
          <w:p w14:paraId="6586610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1.50 [0.66, 3.38]</w:t>
            </w:r>
          </w:p>
        </w:tc>
        <w:tc>
          <w:tcPr>
            <w:tcW w:w="1263" w:type="dxa"/>
            <w:tcBorders>
              <w:top w:val="nil"/>
              <w:left w:val="nil"/>
              <w:bottom w:val="nil"/>
              <w:right w:val="nil"/>
            </w:tcBorders>
            <w:shd w:val="clear" w:color="000000" w:fill="FFFFFF"/>
            <w:noWrap/>
            <w:vAlign w:val="center"/>
            <w:hideMark/>
          </w:tcPr>
          <w:p w14:paraId="6F44EB7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0.332</w:t>
            </w:r>
          </w:p>
        </w:tc>
        <w:tc>
          <w:tcPr>
            <w:tcW w:w="43" w:type="dxa"/>
            <w:tcBorders>
              <w:top w:val="nil"/>
              <w:left w:val="nil"/>
              <w:bottom w:val="nil"/>
              <w:right w:val="nil"/>
            </w:tcBorders>
            <w:shd w:val="clear" w:color="000000" w:fill="FFFFFF"/>
            <w:noWrap/>
            <w:vAlign w:val="center"/>
            <w:hideMark/>
          </w:tcPr>
          <w:p w14:paraId="420AD8C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352A1C6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1.42 [0.63, 3.20]</w:t>
            </w:r>
          </w:p>
        </w:tc>
        <w:tc>
          <w:tcPr>
            <w:tcW w:w="1263" w:type="dxa"/>
            <w:tcBorders>
              <w:top w:val="nil"/>
              <w:left w:val="nil"/>
              <w:bottom w:val="nil"/>
              <w:right w:val="nil"/>
            </w:tcBorders>
            <w:shd w:val="clear" w:color="000000" w:fill="FFFFFF"/>
            <w:noWrap/>
            <w:vAlign w:val="center"/>
            <w:hideMark/>
          </w:tcPr>
          <w:p w14:paraId="2B8FC54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0.404</w:t>
            </w:r>
          </w:p>
        </w:tc>
        <w:tc>
          <w:tcPr>
            <w:tcW w:w="43" w:type="dxa"/>
            <w:tcBorders>
              <w:top w:val="nil"/>
              <w:left w:val="nil"/>
              <w:bottom w:val="nil"/>
              <w:right w:val="nil"/>
            </w:tcBorders>
            <w:shd w:val="clear" w:color="000000" w:fill="FFFFFF"/>
            <w:noWrap/>
            <w:vAlign w:val="center"/>
            <w:hideMark/>
          </w:tcPr>
          <w:p w14:paraId="458F066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60BE6282" w14:textId="77777777" w:rsidTr="00594323">
        <w:trPr>
          <w:trHeight w:val="320"/>
        </w:trPr>
        <w:tc>
          <w:tcPr>
            <w:tcW w:w="43" w:type="dxa"/>
            <w:tcBorders>
              <w:top w:val="nil"/>
              <w:left w:val="nil"/>
              <w:bottom w:val="nil"/>
              <w:right w:val="nil"/>
            </w:tcBorders>
            <w:shd w:val="clear" w:color="000000" w:fill="FFFFFF"/>
            <w:noWrap/>
            <w:vAlign w:val="center"/>
            <w:hideMark/>
          </w:tcPr>
          <w:p w14:paraId="05C52998"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77D969CF"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PT(s), ≥ 13.24 vs. &lt; 13.24</w:t>
            </w:r>
          </w:p>
        </w:tc>
        <w:tc>
          <w:tcPr>
            <w:tcW w:w="43" w:type="dxa"/>
            <w:tcBorders>
              <w:top w:val="nil"/>
              <w:left w:val="nil"/>
              <w:bottom w:val="nil"/>
              <w:right w:val="nil"/>
            </w:tcBorders>
            <w:shd w:val="clear" w:color="000000" w:fill="FFFFFF"/>
            <w:noWrap/>
            <w:vAlign w:val="center"/>
            <w:hideMark/>
          </w:tcPr>
          <w:p w14:paraId="6ABD0FE0"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7216F0F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0.88 [0.39, 1.98]</w:t>
            </w:r>
          </w:p>
        </w:tc>
        <w:tc>
          <w:tcPr>
            <w:tcW w:w="1263" w:type="dxa"/>
            <w:tcBorders>
              <w:top w:val="nil"/>
              <w:left w:val="nil"/>
              <w:bottom w:val="nil"/>
              <w:right w:val="nil"/>
            </w:tcBorders>
            <w:shd w:val="clear" w:color="000000" w:fill="FFFFFF"/>
            <w:noWrap/>
            <w:vAlign w:val="center"/>
            <w:hideMark/>
          </w:tcPr>
          <w:p w14:paraId="7526555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0.765</w:t>
            </w:r>
          </w:p>
        </w:tc>
        <w:tc>
          <w:tcPr>
            <w:tcW w:w="43" w:type="dxa"/>
            <w:tcBorders>
              <w:top w:val="nil"/>
              <w:left w:val="nil"/>
              <w:bottom w:val="nil"/>
              <w:right w:val="nil"/>
            </w:tcBorders>
            <w:shd w:val="clear" w:color="000000" w:fill="FFFFFF"/>
            <w:noWrap/>
            <w:vAlign w:val="center"/>
            <w:hideMark/>
          </w:tcPr>
          <w:p w14:paraId="5AA409B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6215DD7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0.88 [0.39, 1.97]</w:t>
            </w:r>
          </w:p>
        </w:tc>
        <w:tc>
          <w:tcPr>
            <w:tcW w:w="1263" w:type="dxa"/>
            <w:tcBorders>
              <w:top w:val="nil"/>
              <w:left w:val="nil"/>
              <w:bottom w:val="nil"/>
              <w:right w:val="nil"/>
            </w:tcBorders>
            <w:shd w:val="clear" w:color="000000" w:fill="FFFFFF"/>
            <w:noWrap/>
            <w:vAlign w:val="center"/>
            <w:hideMark/>
          </w:tcPr>
          <w:p w14:paraId="7BDD0CB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0.754</w:t>
            </w:r>
          </w:p>
        </w:tc>
        <w:tc>
          <w:tcPr>
            <w:tcW w:w="43" w:type="dxa"/>
            <w:tcBorders>
              <w:top w:val="nil"/>
              <w:left w:val="nil"/>
              <w:bottom w:val="nil"/>
              <w:right w:val="nil"/>
            </w:tcBorders>
            <w:shd w:val="clear" w:color="000000" w:fill="FFFFFF"/>
            <w:noWrap/>
            <w:vAlign w:val="center"/>
            <w:hideMark/>
          </w:tcPr>
          <w:p w14:paraId="6A3DD26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410A7550" w14:textId="77777777" w:rsidTr="00594323">
        <w:trPr>
          <w:trHeight w:val="320"/>
        </w:trPr>
        <w:tc>
          <w:tcPr>
            <w:tcW w:w="43" w:type="dxa"/>
            <w:tcBorders>
              <w:top w:val="nil"/>
              <w:left w:val="nil"/>
              <w:bottom w:val="nil"/>
              <w:right w:val="nil"/>
            </w:tcBorders>
            <w:shd w:val="clear" w:color="000000" w:fill="FFFFFF"/>
            <w:noWrap/>
            <w:vAlign w:val="center"/>
            <w:hideMark/>
          </w:tcPr>
          <w:p w14:paraId="02D5F6F0"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258" w:type="dxa"/>
            <w:tcBorders>
              <w:top w:val="nil"/>
              <w:left w:val="nil"/>
              <w:bottom w:val="nil"/>
              <w:right w:val="nil"/>
            </w:tcBorders>
            <w:shd w:val="clear" w:color="000000" w:fill="FFFFFF"/>
            <w:noWrap/>
            <w:vAlign w:val="center"/>
            <w:hideMark/>
          </w:tcPr>
          <w:p w14:paraId="656F0344"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TT(s), ≥ 16.15 vs. &lt; 16.15</w:t>
            </w:r>
          </w:p>
        </w:tc>
        <w:tc>
          <w:tcPr>
            <w:tcW w:w="43" w:type="dxa"/>
            <w:tcBorders>
              <w:top w:val="nil"/>
              <w:left w:val="nil"/>
              <w:bottom w:val="nil"/>
              <w:right w:val="nil"/>
            </w:tcBorders>
            <w:shd w:val="clear" w:color="000000" w:fill="FFFFFF"/>
            <w:noWrap/>
            <w:vAlign w:val="center"/>
            <w:hideMark/>
          </w:tcPr>
          <w:p w14:paraId="6EDD3CBE"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2442" w:type="dxa"/>
            <w:tcBorders>
              <w:top w:val="nil"/>
              <w:left w:val="nil"/>
              <w:bottom w:val="nil"/>
              <w:right w:val="nil"/>
            </w:tcBorders>
            <w:shd w:val="clear" w:color="000000" w:fill="FFFFFF"/>
            <w:noWrap/>
            <w:vAlign w:val="center"/>
            <w:hideMark/>
          </w:tcPr>
          <w:p w14:paraId="38702B3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2.45 [1.02, 5.92]</w:t>
            </w:r>
          </w:p>
        </w:tc>
        <w:tc>
          <w:tcPr>
            <w:tcW w:w="1263" w:type="dxa"/>
            <w:tcBorders>
              <w:top w:val="nil"/>
              <w:left w:val="nil"/>
              <w:bottom w:val="nil"/>
              <w:right w:val="nil"/>
            </w:tcBorders>
            <w:shd w:val="clear" w:color="000000" w:fill="FFFFFF"/>
            <w:noWrap/>
            <w:vAlign w:val="center"/>
            <w:hideMark/>
          </w:tcPr>
          <w:p w14:paraId="4237209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0.046*</w:t>
            </w:r>
          </w:p>
        </w:tc>
        <w:tc>
          <w:tcPr>
            <w:tcW w:w="43" w:type="dxa"/>
            <w:tcBorders>
              <w:top w:val="nil"/>
              <w:left w:val="nil"/>
              <w:bottom w:val="nil"/>
              <w:right w:val="nil"/>
            </w:tcBorders>
            <w:shd w:val="clear" w:color="000000" w:fill="FFFFFF"/>
            <w:noWrap/>
            <w:vAlign w:val="center"/>
            <w:hideMark/>
          </w:tcPr>
          <w:p w14:paraId="57EB315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74D12F5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2.53 [1.04, 6.14]</w:t>
            </w:r>
          </w:p>
        </w:tc>
        <w:tc>
          <w:tcPr>
            <w:tcW w:w="1263" w:type="dxa"/>
            <w:tcBorders>
              <w:top w:val="nil"/>
              <w:left w:val="nil"/>
              <w:bottom w:val="nil"/>
              <w:right w:val="nil"/>
            </w:tcBorders>
            <w:shd w:val="clear" w:color="000000" w:fill="FFFFFF"/>
            <w:noWrap/>
            <w:vAlign w:val="center"/>
            <w:hideMark/>
          </w:tcPr>
          <w:p w14:paraId="18133C0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0.04</w:t>
            </w:r>
          </w:p>
        </w:tc>
        <w:tc>
          <w:tcPr>
            <w:tcW w:w="43" w:type="dxa"/>
            <w:tcBorders>
              <w:top w:val="nil"/>
              <w:left w:val="nil"/>
              <w:bottom w:val="nil"/>
              <w:right w:val="nil"/>
            </w:tcBorders>
            <w:shd w:val="clear" w:color="000000" w:fill="FFFFFF"/>
            <w:noWrap/>
            <w:vAlign w:val="center"/>
            <w:hideMark/>
          </w:tcPr>
          <w:p w14:paraId="34F1F32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62432FCA" w14:textId="77777777" w:rsidTr="00594323">
        <w:trPr>
          <w:trHeight w:val="320"/>
        </w:trPr>
        <w:tc>
          <w:tcPr>
            <w:tcW w:w="43" w:type="dxa"/>
            <w:tcBorders>
              <w:top w:val="nil"/>
              <w:left w:val="nil"/>
              <w:bottom w:val="nil"/>
              <w:right w:val="nil"/>
            </w:tcBorders>
            <w:shd w:val="clear" w:color="000000" w:fill="FFFFFF"/>
            <w:noWrap/>
            <w:vAlign w:val="center"/>
            <w:hideMark/>
          </w:tcPr>
          <w:p w14:paraId="49435CD9"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301" w:type="dxa"/>
            <w:gridSpan w:val="2"/>
            <w:tcBorders>
              <w:top w:val="nil"/>
              <w:left w:val="nil"/>
              <w:bottom w:val="nil"/>
              <w:right w:val="nil"/>
            </w:tcBorders>
            <w:shd w:val="clear" w:color="000000" w:fill="FFFFFF"/>
            <w:noWrap/>
            <w:vAlign w:val="center"/>
            <w:hideMark/>
          </w:tcPr>
          <w:p w14:paraId="384DC20E"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IL-2(</w:t>
            </w:r>
            <w:proofErr w:type="spellStart"/>
            <w:r w:rsidRPr="00594323">
              <w:rPr>
                <w:rFonts w:ascii="Arial" w:eastAsia="DengXian" w:hAnsi="Arial" w:cs="Arial"/>
                <w:color w:val="000000"/>
              </w:rPr>
              <w:t>pg</w:t>
            </w:r>
            <w:proofErr w:type="spellEnd"/>
            <w:r w:rsidRPr="00594323">
              <w:rPr>
                <w:rFonts w:ascii="Arial" w:eastAsia="DengXian" w:hAnsi="Arial" w:cs="Arial"/>
                <w:color w:val="000000"/>
              </w:rPr>
              <w:t>/mL), ≥ 4.875 vs. &lt; 4.875</w:t>
            </w:r>
          </w:p>
        </w:tc>
        <w:tc>
          <w:tcPr>
            <w:tcW w:w="2442" w:type="dxa"/>
            <w:tcBorders>
              <w:top w:val="nil"/>
              <w:left w:val="nil"/>
              <w:bottom w:val="nil"/>
              <w:right w:val="nil"/>
            </w:tcBorders>
            <w:shd w:val="clear" w:color="000000" w:fill="FFFFFF"/>
            <w:noWrap/>
            <w:vAlign w:val="center"/>
            <w:hideMark/>
          </w:tcPr>
          <w:p w14:paraId="1A1A6908"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2.54 [1.05, 6.13]</w:t>
            </w:r>
          </w:p>
        </w:tc>
        <w:tc>
          <w:tcPr>
            <w:tcW w:w="1263" w:type="dxa"/>
            <w:tcBorders>
              <w:top w:val="nil"/>
              <w:left w:val="nil"/>
              <w:bottom w:val="nil"/>
              <w:right w:val="nil"/>
            </w:tcBorders>
            <w:shd w:val="clear" w:color="000000" w:fill="FFFFFF"/>
            <w:noWrap/>
            <w:vAlign w:val="center"/>
            <w:hideMark/>
          </w:tcPr>
          <w:p w14:paraId="023C188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0.038*</w:t>
            </w:r>
          </w:p>
        </w:tc>
        <w:tc>
          <w:tcPr>
            <w:tcW w:w="43" w:type="dxa"/>
            <w:tcBorders>
              <w:top w:val="nil"/>
              <w:left w:val="nil"/>
              <w:bottom w:val="nil"/>
              <w:right w:val="nil"/>
            </w:tcBorders>
            <w:shd w:val="clear" w:color="000000" w:fill="FFFFFF"/>
            <w:noWrap/>
            <w:vAlign w:val="center"/>
            <w:hideMark/>
          </w:tcPr>
          <w:p w14:paraId="568489A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35A139B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2.53 [1.05, 6.10]</w:t>
            </w:r>
          </w:p>
        </w:tc>
        <w:tc>
          <w:tcPr>
            <w:tcW w:w="1263" w:type="dxa"/>
            <w:tcBorders>
              <w:top w:val="nil"/>
              <w:left w:val="nil"/>
              <w:bottom w:val="nil"/>
              <w:right w:val="nil"/>
            </w:tcBorders>
            <w:shd w:val="clear" w:color="000000" w:fill="FFFFFF"/>
            <w:noWrap/>
            <w:vAlign w:val="center"/>
            <w:hideMark/>
          </w:tcPr>
          <w:p w14:paraId="052EEF0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0.039</w:t>
            </w:r>
          </w:p>
        </w:tc>
        <w:tc>
          <w:tcPr>
            <w:tcW w:w="43" w:type="dxa"/>
            <w:tcBorders>
              <w:top w:val="nil"/>
              <w:left w:val="nil"/>
              <w:bottom w:val="nil"/>
              <w:right w:val="nil"/>
            </w:tcBorders>
            <w:shd w:val="clear" w:color="000000" w:fill="FFFFFF"/>
            <w:noWrap/>
            <w:vAlign w:val="center"/>
            <w:hideMark/>
          </w:tcPr>
          <w:p w14:paraId="7493B99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33065F11" w14:textId="77777777" w:rsidTr="00594323">
        <w:trPr>
          <w:trHeight w:val="320"/>
        </w:trPr>
        <w:tc>
          <w:tcPr>
            <w:tcW w:w="43" w:type="dxa"/>
            <w:tcBorders>
              <w:top w:val="nil"/>
              <w:left w:val="nil"/>
              <w:bottom w:val="nil"/>
              <w:right w:val="nil"/>
            </w:tcBorders>
            <w:shd w:val="clear" w:color="000000" w:fill="FFFFFF"/>
            <w:noWrap/>
            <w:vAlign w:val="center"/>
            <w:hideMark/>
          </w:tcPr>
          <w:p w14:paraId="468D4E18"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301" w:type="dxa"/>
            <w:gridSpan w:val="2"/>
            <w:tcBorders>
              <w:top w:val="nil"/>
              <w:left w:val="nil"/>
              <w:bottom w:val="nil"/>
              <w:right w:val="nil"/>
            </w:tcBorders>
            <w:shd w:val="clear" w:color="000000" w:fill="FFFFFF"/>
            <w:noWrap/>
            <w:vAlign w:val="center"/>
            <w:hideMark/>
          </w:tcPr>
          <w:p w14:paraId="35F9D645"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IL-4(</w:t>
            </w:r>
            <w:proofErr w:type="spellStart"/>
            <w:r w:rsidRPr="00594323">
              <w:rPr>
                <w:rFonts w:ascii="Arial" w:eastAsia="DengXian" w:hAnsi="Arial" w:cs="Arial"/>
                <w:color w:val="000000"/>
              </w:rPr>
              <w:t>pg</w:t>
            </w:r>
            <w:proofErr w:type="spellEnd"/>
            <w:r w:rsidRPr="00594323">
              <w:rPr>
                <w:rFonts w:ascii="Arial" w:eastAsia="DengXian" w:hAnsi="Arial" w:cs="Arial"/>
                <w:color w:val="000000"/>
              </w:rPr>
              <w:t>/mL), ≥ 2.42 vs. &lt; 2.42</w:t>
            </w:r>
          </w:p>
        </w:tc>
        <w:tc>
          <w:tcPr>
            <w:tcW w:w="2442" w:type="dxa"/>
            <w:tcBorders>
              <w:top w:val="nil"/>
              <w:left w:val="nil"/>
              <w:bottom w:val="nil"/>
              <w:right w:val="nil"/>
            </w:tcBorders>
            <w:shd w:val="clear" w:color="000000" w:fill="FFFFFF"/>
            <w:noWrap/>
            <w:vAlign w:val="center"/>
            <w:hideMark/>
          </w:tcPr>
          <w:p w14:paraId="4C9DEFF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0.90 [0.40, 2.02]</w:t>
            </w:r>
          </w:p>
        </w:tc>
        <w:tc>
          <w:tcPr>
            <w:tcW w:w="1263" w:type="dxa"/>
            <w:tcBorders>
              <w:top w:val="nil"/>
              <w:left w:val="nil"/>
              <w:bottom w:val="nil"/>
              <w:right w:val="nil"/>
            </w:tcBorders>
            <w:shd w:val="clear" w:color="000000" w:fill="FFFFFF"/>
            <w:noWrap/>
            <w:vAlign w:val="center"/>
            <w:hideMark/>
          </w:tcPr>
          <w:p w14:paraId="620B4A2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0.792</w:t>
            </w:r>
          </w:p>
        </w:tc>
        <w:tc>
          <w:tcPr>
            <w:tcW w:w="43" w:type="dxa"/>
            <w:tcBorders>
              <w:top w:val="nil"/>
              <w:left w:val="nil"/>
              <w:bottom w:val="nil"/>
              <w:right w:val="nil"/>
            </w:tcBorders>
            <w:shd w:val="clear" w:color="000000" w:fill="FFFFFF"/>
            <w:noWrap/>
            <w:vAlign w:val="center"/>
            <w:hideMark/>
          </w:tcPr>
          <w:p w14:paraId="6628337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2F4C88F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0.95 [0.42, 2.15]</w:t>
            </w:r>
          </w:p>
        </w:tc>
        <w:tc>
          <w:tcPr>
            <w:tcW w:w="1263" w:type="dxa"/>
            <w:tcBorders>
              <w:top w:val="nil"/>
              <w:left w:val="nil"/>
              <w:bottom w:val="nil"/>
              <w:right w:val="nil"/>
            </w:tcBorders>
            <w:shd w:val="clear" w:color="000000" w:fill="FFFFFF"/>
            <w:noWrap/>
            <w:vAlign w:val="center"/>
            <w:hideMark/>
          </w:tcPr>
          <w:p w14:paraId="262F794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0.899</w:t>
            </w:r>
          </w:p>
        </w:tc>
        <w:tc>
          <w:tcPr>
            <w:tcW w:w="43" w:type="dxa"/>
            <w:tcBorders>
              <w:top w:val="nil"/>
              <w:left w:val="nil"/>
              <w:bottom w:val="nil"/>
              <w:right w:val="nil"/>
            </w:tcBorders>
            <w:shd w:val="clear" w:color="000000" w:fill="FFFFFF"/>
            <w:noWrap/>
            <w:vAlign w:val="center"/>
            <w:hideMark/>
          </w:tcPr>
          <w:p w14:paraId="064C2A7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71771BBC" w14:textId="77777777" w:rsidTr="00594323">
        <w:trPr>
          <w:trHeight w:val="320"/>
        </w:trPr>
        <w:tc>
          <w:tcPr>
            <w:tcW w:w="43" w:type="dxa"/>
            <w:tcBorders>
              <w:top w:val="nil"/>
              <w:left w:val="nil"/>
              <w:bottom w:val="nil"/>
              <w:right w:val="nil"/>
            </w:tcBorders>
            <w:shd w:val="clear" w:color="000000" w:fill="FFFFFF"/>
            <w:noWrap/>
            <w:vAlign w:val="center"/>
            <w:hideMark/>
          </w:tcPr>
          <w:p w14:paraId="1679D35D"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301" w:type="dxa"/>
            <w:gridSpan w:val="2"/>
            <w:tcBorders>
              <w:top w:val="nil"/>
              <w:left w:val="nil"/>
              <w:bottom w:val="nil"/>
              <w:right w:val="nil"/>
            </w:tcBorders>
            <w:shd w:val="clear" w:color="000000" w:fill="FFFFFF"/>
            <w:noWrap/>
            <w:vAlign w:val="center"/>
            <w:hideMark/>
          </w:tcPr>
          <w:p w14:paraId="5AAE5580"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IL-6(</w:t>
            </w:r>
            <w:proofErr w:type="spellStart"/>
            <w:r w:rsidRPr="00594323">
              <w:rPr>
                <w:rFonts w:ascii="Arial" w:eastAsia="DengXian" w:hAnsi="Arial" w:cs="Arial"/>
                <w:color w:val="000000"/>
              </w:rPr>
              <w:t>pg</w:t>
            </w:r>
            <w:proofErr w:type="spellEnd"/>
            <w:r w:rsidRPr="00594323">
              <w:rPr>
                <w:rFonts w:ascii="Arial" w:eastAsia="DengXian" w:hAnsi="Arial" w:cs="Arial"/>
                <w:color w:val="000000"/>
              </w:rPr>
              <w:t>/mL), ≥ 15.09 vs. &lt; 15.09</w:t>
            </w:r>
          </w:p>
        </w:tc>
        <w:tc>
          <w:tcPr>
            <w:tcW w:w="2442" w:type="dxa"/>
            <w:tcBorders>
              <w:top w:val="nil"/>
              <w:left w:val="nil"/>
              <w:bottom w:val="nil"/>
              <w:right w:val="nil"/>
            </w:tcBorders>
            <w:shd w:val="clear" w:color="000000" w:fill="FFFFFF"/>
            <w:noWrap/>
            <w:vAlign w:val="center"/>
            <w:hideMark/>
          </w:tcPr>
          <w:p w14:paraId="6D12EA9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5.90 [2.00, 17.38]</w:t>
            </w:r>
          </w:p>
        </w:tc>
        <w:tc>
          <w:tcPr>
            <w:tcW w:w="1263" w:type="dxa"/>
            <w:tcBorders>
              <w:top w:val="nil"/>
              <w:left w:val="nil"/>
              <w:bottom w:val="nil"/>
              <w:right w:val="nil"/>
            </w:tcBorders>
            <w:shd w:val="clear" w:color="000000" w:fill="FFFFFF"/>
            <w:noWrap/>
            <w:vAlign w:val="center"/>
            <w:hideMark/>
          </w:tcPr>
          <w:p w14:paraId="09BF5E1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0.001**</w:t>
            </w:r>
          </w:p>
        </w:tc>
        <w:tc>
          <w:tcPr>
            <w:tcW w:w="43" w:type="dxa"/>
            <w:tcBorders>
              <w:top w:val="nil"/>
              <w:left w:val="nil"/>
              <w:bottom w:val="nil"/>
              <w:right w:val="nil"/>
            </w:tcBorders>
            <w:shd w:val="clear" w:color="000000" w:fill="FFFFFF"/>
            <w:noWrap/>
            <w:vAlign w:val="center"/>
            <w:hideMark/>
          </w:tcPr>
          <w:p w14:paraId="0D89056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5CA0F59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5.74 [1.95, 16.90]</w:t>
            </w:r>
          </w:p>
        </w:tc>
        <w:tc>
          <w:tcPr>
            <w:tcW w:w="1263" w:type="dxa"/>
            <w:tcBorders>
              <w:top w:val="nil"/>
              <w:left w:val="nil"/>
              <w:bottom w:val="nil"/>
              <w:right w:val="nil"/>
            </w:tcBorders>
            <w:shd w:val="clear" w:color="000000" w:fill="FFFFFF"/>
            <w:noWrap/>
            <w:vAlign w:val="center"/>
            <w:hideMark/>
          </w:tcPr>
          <w:p w14:paraId="25FB86E4"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0.001</w:t>
            </w:r>
          </w:p>
        </w:tc>
        <w:tc>
          <w:tcPr>
            <w:tcW w:w="43" w:type="dxa"/>
            <w:tcBorders>
              <w:top w:val="nil"/>
              <w:left w:val="nil"/>
              <w:bottom w:val="nil"/>
              <w:right w:val="nil"/>
            </w:tcBorders>
            <w:shd w:val="clear" w:color="000000" w:fill="FFFFFF"/>
            <w:noWrap/>
            <w:vAlign w:val="center"/>
            <w:hideMark/>
          </w:tcPr>
          <w:p w14:paraId="3D72A02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4B8159FD" w14:textId="77777777" w:rsidTr="00594323">
        <w:trPr>
          <w:trHeight w:val="320"/>
        </w:trPr>
        <w:tc>
          <w:tcPr>
            <w:tcW w:w="43" w:type="dxa"/>
            <w:tcBorders>
              <w:top w:val="nil"/>
              <w:left w:val="nil"/>
              <w:bottom w:val="nil"/>
              <w:right w:val="nil"/>
            </w:tcBorders>
            <w:shd w:val="clear" w:color="000000" w:fill="FFFFFF"/>
            <w:noWrap/>
            <w:vAlign w:val="center"/>
            <w:hideMark/>
          </w:tcPr>
          <w:p w14:paraId="016FE925"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301" w:type="dxa"/>
            <w:gridSpan w:val="2"/>
            <w:tcBorders>
              <w:top w:val="nil"/>
              <w:left w:val="nil"/>
              <w:bottom w:val="nil"/>
              <w:right w:val="nil"/>
            </w:tcBorders>
            <w:shd w:val="clear" w:color="000000" w:fill="FFFFFF"/>
            <w:noWrap/>
            <w:vAlign w:val="center"/>
            <w:hideMark/>
          </w:tcPr>
          <w:p w14:paraId="3D4FEF02"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IL-10(</w:t>
            </w:r>
            <w:proofErr w:type="spellStart"/>
            <w:r w:rsidRPr="00594323">
              <w:rPr>
                <w:rFonts w:ascii="Arial" w:eastAsia="DengXian" w:hAnsi="Arial" w:cs="Arial"/>
                <w:color w:val="000000"/>
              </w:rPr>
              <w:t>pg</w:t>
            </w:r>
            <w:proofErr w:type="spellEnd"/>
            <w:r w:rsidRPr="00594323">
              <w:rPr>
                <w:rFonts w:ascii="Arial" w:eastAsia="DengXian" w:hAnsi="Arial" w:cs="Arial"/>
                <w:color w:val="000000"/>
              </w:rPr>
              <w:t>/mL), ≥ 5.91 vs. &lt; 5.91</w:t>
            </w:r>
          </w:p>
        </w:tc>
        <w:tc>
          <w:tcPr>
            <w:tcW w:w="2442" w:type="dxa"/>
            <w:tcBorders>
              <w:top w:val="nil"/>
              <w:left w:val="nil"/>
              <w:bottom w:val="nil"/>
              <w:right w:val="nil"/>
            </w:tcBorders>
            <w:shd w:val="clear" w:color="000000" w:fill="FFFFFF"/>
            <w:noWrap/>
            <w:vAlign w:val="center"/>
            <w:hideMark/>
          </w:tcPr>
          <w:p w14:paraId="3E90ECE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7.61 [2.26, 25.64]</w:t>
            </w:r>
          </w:p>
        </w:tc>
        <w:tc>
          <w:tcPr>
            <w:tcW w:w="1263" w:type="dxa"/>
            <w:tcBorders>
              <w:top w:val="nil"/>
              <w:left w:val="nil"/>
              <w:bottom w:val="nil"/>
              <w:right w:val="nil"/>
            </w:tcBorders>
            <w:shd w:val="clear" w:color="000000" w:fill="FFFFFF"/>
            <w:noWrap/>
            <w:vAlign w:val="center"/>
            <w:hideMark/>
          </w:tcPr>
          <w:p w14:paraId="58DD42AB"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0.001**</w:t>
            </w:r>
          </w:p>
        </w:tc>
        <w:tc>
          <w:tcPr>
            <w:tcW w:w="43" w:type="dxa"/>
            <w:tcBorders>
              <w:top w:val="nil"/>
              <w:left w:val="nil"/>
              <w:bottom w:val="nil"/>
              <w:right w:val="nil"/>
            </w:tcBorders>
            <w:shd w:val="clear" w:color="000000" w:fill="FFFFFF"/>
            <w:noWrap/>
            <w:vAlign w:val="center"/>
            <w:hideMark/>
          </w:tcPr>
          <w:p w14:paraId="3B53716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0B32BA7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7.49 [2.22, 25.27]</w:t>
            </w:r>
          </w:p>
        </w:tc>
        <w:tc>
          <w:tcPr>
            <w:tcW w:w="1263" w:type="dxa"/>
            <w:tcBorders>
              <w:top w:val="nil"/>
              <w:left w:val="nil"/>
              <w:bottom w:val="nil"/>
              <w:right w:val="nil"/>
            </w:tcBorders>
            <w:shd w:val="clear" w:color="000000" w:fill="FFFFFF"/>
            <w:noWrap/>
            <w:vAlign w:val="center"/>
            <w:hideMark/>
          </w:tcPr>
          <w:p w14:paraId="342726B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0.001</w:t>
            </w:r>
          </w:p>
        </w:tc>
        <w:tc>
          <w:tcPr>
            <w:tcW w:w="43" w:type="dxa"/>
            <w:tcBorders>
              <w:top w:val="nil"/>
              <w:left w:val="nil"/>
              <w:bottom w:val="nil"/>
              <w:right w:val="nil"/>
            </w:tcBorders>
            <w:shd w:val="clear" w:color="000000" w:fill="FFFFFF"/>
            <w:noWrap/>
            <w:vAlign w:val="center"/>
            <w:hideMark/>
          </w:tcPr>
          <w:p w14:paraId="5D06088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0F608D7D" w14:textId="77777777" w:rsidTr="00594323">
        <w:trPr>
          <w:trHeight w:val="320"/>
        </w:trPr>
        <w:tc>
          <w:tcPr>
            <w:tcW w:w="43" w:type="dxa"/>
            <w:tcBorders>
              <w:top w:val="nil"/>
              <w:left w:val="nil"/>
              <w:bottom w:val="nil"/>
              <w:right w:val="nil"/>
            </w:tcBorders>
            <w:shd w:val="clear" w:color="000000" w:fill="FFFFFF"/>
            <w:noWrap/>
            <w:vAlign w:val="center"/>
            <w:hideMark/>
          </w:tcPr>
          <w:p w14:paraId="3C6614EE"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301" w:type="dxa"/>
            <w:gridSpan w:val="2"/>
            <w:tcBorders>
              <w:top w:val="nil"/>
              <w:left w:val="nil"/>
              <w:bottom w:val="nil"/>
              <w:right w:val="nil"/>
            </w:tcBorders>
            <w:shd w:val="clear" w:color="000000" w:fill="FFFFFF"/>
            <w:noWrap/>
            <w:vAlign w:val="center"/>
            <w:hideMark/>
          </w:tcPr>
          <w:p w14:paraId="333DB605" w14:textId="77777777" w:rsidR="00594323" w:rsidRPr="00594323" w:rsidRDefault="00594323" w:rsidP="00594323">
            <w:pPr>
              <w:ind w:firstLineChars="100" w:firstLine="240"/>
              <w:rPr>
                <w:rFonts w:ascii="Arial" w:eastAsia="DengXian" w:hAnsi="Arial" w:cs="Arial"/>
                <w:color w:val="000000"/>
              </w:rPr>
            </w:pPr>
            <w:proofErr w:type="spellStart"/>
            <w:r w:rsidRPr="00594323">
              <w:rPr>
                <w:rFonts w:ascii="Arial" w:eastAsia="DengXian" w:hAnsi="Arial" w:cs="Arial"/>
                <w:color w:val="000000"/>
              </w:rPr>
              <w:t>TNFa</w:t>
            </w:r>
            <w:proofErr w:type="spellEnd"/>
            <w:r w:rsidRPr="00594323">
              <w:rPr>
                <w:rFonts w:ascii="Arial" w:eastAsia="DengXian" w:hAnsi="Arial" w:cs="Arial"/>
                <w:color w:val="000000"/>
              </w:rPr>
              <w:t>(</w:t>
            </w:r>
            <w:proofErr w:type="spellStart"/>
            <w:r w:rsidRPr="00594323">
              <w:rPr>
                <w:rFonts w:ascii="Arial" w:eastAsia="DengXian" w:hAnsi="Arial" w:cs="Arial"/>
                <w:color w:val="000000"/>
              </w:rPr>
              <w:t>pg</w:t>
            </w:r>
            <w:proofErr w:type="spellEnd"/>
            <w:r w:rsidRPr="00594323">
              <w:rPr>
                <w:rFonts w:ascii="Arial" w:eastAsia="DengXian" w:hAnsi="Arial" w:cs="Arial"/>
                <w:color w:val="000000"/>
              </w:rPr>
              <w:t>/mL), ≥ 2.12 vs. &lt; 2.12</w:t>
            </w:r>
          </w:p>
        </w:tc>
        <w:tc>
          <w:tcPr>
            <w:tcW w:w="2442" w:type="dxa"/>
            <w:tcBorders>
              <w:top w:val="nil"/>
              <w:left w:val="nil"/>
              <w:bottom w:val="nil"/>
              <w:right w:val="nil"/>
            </w:tcBorders>
            <w:shd w:val="clear" w:color="000000" w:fill="FFFFFF"/>
            <w:noWrap/>
            <w:vAlign w:val="center"/>
            <w:hideMark/>
          </w:tcPr>
          <w:p w14:paraId="617CA33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0.94 [0.42, 2.12]</w:t>
            </w:r>
          </w:p>
        </w:tc>
        <w:tc>
          <w:tcPr>
            <w:tcW w:w="1263" w:type="dxa"/>
            <w:tcBorders>
              <w:top w:val="nil"/>
              <w:left w:val="nil"/>
              <w:bottom w:val="nil"/>
              <w:right w:val="nil"/>
            </w:tcBorders>
            <w:shd w:val="clear" w:color="000000" w:fill="FFFFFF"/>
            <w:noWrap/>
            <w:vAlign w:val="center"/>
            <w:hideMark/>
          </w:tcPr>
          <w:p w14:paraId="058DBD0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0.879</w:t>
            </w:r>
          </w:p>
        </w:tc>
        <w:tc>
          <w:tcPr>
            <w:tcW w:w="43" w:type="dxa"/>
            <w:tcBorders>
              <w:top w:val="nil"/>
              <w:left w:val="nil"/>
              <w:bottom w:val="nil"/>
              <w:right w:val="nil"/>
            </w:tcBorders>
            <w:shd w:val="clear" w:color="000000" w:fill="FFFFFF"/>
            <w:noWrap/>
            <w:vAlign w:val="center"/>
            <w:hideMark/>
          </w:tcPr>
          <w:p w14:paraId="2998DBA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682E8A8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0.94 [0.42, 2.13]</w:t>
            </w:r>
          </w:p>
        </w:tc>
        <w:tc>
          <w:tcPr>
            <w:tcW w:w="1263" w:type="dxa"/>
            <w:tcBorders>
              <w:top w:val="nil"/>
              <w:left w:val="nil"/>
              <w:bottom w:val="nil"/>
              <w:right w:val="nil"/>
            </w:tcBorders>
            <w:shd w:val="clear" w:color="000000" w:fill="FFFFFF"/>
            <w:noWrap/>
            <w:vAlign w:val="center"/>
            <w:hideMark/>
          </w:tcPr>
          <w:p w14:paraId="5C852B1E"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0.884</w:t>
            </w:r>
          </w:p>
        </w:tc>
        <w:tc>
          <w:tcPr>
            <w:tcW w:w="43" w:type="dxa"/>
            <w:tcBorders>
              <w:top w:val="nil"/>
              <w:left w:val="nil"/>
              <w:bottom w:val="nil"/>
              <w:right w:val="nil"/>
            </w:tcBorders>
            <w:shd w:val="clear" w:color="000000" w:fill="FFFFFF"/>
            <w:noWrap/>
            <w:vAlign w:val="center"/>
            <w:hideMark/>
          </w:tcPr>
          <w:p w14:paraId="7BD4021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2FA24934" w14:textId="77777777" w:rsidTr="00594323">
        <w:trPr>
          <w:trHeight w:val="320"/>
        </w:trPr>
        <w:tc>
          <w:tcPr>
            <w:tcW w:w="43" w:type="dxa"/>
            <w:tcBorders>
              <w:top w:val="nil"/>
              <w:left w:val="nil"/>
              <w:bottom w:val="nil"/>
              <w:right w:val="nil"/>
            </w:tcBorders>
            <w:shd w:val="clear" w:color="000000" w:fill="FFFFFF"/>
            <w:noWrap/>
            <w:vAlign w:val="center"/>
            <w:hideMark/>
          </w:tcPr>
          <w:p w14:paraId="0620AE2F"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301" w:type="dxa"/>
            <w:gridSpan w:val="2"/>
            <w:tcBorders>
              <w:top w:val="nil"/>
              <w:left w:val="nil"/>
              <w:bottom w:val="nil"/>
              <w:right w:val="nil"/>
            </w:tcBorders>
            <w:shd w:val="clear" w:color="000000" w:fill="FFFFFF"/>
            <w:noWrap/>
            <w:vAlign w:val="center"/>
            <w:hideMark/>
          </w:tcPr>
          <w:p w14:paraId="2EC6F646" w14:textId="77777777" w:rsidR="00594323" w:rsidRPr="00594323" w:rsidRDefault="00594323" w:rsidP="00594323">
            <w:pPr>
              <w:ind w:firstLineChars="100" w:firstLine="240"/>
              <w:rPr>
                <w:rFonts w:ascii="Arial" w:eastAsia="DengXian" w:hAnsi="Arial" w:cs="Arial"/>
                <w:color w:val="000000"/>
              </w:rPr>
            </w:pPr>
            <w:proofErr w:type="spellStart"/>
            <w:r w:rsidRPr="00594323">
              <w:rPr>
                <w:rFonts w:ascii="Arial" w:eastAsia="DengXian" w:hAnsi="Arial" w:cs="Arial"/>
                <w:color w:val="000000"/>
              </w:rPr>
              <w:t>IFNy</w:t>
            </w:r>
            <w:proofErr w:type="spellEnd"/>
            <w:r w:rsidRPr="00594323">
              <w:rPr>
                <w:rFonts w:ascii="Arial" w:eastAsia="DengXian" w:hAnsi="Arial" w:cs="Arial"/>
                <w:color w:val="000000"/>
              </w:rPr>
              <w:t>(</w:t>
            </w:r>
            <w:proofErr w:type="spellStart"/>
            <w:r w:rsidRPr="00594323">
              <w:rPr>
                <w:rFonts w:ascii="Arial" w:eastAsia="DengXian" w:hAnsi="Arial" w:cs="Arial"/>
                <w:color w:val="000000"/>
              </w:rPr>
              <w:t>pg</w:t>
            </w:r>
            <w:proofErr w:type="spellEnd"/>
            <w:r w:rsidRPr="00594323">
              <w:rPr>
                <w:rFonts w:ascii="Arial" w:eastAsia="DengXian" w:hAnsi="Arial" w:cs="Arial"/>
                <w:color w:val="000000"/>
              </w:rPr>
              <w:t>/mL), ≥ 9.41 vs. &lt; 9.41</w:t>
            </w:r>
          </w:p>
        </w:tc>
        <w:tc>
          <w:tcPr>
            <w:tcW w:w="2442" w:type="dxa"/>
            <w:tcBorders>
              <w:top w:val="nil"/>
              <w:left w:val="nil"/>
              <w:bottom w:val="nil"/>
              <w:right w:val="nil"/>
            </w:tcBorders>
            <w:shd w:val="clear" w:color="000000" w:fill="FFFFFF"/>
            <w:noWrap/>
            <w:vAlign w:val="center"/>
            <w:hideMark/>
          </w:tcPr>
          <w:p w14:paraId="21E2B3E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2.65 [1.04, 6.71]</w:t>
            </w:r>
          </w:p>
        </w:tc>
        <w:tc>
          <w:tcPr>
            <w:tcW w:w="1263" w:type="dxa"/>
            <w:tcBorders>
              <w:top w:val="nil"/>
              <w:left w:val="nil"/>
              <w:bottom w:val="nil"/>
              <w:right w:val="nil"/>
            </w:tcBorders>
            <w:shd w:val="clear" w:color="000000" w:fill="FFFFFF"/>
            <w:noWrap/>
            <w:vAlign w:val="center"/>
            <w:hideMark/>
          </w:tcPr>
          <w:p w14:paraId="111D2C1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0.04*</w:t>
            </w:r>
          </w:p>
        </w:tc>
        <w:tc>
          <w:tcPr>
            <w:tcW w:w="43" w:type="dxa"/>
            <w:tcBorders>
              <w:top w:val="nil"/>
              <w:left w:val="nil"/>
              <w:bottom w:val="nil"/>
              <w:right w:val="nil"/>
            </w:tcBorders>
            <w:shd w:val="clear" w:color="000000" w:fill="FFFFFF"/>
            <w:noWrap/>
            <w:vAlign w:val="center"/>
            <w:hideMark/>
          </w:tcPr>
          <w:p w14:paraId="27305F0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05BA0A4D"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2.73 [1.07, 6.93]</w:t>
            </w:r>
          </w:p>
        </w:tc>
        <w:tc>
          <w:tcPr>
            <w:tcW w:w="1263" w:type="dxa"/>
            <w:tcBorders>
              <w:top w:val="nil"/>
              <w:left w:val="nil"/>
              <w:bottom w:val="nil"/>
              <w:right w:val="nil"/>
            </w:tcBorders>
            <w:shd w:val="clear" w:color="000000" w:fill="FFFFFF"/>
            <w:noWrap/>
            <w:vAlign w:val="center"/>
            <w:hideMark/>
          </w:tcPr>
          <w:p w14:paraId="4D29EA63"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0.035</w:t>
            </w:r>
          </w:p>
        </w:tc>
        <w:tc>
          <w:tcPr>
            <w:tcW w:w="43" w:type="dxa"/>
            <w:tcBorders>
              <w:top w:val="nil"/>
              <w:left w:val="nil"/>
              <w:bottom w:val="nil"/>
              <w:right w:val="nil"/>
            </w:tcBorders>
            <w:shd w:val="clear" w:color="000000" w:fill="FFFFFF"/>
            <w:noWrap/>
            <w:vAlign w:val="center"/>
            <w:hideMark/>
          </w:tcPr>
          <w:p w14:paraId="5C11BD9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221AEC61" w14:textId="77777777" w:rsidTr="00594323">
        <w:trPr>
          <w:trHeight w:val="320"/>
        </w:trPr>
        <w:tc>
          <w:tcPr>
            <w:tcW w:w="43" w:type="dxa"/>
            <w:tcBorders>
              <w:top w:val="nil"/>
              <w:left w:val="nil"/>
              <w:bottom w:val="nil"/>
              <w:right w:val="nil"/>
            </w:tcBorders>
            <w:shd w:val="clear" w:color="000000" w:fill="FFFFFF"/>
            <w:noWrap/>
            <w:vAlign w:val="center"/>
            <w:hideMark/>
          </w:tcPr>
          <w:p w14:paraId="7FDF2E72" w14:textId="77777777" w:rsidR="00594323" w:rsidRPr="00594323" w:rsidRDefault="00594323" w:rsidP="00594323">
            <w:pPr>
              <w:rPr>
                <w:rFonts w:ascii="DengXian" w:eastAsia="DengXian" w:hAnsi="DengXian" w:cs="宋体"/>
                <w:color w:val="000000"/>
              </w:rPr>
            </w:pPr>
            <w:r w:rsidRPr="00594323">
              <w:rPr>
                <w:rFonts w:ascii="DengXian" w:eastAsia="DengXian" w:hAnsi="DengXian" w:cs="宋体" w:hint="eastAsia"/>
                <w:color w:val="000000"/>
              </w:rPr>
              <w:t xml:space="preserve">　</w:t>
            </w:r>
          </w:p>
        </w:tc>
        <w:tc>
          <w:tcPr>
            <w:tcW w:w="4301" w:type="dxa"/>
            <w:gridSpan w:val="2"/>
            <w:tcBorders>
              <w:top w:val="nil"/>
              <w:left w:val="nil"/>
              <w:bottom w:val="nil"/>
              <w:right w:val="nil"/>
            </w:tcBorders>
            <w:shd w:val="clear" w:color="000000" w:fill="FFFFFF"/>
            <w:noWrap/>
            <w:vAlign w:val="center"/>
            <w:hideMark/>
          </w:tcPr>
          <w:p w14:paraId="3005D476" w14:textId="77777777" w:rsidR="00594323" w:rsidRPr="00594323" w:rsidRDefault="00594323" w:rsidP="00594323">
            <w:pPr>
              <w:ind w:firstLineChars="100" w:firstLine="240"/>
              <w:rPr>
                <w:rFonts w:ascii="Arial" w:eastAsia="DengXian" w:hAnsi="Arial" w:cs="Arial"/>
                <w:color w:val="000000"/>
              </w:rPr>
            </w:pPr>
            <w:r w:rsidRPr="00594323">
              <w:rPr>
                <w:rFonts w:ascii="Arial" w:eastAsia="DengXian" w:hAnsi="Arial" w:cs="Arial"/>
                <w:color w:val="000000"/>
              </w:rPr>
              <w:t>IL-17A(</w:t>
            </w:r>
            <w:proofErr w:type="spellStart"/>
            <w:r w:rsidRPr="00594323">
              <w:rPr>
                <w:rFonts w:ascii="Arial" w:eastAsia="DengXian" w:hAnsi="Arial" w:cs="Arial"/>
                <w:color w:val="000000"/>
              </w:rPr>
              <w:t>pg</w:t>
            </w:r>
            <w:proofErr w:type="spellEnd"/>
            <w:r w:rsidRPr="00594323">
              <w:rPr>
                <w:rFonts w:ascii="Arial" w:eastAsia="DengXian" w:hAnsi="Arial" w:cs="Arial"/>
                <w:color w:val="000000"/>
              </w:rPr>
              <w:t>/mL), ≥ 3.4 vs. &lt; 3.4</w:t>
            </w:r>
          </w:p>
        </w:tc>
        <w:tc>
          <w:tcPr>
            <w:tcW w:w="2442" w:type="dxa"/>
            <w:tcBorders>
              <w:top w:val="nil"/>
              <w:left w:val="nil"/>
              <w:bottom w:val="nil"/>
              <w:right w:val="nil"/>
            </w:tcBorders>
            <w:shd w:val="clear" w:color="000000" w:fill="FFFFFF"/>
            <w:noWrap/>
            <w:vAlign w:val="center"/>
            <w:hideMark/>
          </w:tcPr>
          <w:p w14:paraId="6AB46EE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0.91 [0.41, 2.04]</w:t>
            </w:r>
          </w:p>
        </w:tc>
        <w:tc>
          <w:tcPr>
            <w:tcW w:w="1263" w:type="dxa"/>
            <w:tcBorders>
              <w:top w:val="nil"/>
              <w:left w:val="nil"/>
              <w:bottom w:val="nil"/>
              <w:right w:val="nil"/>
            </w:tcBorders>
            <w:shd w:val="clear" w:color="000000" w:fill="FFFFFF"/>
            <w:noWrap/>
            <w:vAlign w:val="center"/>
            <w:hideMark/>
          </w:tcPr>
          <w:p w14:paraId="270EC0E6"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0.821</w:t>
            </w:r>
          </w:p>
        </w:tc>
        <w:tc>
          <w:tcPr>
            <w:tcW w:w="43" w:type="dxa"/>
            <w:tcBorders>
              <w:top w:val="nil"/>
              <w:left w:val="nil"/>
              <w:bottom w:val="nil"/>
              <w:right w:val="nil"/>
            </w:tcBorders>
            <w:shd w:val="clear" w:color="000000" w:fill="FFFFFF"/>
            <w:noWrap/>
            <w:vAlign w:val="center"/>
            <w:hideMark/>
          </w:tcPr>
          <w:p w14:paraId="7C0B078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4E2BB26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0.90 [0.40, 2.01]</w:t>
            </w:r>
          </w:p>
        </w:tc>
        <w:tc>
          <w:tcPr>
            <w:tcW w:w="1263" w:type="dxa"/>
            <w:tcBorders>
              <w:top w:val="nil"/>
              <w:left w:val="nil"/>
              <w:bottom w:val="nil"/>
              <w:right w:val="nil"/>
            </w:tcBorders>
            <w:shd w:val="clear" w:color="000000" w:fill="FFFFFF"/>
            <w:noWrap/>
            <w:vAlign w:val="center"/>
            <w:hideMark/>
          </w:tcPr>
          <w:p w14:paraId="7D692CC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0.793</w:t>
            </w:r>
          </w:p>
        </w:tc>
        <w:tc>
          <w:tcPr>
            <w:tcW w:w="43" w:type="dxa"/>
            <w:tcBorders>
              <w:top w:val="nil"/>
              <w:left w:val="nil"/>
              <w:bottom w:val="nil"/>
              <w:right w:val="nil"/>
            </w:tcBorders>
            <w:shd w:val="clear" w:color="000000" w:fill="FFFFFF"/>
            <w:noWrap/>
            <w:vAlign w:val="center"/>
            <w:hideMark/>
          </w:tcPr>
          <w:p w14:paraId="46E6DF8D"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5E9C7D1F" w14:textId="77777777" w:rsidTr="00594323">
        <w:trPr>
          <w:trHeight w:val="320"/>
        </w:trPr>
        <w:tc>
          <w:tcPr>
            <w:tcW w:w="43" w:type="dxa"/>
            <w:tcBorders>
              <w:top w:val="nil"/>
              <w:left w:val="nil"/>
              <w:bottom w:val="nil"/>
              <w:right w:val="nil"/>
            </w:tcBorders>
            <w:shd w:val="clear" w:color="000000" w:fill="FFFFFF"/>
            <w:noWrap/>
            <w:vAlign w:val="center"/>
            <w:hideMark/>
          </w:tcPr>
          <w:p w14:paraId="7DEB1C00"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nil"/>
              <w:right w:val="nil"/>
            </w:tcBorders>
            <w:shd w:val="clear" w:color="000000" w:fill="FFFFFF"/>
            <w:noWrap/>
            <w:vAlign w:val="center"/>
            <w:hideMark/>
          </w:tcPr>
          <w:p w14:paraId="3F9E393D" w14:textId="77777777" w:rsidR="00594323" w:rsidRPr="00594323" w:rsidRDefault="00594323" w:rsidP="00594323">
            <w:pPr>
              <w:ind w:firstLineChars="100" w:firstLine="240"/>
              <w:rPr>
                <w:rFonts w:ascii="Arial" w:eastAsia="DengXian" w:hAnsi="Arial" w:cs="Arial"/>
                <w:color w:val="000000"/>
              </w:rPr>
            </w:pPr>
            <w:proofErr w:type="spellStart"/>
            <w:proofErr w:type="gramStart"/>
            <w:r w:rsidRPr="00594323">
              <w:rPr>
                <w:rFonts w:ascii="Arial" w:eastAsia="DengXian" w:hAnsi="Arial" w:cs="Arial"/>
                <w:color w:val="000000"/>
              </w:rPr>
              <w:t>DIC,Yes</w:t>
            </w:r>
            <w:proofErr w:type="spellEnd"/>
            <w:proofErr w:type="gramEnd"/>
            <w:r w:rsidRPr="00594323">
              <w:rPr>
                <w:rFonts w:ascii="Arial" w:eastAsia="DengXian" w:hAnsi="Arial" w:cs="Arial"/>
                <w:color w:val="000000"/>
              </w:rPr>
              <w:t xml:space="preserve"> vs. No</w:t>
            </w:r>
          </w:p>
        </w:tc>
        <w:tc>
          <w:tcPr>
            <w:tcW w:w="43" w:type="dxa"/>
            <w:tcBorders>
              <w:top w:val="nil"/>
              <w:left w:val="nil"/>
              <w:bottom w:val="nil"/>
              <w:right w:val="nil"/>
            </w:tcBorders>
            <w:shd w:val="clear" w:color="000000" w:fill="FFFFFF"/>
            <w:noWrap/>
            <w:vAlign w:val="center"/>
            <w:hideMark/>
          </w:tcPr>
          <w:p w14:paraId="3406C223"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02527E8D"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8.11 [3.17, 20.71]</w:t>
            </w:r>
          </w:p>
        </w:tc>
        <w:tc>
          <w:tcPr>
            <w:tcW w:w="1263" w:type="dxa"/>
            <w:tcBorders>
              <w:top w:val="nil"/>
              <w:left w:val="nil"/>
              <w:bottom w:val="nil"/>
              <w:right w:val="nil"/>
            </w:tcBorders>
            <w:shd w:val="clear" w:color="000000" w:fill="FFFFFF"/>
            <w:noWrap/>
            <w:vAlign w:val="center"/>
            <w:hideMark/>
          </w:tcPr>
          <w:p w14:paraId="31CDA5C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&lt;0.001***</w:t>
            </w:r>
          </w:p>
        </w:tc>
        <w:tc>
          <w:tcPr>
            <w:tcW w:w="43" w:type="dxa"/>
            <w:tcBorders>
              <w:top w:val="nil"/>
              <w:left w:val="nil"/>
              <w:bottom w:val="nil"/>
              <w:right w:val="nil"/>
            </w:tcBorders>
            <w:shd w:val="clear" w:color="000000" w:fill="FFFFFF"/>
            <w:noWrap/>
            <w:vAlign w:val="center"/>
            <w:hideMark/>
          </w:tcPr>
          <w:p w14:paraId="395E0390"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nil"/>
              <w:right w:val="nil"/>
            </w:tcBorders>
            <w:shd w:val="clear" w:color="000000" w:fill="FFFFFF"/>
            <w:noWrap/>
            <w:vAlign w:val="center"/>
            <w:hideMark/>
          </w:tcPr>
          <w:p w14:paraId="66BB793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8.24 [3.16, 21.46]</w:t>
            </w:r>
          </w:p>
        </w:tc>
        <w:tc>
          <w:tcPr>
            <w:tcW w:w="1263" w:type="dxa"/>
            <w:tcBorders>
              <w:top w:val="nil"/>
              <w:left w:val="nil"/>
              <w:bottom w:val="nil"/>
              <w:right w:val="nil"/>
            </w:tcBorders>
            <w:shd w:val="clear" w:color="000000" w:fill="FFFFFF"/>
            <w:noWrap/>
            <w:vAlign w:val="center"/>
            <w:hideMark/>
          </w:tcPr>
          <w:p w14:paraId="4126EF67"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&lt;0.001***</w:t>
            </w:r>
          </w:p>
        </w:tc>
        <w:tc>
          <w:tcPr>
            <w:tcW w:w="43" w:type="dxa"/>
            <w:tcBorders>
              <w:top w:val="nil"/>
              <w:left w:val="nil"/>
              <w:bottom w:val="nil"/>
              <w:right w:val="nil"/>
            </w:tcBorders>
            <w:shd w:val="clear" w:color="000000" w:fill="FFFFFF"/>
            <w:noWrap/>
            <w:vAlign w:val="center"/>
            <w:hideMark/>
          </w:tcPr>
          <w:p w14:paraId="0DBB1EE2"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51098CFE" w14:textId="77777777" w:rsidTr="00594323">
        <w:trPr>
          <w:trHeight w:val="320"/>
        </w:trPr>
        <w:tc>
          <w:tcPr>
            <w:tcW w:w="43" w:type="dxa"/>
            <w:tcBorders>
              <w:top w:val="nil"/>
              <w:left w:val="nil"/>
              <w:bottom w:val="single" w:sz="4" w:space="0" w:color="auto"/>
              <w:right w:val="nil"/>
            </w:tcBorders>
            <w:shd w:val="clear" w:color="000000" w:fill="FFFFFF"/>
            <w:noWrap/>
            <w:vAlign w:val="center"/>
            <w:hideMark/>
          </w:tcPr>
          <w:p w14:paraId="3478F0DE"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4258" w:type="dxa"/>
            <w:tcBorders>
              <w:top w:val="nil"/>
              <w:left w:val="nil"/>
              <w:bottom w:val="single" w:sz="4" w:space="0" w:color="auto"/>
              <w:right w:val="nil"/>
            </w:tcBorders>
            <w:shd w:val="clear" w:color="000000" w:fill="FFFFFF"/>
            <w:noWrap/>
            <w:vAlign w:val="center"/>
            <w:hideMark/>
          </w:tcPr>
          <w:p w14:paraId="1EBD4FFD" w14:textId="77777777" w:rsidR="00594323" w:rsidRPr="00594323" w:rsidRDefault="00594323" w:rsidP="00594323">
            <w:pPr>
              <w:ind w:firstLineChars="100" w:firstLine="240"/>
              <w:rPr>
                <w:rFonts w:ascii="Arial" w:eastAsia="DengXian" w:hAnsi="Arial" w:cs="Arial"/>
                <w:color w:val="000000"/>
              </w:rPr>
            </w:pPr>
            <w:proofErr w:type="spellStart"/>
            <w:proofErr w:type="gramStart"/>
            <w:r w:rsidRPr="00594323">
              <w:rPr>
                <w:rFonts w:ascii="Arial" w:eastAsia="DengXian" w:hAnsi="Arial" w:cs="Arial"/>
                <w:color w:val="000000"/>
              </w:rPr>
              <w:t>Bleeding,Yes</w:t>
            </w:r>
            <w:proofErr w:type="spellEnd"/>
            <w:proofErr w:type="gramEnd"/>
            <w:r w:rsidRPr="00594323">
              <w:rPr>
                <w:rFonts w:ascii="Arial" w:eastAsia="DengXian" w:hAnsi="Arial" w:cs="Arial"/>
                <w:color w:val="000000"/>
              </w:rPr>
              <w:t xml:space="preserve"> vs. No</w:t>
            </w:r>
          </w:p>
        </w:tc>
        <w:tc>
          <w:tcPr>
            <w:tcW w:w="43" w:type="dxa"/>
            <w:tcBorders>
              <w:top w:val="nil"/>
              <w:left w:val="nil"/>
              <w:bottom w:val="single" w:sz="4" w:space="0" w:color="auto"/>
              <w:right w:val="nil"/>
            </w:tcBorders>
            <w:shd w:val="clear" w:color="000000" w:fill="FFFFFF"/>
            <w:noWrap/>
            <w:vAlign w:val="center"/>
            <w:hideMark/>
          </w:tcPr>
          <w:p w14:paraId="5FB2607E"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single" w:sz="4" w:space="0" w:color="auto"/>
              <w:right w:val="nil"/>
            </w:tcBorders>
            <w:shd w:val="clear" w:color="000000" w:fill="FFFFFF"/>
            <w:noWrap/>
            <w:vAlign w:val="center"/>
            <w:hideMark/>
          </w:tcPr>
          <w:p w14:paraId="592CBBD5"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13.04 [5.82, 29.18]</w:t>
            </w:r>
          </w:p>
        </w:tc>
        <w:tc>
          <w:tcPr>
            <w:tcW w:w="1263" w:type="dxa"/>
            <w:tcBorders>
              <w:top w:val="nil"/>
              <w:left w:val="nil"/>
              <w:bottom w:val="single" w:sz="4" w:space="0" w:color="auto"/>
              <w:right w:val="nil"/>
            </w:tcBorders>
            <w:shd w:val="clear" w:color="000000" w:fill="FFFFFF"/>
            <w:noWrap/>
            <w:vAlign w:val="center"/>
            <w:hideMark/>
          </w:tcPr>
          <w:p w14:paraId="242EB019"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&lt;0.001***</w:t>
            </w:r>
          </w:p>
        </w:tc>
        <w:tc>
          <w:tcPr>
            <w:tcW w:w="43" w:type="dxa"/>
            <w:tcBorders>
              <w:top w:val="nil"/>
              <w:left w:val="nil"/>
              <w:bottom w:val="single" w:sz="4" w:space="0" w:color="auto"/>
              <w:right w:val="nil"/>
            </w:tcBorders>
            <w:shd w:val="clear" w:color="000000" w:fill="FFFFFF"/>
            <w:noWrap/>
            <w:vAlign w:val="center"/>
            <w:hideMark/>
          </w:tcPr>
          <w:p w14:paraId="2E268121"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c>
          <w:tcPr>
            <w:tcW w:w="2442" w:type="dxa"/>
            <w:tcBorders>
              <w:top w:val="nil"/>
              <w:left w:val="nil"/>
              <w:bottom w:val="single" w:sz="4" w:space="0" w:color="auto"/>
              <w:right w:val="nil"/>
            </w:tcBorders>
            <w:shd w:val="clear" w:color="000000" w:fill="FFFFFF"/>
            <w:noWrap/>
            <w:vAlign w:val="center"/>
            <w:hideMark/>
          </w:tcPr>
          <w:p w14:paraId="1634A4DC"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12.72 [5.65, 28.62]</w:t>
            </w:r>
          </w:p>
        </w:tc>
        <w:tc>
          <w:tcPr>
            <w:tcW w:w="1263" w:type="dxa"/>
            <w:tcBorders>
              <w:top w:val="nil"/>
              <w:left w:val="nil"/>
              <w:bottom w:val="single" w:sz="4" w:space="0" w:color="auto"/>
              <w:right w:val="nil"/>
            </w:tcBorders>
            <w:shd w:val="clear" w:color="000000" w:fill="FFFFFF"/>
            <w:noWrap/>
            <w:vAlign w:val="center"/>
            <w:hideMark/>
          </w:tcPr>
          <w:p w14:paraId="7CA5458A"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&lt;0.001***</w:t>
            </w:r>
          </w:p>
        </w:tc>
        <w:tc>
          <w:tcPr>
            <w:tcW w:w="43" w:type="dxa"/>
            <w:tcBorders>
              <w:top w:val="nil"/>
              <w:left w:val="nil"/>
              <w:bottom w:val="single" w:sz="4" w:space="0" w:color="auto"/>
              <w:right w:val="nil"/>
            </w:tcBorders>
            <w:shd w:val="clear" w:color="000000" w:fill="FFFFFF"/>
            <w:noWrap/>
            <w:vAlign w:val="center"/>
            <w:hideMark/>
          </w:tcPr>
          <w:p w14:paraId="6B69B31F" w14:textId="77777777" w:rsidR="00594323" w:rsidRPr="00594323" w:rsidRDefault="00594323" w:rsidP="00594323">
            <w:pPr>
              <w:jc w:val="center"/>
              <w:rPr>
                <w:rFonts w:ascii="Arial" w:eastAsia="DengXian" w:hAnsi="Arial" w:cs="Arial"/>
                <w:color w:val="000000"/>
              </w:rPr>
            </w:pPr>
            <w:r w:rsidRPr="00594323">
              <w:rPr>
                <w:rFonts w:ascii="Arial" w:eastAsia="DengXian" w:hAnsi="Arial" w:cs="Arial"/>
                <w:color w:val="000000"/>
              </w:rPr>
              <w:t xml:space="preserve">　</w:t>
            </w:r>
          </w:p>
        </w:tc>
      </w:tr>
      <w:tr w:rsidR="00594323" w:rsidRPr="00594323" w14:paraId="2F06F71A" w14:textId="77777777" w:rsidTr="00594323">
        <w:trPr>
          <w:trHeight w:val="2480"/>
        </w:trPr>
        <w:tc>
          <w:tcPr>
            <w:tcW w:w="11840" w:type="dxa"/>
            <w:gridSpan w:val="9"/>
            <w:tcBorders>
              <w:top w:val="nil"/>
              <w:left w:val="nil"/>
              <w:bottom w:val="nil"/>
              <w:right w:val="nil"/>
            </w:tcBorders>
            <w:shd w:val="clear" w:color="000000" w:fill="FFFFFF"/>
            <w:hideMark/>
          </w:tcPr>
          <w:p w14:paraId="7672D94B" w14:textId="77777777" w:rsidR="00594323" w:rsidRPr="00594323" w:rsidRDefault="00594323" w:rsidP="00594323">
            <w:pPr>
              <w:rPr>
                <w:rFonts w:ascii="Arial" w:eastAsia="DengXian" w:hAnsi="Arial" w:cs="Arial"/>
                <w:color w:val="000000"/>
              </w:rPr>
            </w:pPr>
            <w:r w:rsidRPr="00594323">
              <w:rPr>
                <w:rFonts w:ascii="Arial" w:eastAsia="DengXian" w:hAnsi="Arial" w:cs="Arial"/>
                <w:color w:val="000000"/>
              </w:rPr>
              <w:lastRenderedPageBreak/>
              <w:t xml:space="preserve">Abbreviation: HR, hazard risk; Car-T Cell, Chimeric Antigen Receptor T-cell; WBC, white blood cell; Hb, hemoglobin; PLT, platelet; FIB, fibrinogen; APTT, activated partial thromboplastin time; PT, prothrombin time; TT, thrombin time; IL-2, interleukin 2; IL-4, interleukin 4; IL-6, interleukin 6; IL-10, interleukin 10; </w:t>
            </w:r>
            <w:proofErr w:type="spellStart"/>
            <w:r w:rsidRPr="00594323">
              <w:rPr>
                <w:rFonts w:ascii="Arial" w:eastAsia="DengXian" w:hAnsi="Arial" w:cs="Arial"/>
                <w:color w:val="000000"/>
              </w:rPr>
              <w:t>TNFa</w:t>
            </w:r>
            <w:proofErr w:type="spellEnd"/>
            <w:r w:rsidRPr="00594323">
              <w:rPr>
                <w:rFonts w:ascii="Arial" w:eastAsia="DengXian" w:hAnsi="Arial" w:cs="Arial"/>
                <w:color w:val="000000"/>
              </w:rPr>
              <w:t xml:space="preserve">, tumor necrosis factor a; </w:t>
            </w:r>
            <w:proofErr w:type="spellStart"/>
            <w:r w:rsidRPr="00594323">
              <w:rPr>
                <w:rFonts w:ascii="Arial" w:eastAsia="DengXian" w:hAnsi="Arial" w:cs="Arial"/>
                <w:color w:val="000000"/>
              </w:rPr>
              <w:t>IFNy</w:t>
            </w:r>
            <w:proofErr w:type="spellEnd"/>
            <w:r w:rsidRPr="00594323">
              <w:rPr>
                <w:rFonts w:ascii="Arial" w:eastAsia="DengXian" w:hAnsi="Arial" w:cs="Arial"/>
                <w:color w:val="000000"/>
              </w:rPr>
              <w:t>, interferon y; IL-17A, interleukin 17A; AL, acute leukemia; HSCT, hematopoietic stem cell transplantation; CD19, cluster of differentiation 19; CRS, cytokine release syndrome; CR, complete remission; MR, minimum remission; NR, non-remission; PR, partial remission; DIC, disseminated intravascular coagulation; ***p&lt;0.001, **p&lt;0.01, *p&lt;0.05.</w:t>
            </w:r>
            <w:r w:rsidRPr="00594323">
              <w:rPr>
                <w:rFonts w:ascii="Arial" w:eastAsia="DengXian" w:hAnsi="Arial" w:cs="Arial"/>
                <w:color w:val="000000"/>
              </w:rPr>
              <w:br/>
              <w:t>Model 1: adjusted by age and gender.</w:t>
            </w:r>
          </w:p>
        </w:tc>
      </w:tr>
    </w:tbl>
    <w:p w14:paraId="799C7A13" w14:textId="4EE10416" w:rsidR="00594323" w:rsidRDefault="00594323" w:rsidP="00152D91">
      <w:pPr>
        <w:spacing w:line="480" w:lineRule="auto"/>
        <w:contextualSpacing/>
        <w:rPr>
          <w:rFonts w:ascii="Arial" w:hAnsi="Arial" w:cs="Arial"/>
          <w:b/>
          <w:bCs/>
          <w:lang w:val="en-GB"/>
        </w:rPr>
      </w:pPr>
    </w:p>
    <w:p w14:paraId="1C30EE73" w14:textId="5FE19DAE" w:rsidR="00594323" w:rsidRDefault="001E156B" w:rsidP="00152D91">
      <w:pPr>
        <w:spacing w:line="480" w:lineRule="auto"/>
        <w:contextualSpacing/>
        <w:rPr>
          <w:rFonts w:ascii="Arial" w:hAnsi="Arial" w:cs="Arial"/>
          <w:b/>
          <w:bCs/>
          <w:lang w:val="en-GB"/>
        </w:rPr>
      </w:pPr>
      <w:r>
        <w:rPr>
          <w:rFonts w:ascii="Arial" w:hAnsi="Arial" w:cs="Arial"/>
          <w:b/>
          <w:bCs/>
          <w:noProof/>
          <w:lang w:val="en-GB"/>
        </w:rPr>
        <w:lastRenderedPageBreak/>
        <w:drawing>
          <wp:inline distT="0" distB="0" distL="0" distR="0" wp14:anchorId="6D6AFDB1" wp14:editId="324BF3CF">
            <wp:extent cx="8233205" cy="3712307"/>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rotWithShape="1">
                    <a:blip r:embed="rId7">
                      <a:extLst>
                        <a:ext uri="{28A0092B-C50C-407E-A947-70E740481C1C}">
                          <a14:useLocalDpi xmlns:a14="http://schemas.microsoft.com/office/drawing/2010/main" val="0"/>
                        </a:ext>
                      </a:extLst>
                    </a:blip>
                    <a:srcRect l="5537" t="9975" r="20573" b="42877"/>
                    <a:stretch/>
                  </pic:blipFill>
                  <pic:spPr bwMode="auto">
                    <a:xfrm>
                      <a:off x="0" y="0"/>
                      <a:ext cx="8257124" cy="3723092"/>
                    </a:xfrm>
                    <a:prstGeom prst="rect">
                      <a:avLst/>
                    </a:prstGeom>
                    <a:ln>
                      <a:noFill/>
                    </a:ln>
                    <a:extLst>
                      <a:ext uri="{53640926-AAD7-44D8-BBD7-CCE9431645EC}">
                        <a14:shadowObscured xmlns:a14="http://schemas.microsoft.com/office/drawing/2010/main"/>
                      </a:ext>
                    </a:extLst>
                  </pic:spPr>
                </pic:pic>
              </a:graphicData>
            </a:graphic>
          </wp:inline>
        </w:drawing>
      </w:r>
    </w:p>
    <w:p w14:paraId="7962659C" w14:textId="77777777" w:rsidR="00594323" w:rsidRDefault="00594323" w:rsidP="00152D91">
      <w:pPr>
        <w:spacing w:line="480" w:lineRule="auto"/>
        <w:contextualSpacing/>
        <w:rPr>
          <w:rFonts w:ascii="Arial" w:hAnsi="Arial" w:cs="Arial"/>
          <w:b/>
          <w:bCs/>
          <w:lang w:val="en-GB"/>
        </w:rPr>
      </w:pPr>
    </w:p>
    <w:p w14:paraId="698BAFA9" w14:textId="77777777" w:rsidR="00594323" w:rsidRDefault="00594323" w:rsidP="00152D91">
      <w:pPr>
        <w:spacing w:line="480" w:lineRule="auto"/>
        <w:contextualSpacing/>
        <w:rPr>
          <w:rFonts w:ascii="Arial" w:hAnsi="Arial" w:cs="Arial"/>
          <w:b/>
          <w:bCs/>
          <w:lang w:val="en-GB"/>
        </w:rPr>
      </w:pPr>
    </w:p>
    <w:p w14:paraId="3835CDC6" w14:textId="77777777" w:rsidR="00594323" w:rsidRDefault="00594323" w:rsidP="00152D91">
      <w:pPr>
        <w:spacing w:line="480" w:lineRule="auto"/>
        <w:contextualSpacing/>
        <w:rPr>
          <w:rFonts w:ascii="Arial" w:hAnsi="Arial" w:cs="Arial"/>
          <w:b/>
          <w:bCs/>
          <w:lang w:val="en-GB"/>
        </w:rPr>
      </w:pPr>
    </w:p>
    <w:p w14:paraId="139903C8" w14:textId="77777777" w:rsidR="00594323" w:rsidRDefault="00594323" w:rsidP="00152D91">
      <w:pPr>
        <w:spacing w:line="480" w:lineRule="auto"/>
        <w:contextualSpacing/>
        <w:rPr>
          <w:rFonts w:ascii="Arial" w:hAnsi="Arial" w:cs="Arial"/>
          <w:b/>
          <w:bCs/>
          <w:lang w:val="en-GB"/>
        </w:rPr>
      </w:pPr>
    </w:p>
    <w:p w14:paraId="0C847267" w14:textId="0323E872" w:rsidR="00152D91" w:rsidRPr="00594323" w:rsidRDefault="00152D91" w:rsidP="00152D91">
      <w:pPr>
        <w:spacing w:line="480" w:lineRule="auto"/>
        <w:contextualSpacing/>
        <w:rPr>
          <w:rFonts w:ascii="Arial" w:hAnsi="Arial" w:cs="Arial"/>
          <w:b/>
          <w:bCs/>
          <w:lang w:val="en-GB"/>
        </w:rPr>
      </w:pPr>
      <w:r w:rsidRPr="00594323">
        <w:rPr>
          <w:rFonts w:ascii="Arial" w:hAnsi="Arial" w:cs="Arial"/>
          <w:b/>
          <w:bCs/>
          <w:lang w:val="en-GB"/>
        </w:rPr>
        <w:lastRenderedPageBreak/>
        <w:t>Figure Legends</w:t>
      </w:r>
    </w:p>
    <w:p w14:paraId="5025804E" w14:textId="77777777" w:rsidR="00152D91" w:rsidRPr="00594323" w:rsidRDefault="00152D91" w:rsidP="00152D91">
      <w:pPr>
        <w:spacing w:line="480" w:lineRule="auto"/>
        <w:contextualSpacing/>
        <w:rPr>
          <w:rFonts w:ascii="Arial" w:hAnsi="Arial" w:cs="Arial"/>
          <w:lang w:val="en-GB"/>
        </w:rPr>
      </w:pPr>
      <w:r w:rsidRPr="00594323">
        <w:rPr>
          <w:rFonts w:ascii="Arial" w:hAnsi="Arial" w:cs="Arial"/>
          <w:b/>
          <w:bCs/>
          <w:lang w:val="en-GB"/>
        </w:rPr>
        <w:t xml:space="preserve">Figure S1 </w:t>
      </w:r>
      <w:r w:rsidRPr="00594323">
        <w:rPr>
          <w:rFonts w:ascii="Arial" w:hAnsi="Arial" w:cs="Arial"/>
          <w:b/>
          <w:lang w:val="en-GB"/>
        </w:rPr>
        <w:t>Texture feature selection conducted via the selection operator (LASSO) binary logistic regression model and least absolute shrinkage</w:t>
      </w:r>
      <w:r w:rsidRPr="00594323">
        <w:rPr>
          <w:rFonts w:ascii="Arial" w:hAnsi="Arial" w:cs="Arial"/>
          <w:lang w:val="en-GB"/>
        </w:rPr>
        <w:t xml:space="preserve">. </w:t>
      </w:r>
      <w:r w:rsidRPr="00594323">
        <w:rPr>
          <w:rFonts w:ascii="Arial" w:hAnsi="Arial" w:cs="Arial"/>
          <w:b/>
          <w:bCs/>
          <w:lang w:val="en-GB"/>
        </w:rPr>
        <w:t>A.</w:t>
      </w:r>
      <w:r w:rsidRPr="00594323">
        <w:rPr>
          <w:rFonts w:ascii="Arial" w:hAnsi="Arial" w:cs="Arial"/>
          <w:lang w:val="en-GB"/>
        </w:rPr>
        <w:t xml:space="preserve"> Tuning parameter selection was made by 10-fold cross-validation in the LASSO model via minimum criteria. The log(l) was plotted versus the area under the receiver operating characteristic curve (AUC). Dotted vertical lines were drawn at the optimal values by using the minimum criteria and the one standard error of the minimum criteria (the 1-SE criteria). A lambda value of 6.421 was chosen (1-SE criteria) according to 10-fold cross-validation. </w:t>
      </w:r>
      <w:r w:rsidRPr="00594323">
        <w:rPr>
          <w:rFonts w:ascii="Arial" w:hAnsi="Arial" w:cs="Arial"/>
          <w:b/>
          <w:bCs/>
          <w:lang w:val="en-GB"/>
        </w:rPr>
        <w:t>B.</w:t>
      </w:r>
      <w:r w:rsidRPr="00594323">
        <w:rPr>
          <w:rFonts w:ascii="Arial" w:hAnsi="Arial" w:cs="Arial"/>
          <w:lang w:val="en-GB"/>
        </w:rPr>
        <w:t xml:space="preserve"> LASSO coefficient profiles of the 33 texture features. A coefficient profile plot was produced against the log (l) sequence. The vertical line was drawn at the value selected using 10-fold cross-validation, where optimal lambda resulted in 7 non-zero coefficients. </w:t>
      </w:r>
    </w:p>
    <w:p w14:paraId="49B81497" w14:textId="77777777" w:rsidR="00152D91" w:rsidRPr="00594323" w:rsidRDefault="00152D91" w:rsidP="00152D91">
      <w:pPr>
        <w:spacing w:line="480" w:lineRule="auto"/>
        <w:rPr>
          <w:rFonts w:ascii="Arial" w:hAnsi="Arial" w:cs="Arial"/>
          <w:b/>
          <w:bCs/>
          <w:lang w:val="en-GB"/>
        </w:rPr>
      </w:pPr>
      <w:r w:rsidRPr="00594323">
        <w:rPr>
          <w:rFonts w:ascii="Arial" w:hAnsi="Arial" w:cs="Arial"/>
          <w:b/>
          <w:bCs/>
          <w:lang w:val="en-GB"/>
        </w:rPr>
        <w:t xml:space="preserve">Figure S2 DCA and the visualisation of prediction accuracy for different models. </w:t>
      </w:r>
      <w:r w:rsidRPr="00594323">
        <w:rPr>
          <w:rFonts w:ascii="Arial" w:hAnsi="Arial" w:cs="Arial"/>
          <w:lang w:val="en-GB"/>
        </w:rPr>
        <w:t xml:space="preserve">A. DCA curve for our model compared with the </w:t>
      </w:r>
      <w:proofErr w:type="spellStart"/>
      <w:r w:rsidRPr="00594323">
        <w:rPr>
          <w:rFonts w:ascii="Arial" w:hAnsi="Arial" w:cs="Arial"/>
          <w:lang w:val="en-GB"/>
        </w:rPr>
        <w:t>Mobri</w:t>
      </w:r>
      <w:proofErr w:type="spellEnd"/>
      <w:r w:rsidRPr="00594323">
        <w:rPr>
          <w:rFonts w:ascii="Arial" w:hAnsi="Arial" w:cs="Arial"/>
          <w:lang w:val="en-GB"/>
        </w:rPr>
        <w:t xml:space="preserve"> model. B. DCA curve for our model compared with the HAS-BLED model.</w:t>
      </w:r>
    </w:p>
    <w:p w14:paraId="35FAC00B" w14:textId="77777777" w:rsidR="00941911" w:rsidRPr="00594323" w:rsidRDefault="008722B6" w:rsidP="00152D91">
      <w:pPr>
        <w:spacing w:line="480" w:lineRule="auto"/>
        <w:rPr>
          <w:rFonts w:ascii="Arial" w:hAnsi="Arial" w:cs="Arial"/>
        </w:rPr>
      </w:pPr>
      <w:r w:rsidRPr="00594323">
        <w:rPr>
          <w:rFonts w:ascii="Arial" w:hAnsi="Arial" w:cs="Arial"/>
          <w:b/>
          <w:bCs/>
        </w:rPr>
        <w:t>Figure S</w:t>
      </w:r>
      <w:r w:rsidR="00152D91" w:rsidRPr="00594323">
        <w:rPr>
          <w:rFonts w:ascii="Arial" w:hAnsi="Arial" w:cs="Arial"/>
          <w:b/>
          <w:bCs/>
        </w:rPr>
        <w:t>3</w:t>
      </w:r>
      <w:r w:rsidRPr="00594323">
        <w:rPr>
          <w:rFonts w:ascii="Arial" w:hAnsi="Arial" w:cs="Arial"/>
          <w:b/>
          <w:bCs/>
        </w:rPr>
        <w:t>.</w:t>
      </w:r>
      <w:r w:rsidRPr="00594323">
        <w:rPr>
          <w:rFonts w:ascii="Arial" w:hAnsi="Arial" w:cs="Arial"/>
        </w:rPr>
        <w:t xml:space="preserve"> </w:t>
      </w:r>
      <w:r w:rsidR="0011532B" w:rsidRPr="00594323">
        <w:rPr>
          <w:rFonts w:ascii="Arial" w:hAnsi="Arial" w:cs="Arial"/>
        </w:rPr>
        <w:t>Clinical Impact Curve of new bleeding model(</w:t>
      </w:r>
      <w:r w:rsidR="0011532B" w:rsidRPr="00594323">
        <w:rPr>
          <w:rFonts w:ascii="Arial" w:hAnsi="Arial" w:cs="Arial"/>
          <w:b/>
          <w:bCs/>
        </w:rPr>
        <w:t>A</w:t>
      </w:r>
      <w:r w:rsidR="0011532B" w:rsidRPr="00594323">
        <w:rPr>
          <w:rFonts w:ascii="Arial" w:hAnsi="Arial" w:cs="Arial"/>
        </w:rPr>
        <w:t>), HAS-BLED Model(</w:t>
      </w:r>
      <w:r w:rsidR="0011532B" w:rsidRPr="00594323">
        <w:rPr>
          <w:rFonts w:ascii="Arial" w:hAnsi="Arial" w:cs="Arial"/>
          <w:b/>
          <w:bCs/>
        </w:rPr>
        <w:t>B</w:t>
      </w:r>
      <w:r w:rsidR="0011532B" w:rsidRPr="00594323">
        <w:rPr>
          <w:rFonts w:ascii="Arial" w:hAnsi="Arial" w:cs="Arial"/>
        </w:rPr>
        <w:t>) and MOBRI Model(</w:t>
      </w:r>
      <w:r w:rsidR="0011532B" w:rsidRPr="00594323">
        <w:rPr>
          <w:rFonts w:ascii="Arial" w:hAnsi="Arial" w:cs="Arial"/>
          <w:b/>
          <w:bCs/>
        </w:rPr>
        <w:t>C</w:t>
      </w:r>
      <w:r w:rsidR="0011532B" w:rsidRPr="00594323">
        <w:rPr>
          <w:rFonts w:ascii="Arial" w:hAnsi="Arial" w:cs="Arial"/>
        </w:rPr>
        <w:t>).</w:t>
      </w:r>
    </w:p>
    <w:p w14:paraId="6FA64201" w14:textId="77777777" w:rsidR="00152D91" w:rsidRPr="00594323" w:rsidRDefault="00152D91" w:rsidP="00152D91">
      <w:pPr>
        <w:spacing w:line="480" w:lineRule="auto"/>
        <w:rPr>
          <w:rFonts w:ascii="Arial" w:hAnsi="Arial" w:cs="Arial"/>
        </w:rPr>
      </w:pPr>
      <w:r w:rsidRPr="00594323">
        <w:rPr>
          <w:rFonts w:ascii="Arial" w:hAnsi="Arial" w:cs="Arial"/>
          <w:noProof/>
        </w:rPr>
        <w:lastRenderedPageBreak/>
        <w:drawing>
          <wp:inline distT="0" distB="0" distL="0" distR="0" wp14:anchorId="119D0798" wp14:editId="5039167A">
            <wp:extent cx="3699763" cy="55296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1.pd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05449" cy="5538099"/>
                    </a:xfrm>
                    <a:prstGeom prst="rect">
                      <a:avLst/>
                    </a:prstGeom>
                  </pic:spPr>
                </pic:pic>
              </a:graphicData>
            </a:graphic>
          </wp:inline>
        </w:drawing>
      </w:r>
    </w:p>
    <w:p w14:paraId="583F22AA" w14:textId="77777777" w:rsidR="00152D91" w:rsidRPr="00594323" w:rsidRDefault="00152D91" w:rsidP="00152D91">
      <w:pPr>
        <w:spacing w:line="480" w:lineRule="auto"/>
        <w:rPr>
          <w:rFonts w:ascii="Arial" w:hAnsi="Arial" w:cs="Arial"/>
        </w:rPr>
      </w:pPr>
      <w:r w:rsidRPr="00594323">
        <w:rPr>
          <w:rFonts w:ascii="Arial" w:hAnsi="Arial" w:cs="Arial"/>
          <w:noProof/>
        </w:rPr>
        <w:lastRenderedPageBreak/>
        <w:drawing>
          <wp:inline distT="0" distB="0" distL="0" distR="0" wp14:anchorId="3920325E" wp14:editId="23391724">
            <wp:extent cx="4475694" cy="63288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2.pd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98990" cy="6361742"/>
                    </a:xfrm>
                    <a:prstGeom prst="rect">
                      <a:avLst/>
                    </a:prstGeom>
                  </pic:spPr>
                </pic:pic>
              </a:graphicData>
            </a:graphic>
          </wp:inline>
        </w:drawing>
      </w:r>
    </w:p>
    <w:p w14:paraId="0921A8CE" w14:textId="77777777" w:rsidR="00152D91" w:rsidRPr="00594323" w:rsidRDefault="00152D91" w:rsidP="00152D91">
      <w:pPr>
        <w:spacing w:line="480" w:lineRule="auto"/>
        <w:rPr>
          <w:rFonts w:ascii="Arial" w:hAnsi="Arial" w:cs="Arial"/>
        </w:rPr>
      </w:pPr>
      <w:r w:rsidRPr="00594323">
        <w:rPr>
          <w:rFonts w:ascii="Arial" w:hAnsi="Arial" w:cs="Arial"/>
          <w:noProof/>
        </w:rPr>
        <w:lastRenderedPageBreak/>
        <w:drawing>
          <wp:inline distT="0" distB="0" distL="0" distR="0" wp14:anchorId="6039957F" wp14:editId="1C2905AD">
            <wp:extent cx="5274310" cy="8529320"/>
            <wp:effectExtent l="0" t="0" r="0" b="50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3.pd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8529320"/>
                    </a:xfrm>
                    <a:prstGeom prst="rect">
                      <a:avLst/>
                    </a:prstGeom>
                  </pic:spPr>
                </pic:pic>
              </a:graphicData>
            </a:graphic>
          </wp:inline>
        </w:drawing>
      </w:r>
    </w:p>
    <w:p w14:paraId="6B55A087" w14:textId="77777777" w:rsidR="00CE5006" w:rsidRPr="00594323" w:rsidRDefault="008722B6" w:rsidP="00152D91">
      <w:pPr>
        <w:spacing w:line="480" w:lineRule="auto"/>
        <w:rPr>
          <w:rFonts w:ascii="Arial" w:hAnsi="Arial" w:cs="Arial"/>
          <w:kern w:val="2"/>
          <w:sz w:val="18"/>
          <w:szCs w:val="18"/>
        </w:rPr>
      </w:pPr>
      <w:r w:rsidRPr="00594323">
        <w:rPr>
          <w:rFonts w:ascii="Arial" w:hAnsi="Arial" w:cs="Arial"/>
          <w:kern w:val="2"/>
          <w:sz w:val="18"/>
          <w:szCs w:val="18"/>
        </w:rPr>
        <w:lastRenderedPageBreak/>
        <w:br w:type="page"/>
      </w:r>
      <w:bookmarkStart w:id="0" w:name="OLE_LINK76"/>
      <w:bookmarkStart w:id="1" w:name="OLE_LINK77"/>
      <w:r w:rsidR="00CE5006" w:rsidRPr="00594323">
        <w:rPr>
          <w:rFonts w:ascii="Arial" w:hAnsi="Arial" w:cs="Arial"/>
          <w:b/>
          <w:bCs/>
          <w:szCs w:val="21"/>
        </w:rPr>
        <w:lastRenderedPageBreak/>
        <w:t>Part II. Report of sample size assessment.</w:t>
      </w:r>
    </w:p>
    <w:p w14:paraId="4EFC5600" w14:textId="77777777" w:rsidR="008028AE" w:rsidRPr="00594323" w:rsidRDefault="008028AE" w:rsidP="008028AE">
      <w:pPr>
        <w:widowControl w:val="0"/>
        <w:tabs>
          <w:tab w:val="right" w:pos="10150"/>
        </w:tabs>
        <w:autoSpaceDE w:val="0"/>
        <w:autoSpaceDN w:val="0"/>
        <w:adjustRightInd w:val="0"/>
        <w:ind w:right="-2376"/>
        <w:rPr>
          <w:rFonts w:ascii="Arial" w:eastAsia="宋体" w:hAnsi="Arial" w:cs="Arial"/>
          <w:color w:val="808080"/>
          <w:sz w:val="20"/>
          <w:szCs w:val="20"/>
        </w:rPr>
      </w:pPr>
      <w:r w:rsidRPr="00594323">
        <w:rPr>
          <w:rFonts w:ascii="Arial" w:eastAsia="宋体" w:hAnsi="Arial" w:cs="Arial"/>
          <w:color w:val="808080"/>
          <w:sz w:val="20"/>
          <w:szCs w:val="20"/>
        </w:rPr>
        <w:t>PASS 15.0.5</w:t>
      </w:r>
      <w:r w:rsidRPr="00594323">
        <w:rPr>
          <w:rFonts w:ascii="Arial" w:eastAsia="宋体" w:hAnsi="Arial" w:cs="Arial"/>
          <w:color w:val="808080"/>
          <w:sz w:val="20"/>
          <w:szCs w:val="20"/>
        </w:rPr>
        <w:tab/>
        <w:t xml:space="preserve">     1</w:t>
      </w:r>
    </w:p>
    <w:p w14:paraId="417C1AB0" w14:textId="77777777" w:rsidR="008028AE" w:rsidRPr="00594323" w:rsidRDefault="008028AE" w:rsidP="008028AE">
      <w:pPr>
        <w:widowControl w:val="0"/>
        <w:tabs>
          <w:tab w:val="right" w:pos="10150"/>
        </w:tabs>
        <w:autoSpaceDE w:val="0"/>
        <w:autoSpaceDN w:val="0"/>
        <w:adjustRightInd w:val="0"/>
        <w:ind w:right="-2376"/>
        <w:rPr>
          <w:rFonts w:ascii="Arial" w:eastAsia="宋体" w:hAnsi="Arial" w:cs="Arial"/>
          <w:sz w:val="20"/>
          <w:szCs w:val="20"/>
        </w:rPr>
      </w:pPr>
    </w:p>
    <w:p w14:paraId="51189FDD" w14:textId="77777777" w:rsidR="008028AE" w:rsidRPr="00594323" w:rsidRDefault="008028AE" w:rsidP="008028AE">
      <w:pPr>
        <w:widowControl w:val="0"/>
        <w:tabs>
          <w:tab w:val="center" w:pos="5438"/>
        </w:tabs>
        <w:autoSpaceDE w:val="0"/>
        <w:autoSpaceDN w:val="0"/>
        <w:adjustRightInd w:val="0"/>
        <w:ind w:right="-2376"/>
        <w:jc w:val="center"/>
        <w:rPr>
          <w:rFonts w:ascii="Arial" w:eastAsia="宋体" w:hAnsi="Arial" w:cs="Arial"/>
          <w:b/>
          <w:bCs/>
          <w:sz w:val="20"/>
          <w:szCs w:val="20"/>
        </w:rPr>
      </w:pPr>
      <w:r w:rsidRPr="00594323">
        <w:rPr>
          <w:rFonts w:ascii="Arial" w:eastAsia="宋体" w:hAnsi="Arial" w:cs="Arial"/>
          <w:b/>
          <w:bCs/>
          <w:sz w:val="20"/>
          <w:szCs w:val="20"/>
        </w:rPr>
        <w:t>Tests for Two Survival Curves Using Cox's Proportional Hazards Model</w:t>
      </w:r>
    </w:p>
    <w:p w14:paraId="38B9B787" w14:textId="77777777" w:rsidR="008028AE" w:rsidRPr="00594323" w:rsidRDefault="008028AE" w:rsidP="008028AE">
      <w:pPr>
        <w:widowControl w:val="0"/>
        <w:tabs>
          <w:tab w:val="left" w:pos="1812"/>
        </w:tabs>
        <w:autoSpaceDE w:val="0"/>
        <w:autoSpaceDN w:val="0"/>
        <w:adjustRightInd w:val="0"/>
        <w:ind w:right="-2376"/>
        <w:rPr>
          <w:rFonts w:ascii="Arial" w:eastAsia="宋体" w:hAnsi="Arial" w:cs="Arial"/>
          <w:sz w:val="20"/>
          <w:szCs w:val="20"/>
        </w:rPr>
      </w:pPr>
    </w:p>
    <w:p w14:paraId="47C29281"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Numeric Results with Ha: HR ≠ 1</w:t>
      </w:r>
    </w:p>
    <w:p w14:paraId="0E7B3E40"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p>
    <w:p w14:paraId="290FD97E"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ab/>
        <w:t>Total</w:t>
      </w:r>
      <w:r w:rsidRPr="00594323">
        <w:rPr>
          <w:rFonts w:ascii="Arial" w:eastAsia="宋体" w:hAnsi="Arial" w:cs="Arial"/>
          <w:b/>
          <w:bCs/>
          <w:sz w:val="20"/>
          <w:szCs w:val="20"/>
        </w:rPr>
        <w:tab/>
        <w:t>Control</w:t>
      </w:r>
      <w:r w:rsidRPr="00594323">
        <w:rPr>
          <w:rFonts w:ascii="Arial" w:eastAsia="宋体" w:hAnsi="Arial" w:cs="Arial"/>
          <w:b/>
          <w:bCs/>
          <w:sz w:val="20"/>
          <w:szCs w:val="20"/>
        </w:rPr>
        <w:tab/>
      </w:r>
      <w:proofErr w:type="spellStart"/>
      <w:r w:rsidRPr="00594323">
        <w:rPr>
          <w:rFonts w:ascii="Arial" w:eastAsia="宋体" w:hAnsi="Arial" w:cs="Arial"/>
          <w:b/>
          <w:bCs/>
          <w:sz w:val="20"/>
          <w:szCs w:val="20"/>
        </w:rPr>
        <w:t>Trtmnt</w:t>
      </w:r>
      <w:proofErr w:type="spellEnd"/>
      <w:r w:rsidRPr="00594323">
        <w:rPr>
          <w:rFonts w:ascii="Arial" w:eastAsia="宋体" w:hAnsi="Arial" w:cs="Arial"/>
          <w:b/>
          <w:bCs/>
          <w:sz w:val="20"/>
          <w:szCs w:val="20"/>
        </w:rPr>
        <w:tab/>
      </w:r>
      <w:proofErr w:type="spellStart"/>
      <w:r w:rsidRPr="00594323">
        <w:rPr>
          <w:rFonts w:ascii="Arial" w:eastAsia="宋体" w:hAnsi="Arial" w:cs="Arial"/>
          <w:b/>
          <w:bCs/>
          <w:sz w:val="20"/>
          <w:szCs w:val="20"/>
        </w:rPr>
        <w:t>Prop'n</w:t>
      </w:r>
      <w:proofErr w:type="spellEnd"/>
      <w:r w:rsidRPr="00594323">
        <w:rPr>
          <w:rFonts w:ascii="Arial" w:eastAsia="宋体" w:hAnsi="Arial" w:cs="Arial"/>
          <w:b/>
          <w:bCs/>
          <w:sz w:val="20"/>
          <w:szCs w:val="20"/>
        </w:rPr>
        <w:tab/>
        <w:t>Hazard</w:t>
      </w:r>
      <w:r w:rsidRPr="00594323">
        <w:rPr>
          <w:rFonts w:ascii="Arial" w:eastAsia="宋体" w:hAnsi="Arial" w:cs="Arial"/>
          <w:b/>
          <w:bCs/>
          <w:sz w:val="20"/>
          <w:szCs w:val="20"/>
        </w:rPr>
        <w:tab/>
        <w:t>Control</w:t>
      </w:r>
      <w:r w:rsidRPr="00594323">
        <w:rPr>
          <w:rFonts w:ascii="Arial" w:eastAsia="宋体" w:hAnsi="Arial" w:cs="Arial"/>
          <w:b/>
          <w:bCs/>
          <w:sz w:val="20"/>
          <w:szCs w:val="20"/>
        </w:rPr>
        <w:tab/>
      </w:r>
      <w:proofErr w:type="spellStart"/>
      <w:r w:rsidRPr="00594323">
        <w:rPr>
          <w:rFonts w:ascii="Arial" w:eastAsia="宋体" w:hAnsi="Arial" w:cs="Arial"/>
          <w:b/>
          <w:bCs/>
          <w:sz w:val="20"/>
          <w:szCs w:val="20"/>
        </w:rPr>
        <w:t>Trtmnt</w:t>
      </w:r>
      <w:proofErr w:type="spellEnd"/>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r w:rsidRPr="00594323">
        <w:rPr>
          <w:rFonts w:ascii="Arial" w:eastAsia="宋体" w:hAnsi="Arial" w:cs="Arial"/>
          <w:b/>
          <w:bCs/>
          <w:sz w:val="20"/>
          <w:szCs w:val="20"/>
        </w:rPr>
        <w:tab/>
      </w:r>
    </w:p>
    <w:p w14:paraId="6017921C"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ab/>
        <w:t>Sample</w:t>
      </w:r>
      <w:r w:rsidRPr="00594323">
        <w:rPr>
          <w:rFonts w:ascii="Arial" w:eastAsia="宋体" w:hAnsi="Arial" w:cs="Arial"/>
          <w:b/>
          <w:bCs/>
          <w:sz w:val="20"/>
          <w:szCs w:val="20"/>
        </w:rPr>
        <w:tab/>
      </w:r>
      <w:proofErr w:type="spellStart"/>
      <w:r w:rsidRPr="00594323">
        <w:rPr>
          <w:rFonts w:ascii="Arial" w:eastAsia="宋体" w:hAnsi="Arial" w:cs="Arial"/>
          <w:b/>
          <w:bCs/>
          <w:sz w:val="20"/>
          <w:szCs w:val="20"/>
        </w:rPr>
        <w:t>Sample</w:t>
      </w:r>
      <w:proofErr w:type="spellEnd"/>
      <w:r w:rsidRPr="00594323">
        <w:rPr>
          <w:rFonts w:ascii="Arial" w:eastAsia="宋体" w:hAnsi="Arial" w:cs="Arial"/>
          <w:b/>
          <w:bCs/>
          <w:sz w:val="20"/>
          <w:szCs w:val="20"/>
        </w:rPr>
        <w:tab/>
      </w:r>
      <w:proofErr w:type="spellStart"/>
      <w:r w:rsidRPr="00594323">
        <w:rPr>
          <w:rFonts w:ascii="Arial" w:eastAsia="宋体" w:hAnsi="Arial" w:cs="Arial"/>
          <w:b/>
          <w:bCs/>
          <w:sz w:val="20"/>
          <w:szCs w:val="20"/>
        </w:rPr>
        <w:t>Sample</w:t>
      </w:r>
      <w:proofErr w:type="spellEnd"/>
      <w:r w:rsidRPr="00594323">
        <w:rPr>
          <w:rFonts w:ascii="Arial" w:eastAsia="宋体" w:hAnsi="Arial" w:cs="Arial"/>
          <w:b/>
          <w:bCs/>
          <w:sz w:val="20"/>
          <w:szCs w:val="20"/>
        </w:rPr>
        <w:tab/>
        <w:t>Control</w:t>
      </w:r>
      <w:r w:rsidRPr="00594323">
        <w:rPr>
          <w:rFonts w:ascii="Arial" w:eastAsia="宋体" w:hAnsi="Arial" w:cs="Arial"/>
          <w:b/>
          <w:bCs/>
          <w:sz w:val="20"/>
          <w:szCs w:val="20"/>
        </w:rPr>
        <w:tab/>
        <w:t>Ratio</w:t>
      </w:r>
      <w:r w:rsidRPr="00594323">
        <w:rPr>
          <w:rFonts w:ascii="Arial" w:eastAsia="宋体" w:hAnsi="Arial" w:cs="Arial"/>
          <w:b/>
          <w:bCs/>
          <w:sz w:val="20"/>
          <w:szCs w:val="20"/>
        </w:rPr>
        <w:tab/>
        <w:t>Prob</w:t>
      </w:r>
      <w:r w:rsidRPr="00594323">
        <w:rPr>
          <w:rFonts w:ascii="Arial" w:eastAsia="宋体" w:hAnsi="Arial" w:cs="Arial"/>
          <w:b/>
          <w:bCs/>
          <w:sz w:val="20"/>
          <w:szCs w:val="20"/>
        </w:rPr>
        <w:tab/>
      </w:r>
      <w:proofErr w:type="spellStart"/>
      <w:r w:rsidRPr="00594323">
        <w:rPr>
          <w:rFonts w:ascii="Arial" w:eastAsia="宋体" w:hAnsi="Arial" w:cs="Arial"/>
          <w:b/>
          <w:bCs/>
          <w:sz w:val="20"/>
          <w:szCs w:val="20"/>
        </w:rPr>
        <w:t>Prob</w:t>
      </w:r>
      <w:proofErr w:type="spellEnd"/>
      <w:r w:rsidRPr="00594323">
        <w:rPr>
          <w:rFonts w:ascii="Arial" w:eastAsia="宋体" w:hAnsi="Arial" w:cs="Arial"/>
          <w:b/>
          <w:bCs/>
          <w:sz w:val="20"/>
          <w:szCs w:val="20"/>
        </w:rPr>
        <w:tab/>
        <w:t>Control</w:t>
      </w:r>
      <w:r w:rsidRPr="00594323">
        <w:rPr>
          <w:rFonts w:ascii="Arial" w:eastAsia="宋体" w:hAnsi="Arial" w:cs="Arial"/>
          <w:b/>
          <w:bCs/>
          <w:sz w:val="20"/>
          <w:szCs w:val="20"/>
        </w:rPr>
        <w:tab/>
      </w:r>
      <w:proofErr w:type="spellStart"/>
      <w:r w:rsidRPr="00594323">
        <w:rPr>
          <w:rFonts w:ascii="Arial" w:eastAsia="宋体" w:hAnsi="Arial" w:cs="Arial"/>
          <w:b/>
          <w:bCs/>
          <w:sz w:val="20"/>
          <w:szCs w:val="20"/>
        </w:rPr>
        <w:t>Trtmnt</w:t>
      </w:r>
      <w:proofErr w:type="spellEnd"/>
      <w:r w:rsidRPr="00594323">
        <w:rPr>
          <w:rFonts w:ascii="Arial" w:eastAsia="宋体" w:hAnsi="Arial" w:cs="Arial"/>
          <w:b/>
          <w:bCs/>
          <w:sz w:val="20"/>
          <w:szCs w:val="20"/>
        </w:rPr>
        <w:tab/>
      </w:r>
      <w:r w:rsidRPr="00594323">
        <w:rPr>
          <w:rFonts w:ascii="Arial" w:eastAsia="宋体" w:hAnsi="Arial" w:cs="Arial"/>
          <w:b/>
          <w:bCs/>
          <w:sz w:val="20"/>
          <w:szCs w:val="20"/>
        </w:rPr>
        <w:tab/>
      </w:r>
    </w:p>
    <w:p w14:paraId="034D2620"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ab/>
        <w:t>Size</w:t>
      </w:r>
      <w:r w:rsidRPr="00594323">
        <w:rPr>
          <w:rFonts w:ascii="Arial" w:eastAsia="宋体" w:hAnsi="Arial" w:cs="Arial"/>
          <w:b/>
          <w:bCs/>
          <w:sz w:val="20"/>
          <w:szCs w:val="20"/>
        </w:rPr>
        <w:tab/>
      </w:r>
      <w:proofErr w:type="spellStart"/>
      <w:r w:rsidRPr="00594323">
        <w:rPr>
          <w:rFonts w:ascii="Arial" w:eastAsia="宋体" w:hAnsi="Arial" w:cs="Arial"/>
          <w:b/>
          <w:bCs/>
          <w:sz w:val="20"/>
          <w:szCs w:val="20"/>
        </w:rPr>
        <w:t>Size</w:t>
      </w:r>
      <w:proofErr w:type="spellEnd"/>
      <w:r w:rsidRPr="00594323">
        <w:rPr>
          <w:rFonts w:ascii="Arial" w:eastAsia="宋体" w:hAnsi="Arial" w:cs="Arial"/>
          <w:b/>
          <w:bCs/>
          <w:sz w:val="20"/>
          <w:szCs w:val="20"/>
        </w:rPr>
        <w:tab/>
      </w:r>
      <w:proofErr w:type="spellStart"/>
      <w:r w:rsidRPr="00594323">
        <w:rPr>
          <w:rFonts w:ascii="Arial" w:eastAsia="宋体" w:hAnsi="Arial" w:cs="Arial"/>
          <w:b/>
          <w:bCs/>
          <w:sz w:val="20"/>
          <w:szCs w:val="20"/>
        </w:rPr>
        <w:t>Size</w:t>
      </w:r>
      <w:proofErr w:type="spellEnd"/>
      <w:r w:rsidRPr="00594323">
        <w:rPr>
          <w:rFonts w:ascii="Arial" w:eastAsia="宋体" w:hAnsi="Arial" w:cs="Arial"/>
          <w:b/>
          <w:bCs/>
          <w:sz w:val="20"/>
          <w:szCs w:val="20"/>
        </w:rPr>
        <w:tab/>
        <w:t>N1/N</w:t>
      </w:r>
      <w:r w:rsidRPr="00594323">
        <w:rPr>
          <w:rFonts w:ascii="Arial" w:eastAsia="宋体" w:hAnsi="Arial" w:cs="Arial"/>
          <w:b/>
          <w:bCs/>
          <w:sz w:val="20"/>
          <w:szCs w:val="20"/>
        </w:rPr>
        <w:tab/>
        <w:t>h2/h1</w:t>
      </w:r>
      <w:r w:rsidRPr="00594323">
        <w:rPr>
          <w:rFonts w:ascii="Arial" w:eastAsia="宋体" w:hAnsi="Arial" w:cs="Arial"/>
          <w:b/>
          <w:bCs/>
          <w:sz w:val="20"/>
          <w:szCs w:val="20"/>
        </w:rPr>
        <w:tab/>
        <w:t>Event</w:t>
      </w:r>
      <w:r w:rsidRPr="00594323">
        <w:rPr>
          <w:rFonts w:ascii="Arial" w:eastAsia="宋体" w:hAnsi="Arial" w:cs="Arial"/>
          <w:b/>
          <w:bCs/>
          <w:sz w:val="20"/>
          <w:szCs w:val="20"/>
        </w:rPr>
        <w:tab/>
      </w:r>
      <w:proofErr w:type="spellStart"/>
      <w:r w:rsidRPr="00594323">
        <w:rPr>
          <w:rFonts w:ascii="Arial" w:eastAsia="宋体" w:hAnsi="Arial" w:cs="Arial"/>
          <w:b/>
          <w:bCs/>
          <w:sz w:val="20"/>
          <w:szCs w:val="20"/>
        </w:rPr>
        <w:t>Event</w:t>
      </w:r>
      <w:proofErr w:type="spellEnd"/>
      <w:r w:rsidRPr="00594323">
        <w:rPr>
          <w:rFonts w:ascii="Arial" w:eastAsia="宋体" w:hAnsi="Arial" w:cs="Arial"/>
          <w:b/>
          <w:bCs/>
          <w:sz w:val="20"/>
          <w:szCs w:val="20"/>
        </w:rPr>
        <w:tab/>
        <w:t>Events</w:t>
      </w:r>
      <w:r w:rsidRPr="00594323">
        <w:rPr>
          <w:rFonts w:ascii="Arial" w:eastAsia="宋体" w:hAnsi="Arial" w:cs="Arial"/>
          <w:b/>
          <w:bCs/>
          <w:sz w:val="20"/>
          <w:szCs w:val="20"/>
        </w:rPr>
        <w:tab/>
      </w:r>
      <w:proofErr w:type="spellStart"/>
      <w:r w:rsidRPr="00594323">
        <w:rPr>
          <w:rFonts w:ascii="Arial" w:eastAsia="宋体" w:hAnsi="Arial" w:cs="Arial"/>
          <w:b/>
          <w:bCs/>
          <w:sz w:val="20"/>
          <w:szCs w:val="20"/>
        </w:rPr>
        <w:t>Events</w:t>
      </w:r>
      <w:proofErr w:type="spellEnd"/>
      <w:r w:rsidRPr="00594323">
        <w:rPr>
          <w:rFonts w:ascii="Arial" w:eastAsia="宋体" w:hAnsi="Arial" w:cs="Arial"/>
          <w:b/>
          <w:bCs/>
          <w:sz w:val="20"/>
          <w:szCs w:val="20"/>
        </w:rPr>
        <w:tab/>
      </w:r>
      <w:r w:rsidRPr="00594323">
        <w:rPr>
          <w:rFonts w:ascii="Arial" w:eastAsia="宋体" w:hAnsi="Arial" w:cs="Arial"/>
          <w:b/>
          <w:bCs/>
          <w:sz w:val="20"/>
          <w:szCs w:val="20"/>
        </w:rPr>
        <w:tab/>
      </w:r>
    </w:p>
    <w:p w14:paraId="41BC46F5"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Power</w:t>
      </w:r>
      <w:r w:rsidRPr="00594323">
        <w:rPr>
          <w:rFonts w:ascii="Arial" w:eastAsia="宋体" w:hAnsi="Arial" w:cs="Arial"/>
          <w:b/>
          <w:bCs/>
          <w:sz w:val="20"/>
          <w:szCs w:val="20"/>
        </w:rPr>
        <w:tab/>
        <w:t>N</w:t>
      </w:r>
      <w:r w:rsidRPr="00594323">
        <w:rPr>
          <w:rFonts w:ascii="Arial" w:eastAsia="宋体" w:hAnsi="Arial" w:cs="Arial"/>
          <w:b/>
          <w:bCs/>
          <w:sz w:val="20"/>
          <w:szCs w:val="20"/>
        </w:rPr>
        <w:tab/>
        <w:t>N1</w:t>
      </w:r>
      <w:r w:rsidRPr="00594323">
        <w:rPr>
          <w:rFonts w:ascii="Arial" w:eastAsia="宋体" w:hAnsi="Arial" w:cs="Arial"/>
          <w:b/>
          <w:bCs/>
          <w:sz w:val="20"/>
          <w:szCs w:val="20"/>
        </w:rPr>
        <w:tab/>
        <w:t>N2</w:t>
      </w:r>
      <w:r w:rsidRPr="00594323">
        <w:rPr>
          <w:rFonts w:ascii="Arial" w:eastAsia="宋体" w:hAnsi="Arial" w:cs="Arial"/>
          <w:b/>
          <w:bCs/>
          <w:sz w:val="20"/>
          <w:szCs w:val="20"/>
        </w:rPr>
        <w:tab/>
        <w:t>P1</w:t>
      </w:r>
      <w:r w:rsidRPr="00594323">
        <w:rPr>
          <w:rFonts w:ascii="Arial" w:eastAsia="宋体" w:hAnsi="Arial" w:cs="Arial"/>
          <w:b/>
          <w:bCs/>
          <w:sz w:val="20"/>
          <w:szCs w:val="20"/>
        </w:rPr>
        <w:tab/>
        <w:t>HR</w:t>
      </w:r>
      <w:r w:rsidRPr="00594323">
        <w:rPr>
          <w:rFonts w:ascii="Arial" w:eastAsia="宋体" w:hAnsi="Arial" w:cs="Arial"/>
          <w:b/>
          <w:bCs/>
          <w:sz w:val="20"/>
          <w:szCs w:val="20"/>
        </w:rPr>
        <w:tab/>
        <w:t>Pev1</w:t>
      </w:r>
      <w:r w:rsidRPr="00594323">
        <w:rPr>
          <w:rFonts w:ascii="Arial" w:eastAsia="宋体" w:hAnsi="Arial" w:cs="Arial"/>
          <w:b/>
          <w:bCs/>
          <w:sz w:val="20"/>
          <w:szCs w:val="20"/>
        </w:rPr>
        <w:tab/>
        <w:t>Pev2</w:t>
      </w:r>
      <w:r w:rsidRPr="00594323">
        <w:rPr>
          <w:rFonts w:ascii="Arial" w:eastAsia="宋体" w:hAnsi="Arial" w:cs="Arial"/>
          <w:b/>
          <w:bCs/>
          <w:sz w:val="20"/>
          <w:szCs w:val="20"/>
        </w:rPr>
        <w:tab/>
        <w:t>E1</w:t>
      </w:r>
      <w:r w:rsidRPr="00594323">
        <w:rPr>
          <w:rFonts w:ascii="Arial" w:eastAsia="宋体" w:hAnsi="Arial" w:cs="Arial"/>
          <w:b/>
          <w:bCs/>
          <w:sz w:val="20"/>
          <w:szCs w:val="20"/>
        </w:rPr>
        <w:tab/>
        <w:t>E2</w:t>
      </w:r>
      <w:r w:rsidRPr="00594323">
        <w:rPr>
          <w:rFonts w:ascii="Arial" w:eastAsia="宋体" w:hAnsi="Arial" w:cs="Arial"/>
          <w:b/>
          <w:bCs/>
          <w:sz w:val="20"/>
          <w:szCs w:val="20"/>
        </w:rPr>
        <w:tab/>
        <w:t>Alpha</w:t>
      </w:r>
      <w:r w:rsidRPr="00594323">
        <w:rPr>
          <w:rFonts w:ascii="Arial" w:eastAsia="宋体" w:hAnsi="Arial" w:cs="Arial"/>
          <w:b/>
          <w:bCs/>
          <w:sz w:val="20"/>
          <w:szCs w:val="20"/>
        </w:rPr>
        <w:tab/>
        <w:t>Beta</w:t>
      </w:r>
    </w:p>
    <w:p w14:paraId="6EFAFAB9"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0.9035</w:t>
      </w:r>
      <w:r w:rsidRPr="00594323">
        <w:rPr>
          <w:rFonts w:ascii="Arial" w:eastAsia="宋体" w:hAnsi="Arial" w:cs="Arial"/>
          <w:sz w:val="20"/>
          <w:szCs w:val="20"/>
        </w:rPr>
        <w:tab/>
        <w:t>233</w:t>
      </w:r>
      <w:r w:rsidRPr="00594323">
        <w:rPr>
          <w:rFonts w:ascii="Arial" w:eastAsia="宋体" w:hAnsi="Arial" w:cs="Arial"/>
          <w:sz w:val="20"/>
          <w:szCs w:val="20"/>
        </w:rPr>
        <w:tab/>
        <w:t>203</w:t>
      </w:r>
      <w:r w:rsidRPr="00594323">
        <w:rPr>
          <w:rFonts w:ascii="Arial" w:eastAsia="宋体" w:hAnsi="Arial" w:cs="Arial"/>
          <w:sz w:val="20"/>
          <w:szCs w:val="20"/>
        </w:rPr>
        <w:tab/>
        <w:t>30</w:t>
      </w:r>
      <w:r w:rsidRPr="00594323">
        <w:rPr>
          <w:rFonts w:ascii="Arial" w:eastAsia="宋体" w:hAnsi="Arial" w:cs="Arial"/>
          <w:sz w:val="20"/>
          <w:szCs w:val="20"/>
        </w:rPr>
        <w:tab/>
        <w:t>0.875</w:t>
      </w:r>
      <w:r w:rsidRPr="00594323">
        <w:rPr>
          <w:rFonts w:ascii="Arial" w:eastAsia="宋体" w:hAnsi="Arial" w:cs="Arial"/>
          <w:sz w:val="20"/>
          <w:szCs w:val="20"/>
        </w:rPr>
        <w:tab/>
        <w:t>10.000</w:t>
      </w:r>
      <w:r w:rsidRPr="00594323">
        <w:rPr>
          <w:rFonts w:ascii="Arial" w:eastAsia="宋体" w:hAnsi="Arial" w:cs="Arial"/>
          <w:sz w:val="20"/>
          <w:szCs w:val="20"/>
        </w:rPr>
        <w:tab/>
        <w:t>0.029</w:t>
      </w:r>
      <w:r w:rsidRPr="00594323">
        <w:rPr>
          <w:rFonts w:ascii="Arial" w:eastAsia="宋体" w:hAnsi="Arial" w:cs="Arial"/>
          <w:sz w:val="20"/>
          <w:szCs w:val="20"/>
        </w:rPr>
        <w:tab/>
        <w:t>0.400</w:t>
      </w:r>
      <w:r w:rsidRPr="00594323">
        <w:rPr>
          <w:rFonts w:ascii="Arial" w:eastAsia="宋体" w:hAnsi="Arial" w:cs="Arial"/>
          <w:sz w:val="20"/>
          <w:szCs w:val="20"/>
        </w:rPr>
        <w:tab/>
        <w:t>5.9</w:t>
      </w:r>
      <w:r w:rsidRPr="00594323">
        <w:rPr>
          <w:rFonts w:ascii="Arial" w:eastAsia="宋体" w:hAnsi="Arial" w:cs="Arial"/>
          <w:sz w:val="20"/>
          <w:szCs w:val="20"/>
        </w:rPr>
        <w:tab/>
        <w:t>12.0</w:t>
      </w:r>
      <w:r w:rsidRPr="00594323">
        <w:rPr>
          <w:rFonts w:ascii="Arial" w:eastAsia="宋体" w:hAnsi="Arial" w:cs="Arial"/>
          <w:sz w:val="20"/>
          <w:szCs w:val="20"/>
        </w:rPr>
        <w:tab/>
        <w:t>0.050</w:t>
      </w:r>
      <w:r w:rsidRPr="00594323">
        <w:rPr>
          <w:rFonts w:ascii="Arial" w:eastAsia="宋体" w:hAnsi="Arial" w:cs="Arial"/>
          <w:sz w:val="20"/>
          <w:szCs w:val="20"/>
        </w:rPr>
        <w:tab/>
        <w:t>0.100</w:t>
      </w:r>
    </w:p>
    <w:p w14:paraId="2D717442"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p>
    <w:p w14:paraId="7485D4ED"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References</w:t>
      </w:r>
    </w:p>
    <w:p w14:paraId="4D4676D7"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Chow, S.C., Shao, J., Wang, H. 2008. Sample Size Calculations in Clinical Research, 2nd Edition. Chapman &amp;</w:t>
      </w:r>
    </w:p>
    <w:p w14:paraId="234A01EE"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 xml:space="preserve">   Hall/CRC.</w:t>
      </w:r>
    </w:p>
    <w:p w14:paraId="6938C98C"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Schoenfeld, David A. 1983. 'Sample Size Formula for the Proportional-Hazards Regression Model', Biometrics,</w:t>
      </w:r>
    </w:p>
    <w:p w14:paraId="4298E1A4"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 xml:space="preserve">   Volume 39, Pages 499-503.</w:t>
      </w:r>
    </w:p>
    <w:p w14:paraId="7E152BFD"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p>
    <w:p w14:paraId="0D4579D5"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Report Definitions</w:t>
      </w:r>
    </w:p>
    <w:p w14:paraId="3D5F89AA"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Power is the probability of rejecting a false null hypothesis. Power should be close to one.</w:t>
      </w:r>
    </w:p>
    <w:p w14:paraId="15311BD2"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N is the total sample size.</w:t>
      </w:r>
    </w:p>
    <w:p w14:paraId="180511B2"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N1 and N2 are the sample sizes of the control and treatment groups.</w:t>
      </w:r>
    </w:p>
    <w:p w14:paraId="15849B4E"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P1 is the proportion of the total sample that is in the control group, group 1.</w:t>
      </w:r>
    </w:p>
    <w:p w14:paraId="1B46B74F"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HR is the hazard ratio: h2/h1.</w:t>
      </w:r>
    </w:p>
    <w:p w14:paraId="02F31F7B"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lastRenderedPageBreak/>
        <w:t>Pev1 and Pev2 are the probabilities of an event in the control and the treatment groups.</w:t>
      </w:r>
    </w:p>
    <w:p w14:paraId="440B53A0"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E1 and E2 are the number of events required in the control and the treatment groups.</w:t>
      </w:r>
    </w:p>
    <w:p w14:paraId="019405D6"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Alpha is the probability of a type one error: rejecting a true null hypothesis.</w:t>
      </w:r>
    </w:p>
    <w:p w14:paraId="26B08BA8" w14:textId="77777777" w:rsidR="008028AE" w:rsidRPr="00594323" w:rsidRDefault="008028AE" w:rsidP="008028AE">
      <w:pPr>
        <w:widowControl w:val="0"/>
        <w:tabs>
          <w:tab w:val="right" w:pos="1595"/>
          <w:tab w:val="right" w:pos="2465"/>
          <w:tab w:val="right" w:pos="3335"/>
          <w:tab w:val="right" w:pos="4205"/>
          <w:tab w:val="right" w:pos="5075"/>
          <w:tab w:val="right" w:pos="5945"/>
          <w:tab w:val="right" w:pos="6815"/>
          <w:tab w:val="right" w:pos="7685"/>
          <w:tab w:val="right" w:pos="8555"/>
          <w:tab w:val="right" w:pos="9280"/>
          <w:tab w:val="right" w:pos="10005"/>
          <w:tab w:val="left" w:pos="10295"/>
          <w:tab w:val="right" w:pos="10730"/>
          <w:tab w:val="right" w:pos="108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Beta is the probability of a type two error: failing to reject a false null hypothesis.</w:t>
      </w:r>
    </w:p>
    <w:p w14:paraId="5DEA6640"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b/>
          <w:bCs/>
          <w:sz w:val="20"/>
          <w:szCs w:val="20"/>
        </w:rPr>
      </w:pPr>
    </w:p>
    <w:p w14:paraId="04618FC4"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Summary Statements</w:t>
      </w:r>
    </w:p>
    <w:p w14:paraId="2DD4FA37"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A two-sided test of whether the hazard ratio is one with an overall sample size of 233 subjects</w:t>
      </w:r>
    </w:p>
    <w:p w14:paraId="5E8FE9AB"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(of which 203 are in the control group and 30 are in the treatment group) achieves 90% power at</w:t>
      </w:r>
    </w:p>
    <w:p w14:paraId="52042F38"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a 0.050 significance level when the hazard ratio is actually 10.000. The number of events</w:t>
      </w:r>
    </w:p>
    <w:p w14:paraId="059458FB"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required to achieve this power is 17.9. It is anticipated that proportions of subjects having</w:t>
      </w:r>
    </w:p>
    <w:p w14:paraId="27263C4C"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the event during the study is 0.029 for the control group and 0.400 for the treatment group.</w:t>
      </w:r>
    </w:p>
    <w:p w14:paraId="00E40269"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These results assume that the hazard ratio is constant throughout the study and that Cox</w:t>
      </w:r>
    </w:p>
    <w:p w14:paraId="463D1E9B"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proportional hazards regression is used to analyze the data.</w:t>
      </w:r>
    </w:p>
    <w:p w14:paraId="31CBFD72"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p>
    <w:p w14:paraId="79C6DB3F" w14:textId="77777777" w:rsidR="008028AE" w:rsidRPr="00594323" w:rsidRDefault="008028AE" w:rsidP="008028AE">
      <w:pPr>
        <w:widowControl w:val="0"/>
        <w:tabs>
          <w:tab w:val="left" w:pos="2900"/>
          <w:tab w:val="left" w:pos="5800"/>
          <w:tab w:val="left" w:pos="7975"/>
        </w:tabs>
        <w:autoSpaceDE w:val="0"/>
        <w:autoSpaceDN w:val="0"/>
        <w:adjustRightInd w:val="0"/>
        <w:ind w:right="-2376"/>
        <w:rPr>
          <w:rFonts w:ascii="Arial" w:eastAsia="宋体" w:hAnsi="Arial" w:cs="Arial"/>
          <w:sz w:val="20"/>
          <w:szCs w:val="20"/>
        </w:rPr>
      </w:pPr>
    </w:p>
    <w:p w14:paraId="5CD6021C"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Procedure Input Settings</w:t>
      </w:r>
    </w:p>
    <w:p w14:paraId="191BE0B0"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b/>
          <w:bCs/>
          <w:sz w:val="20"/>
          <w:szCs w:val="20"/>
        </w:rPr>
      </w:pPr>
    </w:p>
    <w:p w14:paraId="5D8784B8"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Autosaved Template File</w:t>
      </w:r>
    </w:p>
    <w:p w14:paraId="32FB7D4E"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\\Mac\Home\Documents\PASS 15\Procedure Templates\Autosave\Tests for Two Survival Curves Using Cox's Proportional Hazards Model - Autosaved 2020_1_17-18_2_4.t92</w:t>
      </w:r>
    </w:p>
    <w:p w14:paraId="7502F9D7"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p>
    <w:p w14:paraId="0E37AB83"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b/>
          <w:bCs/>
          <w:sz w:val="20"/>
          <w:szCs w:val="20"/>
        </w:rPr>
      </w:pPr>
      <w:r w:rsidRPr="00594323">
        <w:rPr>
          <w:rFonts w:ascii="Arial" w:eastAsia="宋体" w:hAnsi="Arial" w:cs="Arial"/>
          <w:b/>
          <w:bCs/>
          <w:sz w:val="20"/>
          <w:szCs w:val="20"/>
        </w:rPr>
        <w:t>Design Tab</w:t>
      </w:r>
    </w:p>
    <w:p w14:paraId="08BB848E"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Solve For:</w:t>
      </w:r>
      <w:r w:rsidRPr="00594323">
        <w:rPr>
          <w:rFonts w:ascii="Arial" w:eastAsia="宋体" w:hAnsi="Arial" w:cs="Arial"/>
          <w:sz w:val="20"/>
          <w:szCs w:val="20"/>
        </w:rPr>
        <w:tab/>
        <w:t>Sample Size</w:t>
      </w:r>
    </w:p>
    <w:p w14:paraId="1CD8E566"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Alternative Hypothesis:</w:t>
      </w:r>
      <w:r w:rsidRPr="00594323">
        <w:rPr>
          <w:rFonts w:ascii="Arial" w:eastAsia="宋体" w:hAnsi="Arial" w:cs="Arial"/>
          <w:sz w:val="20"/>
          <w:szCs w:val="20"/>
        </w:rPr>
        <w:tab/>
        <w:t>Ha: HR ≠ 1</w:t>
      </w:r>
    </w:p>
    <w:p w14:paraId="47E53B2B"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Power:</w:t>
      </w:r>
      <w:r w:rsidRPr="00594323">
        <w:rPr>
          <w:rFonts w:ascii="Arial" w:eastAsia="宋体" w:hAnsi="Arial" w:cs="Arial"/>
          <w:sz w:val="20"/>
          <w:szCs w:val="20"/>
        </w:rPr>
        <w:tab/>
        <w:t>0.90</w:t>
      </w:r>
    </w:p>
    <w:p w14:paraId="401BB48B"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Alpha:</w:t>
      </w:r>
      <w:r w:rsidRPr="00594323">
        <w:rPr>
          <w:rFonts w:ascii="Arial" w:eastAsia="宋体" w:hAnsi="Arial" w:cs="Arial"/>
          <w:sz w:val="20"/>
          <w:szCs w:val="20"/>
        </w:rPr>
        <w:tab/>
        <w:t>0.05</w:t>
      </w:r>
    </w:p>
    <w:p w14:paraId="01E9FCC3"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lastRenderedPageBreak/>
        <w:t>Group Allocation:</w:t>
      </w:r>
      <w:r w:rsidRPr="00594323">
        <w:rPr>
          <w:rFonts w:ascii="Arial" w:eastAsia="宋体" w:hAnsi="Arial" w:cs="Arial"/>
          <w:sz w:val="20"/>
          <w:szCs w:val="20"/>
        </w:rPr>
        <w:tab/>
        <w:t>Enter R = N2/N1, solve for N1 and N2</w:t>
      </w:r>
    </w:p>
    <w:p w14:paraId="0892642A"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R:</w:t>
      </w:r>
      <w:r w:rsidRPr="00594323">
        <w:rPr>
          <w:rFonts w:ascii="Arial" w:eastAsia="宋体" w:hAnsi="Arial" w:cs="Arial"/>
          <w:sz w:val="20"/>
          <w:szCs w:val="20"/>
        </w:rPr>
        <w:tab/>
        <w:t>0.1428</w:t>
      </w:r>
    </w:p>
    <w:p w14:paraId="73194FE3"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Pev1 (Probability of a Control Event):</w:t>
      </w:r>
      <w:r w:rsidRPr="00594323">
        <w:rPr>
          <w:rFonts w:ascii="Arial" w:eastAsia="宋体" w:hAnsi="Arial" w:cs="Arial"/>
          <w:sz w:val="20"/>
          <w:szCs w:val="20"/>
        </w:rPr>
        <w:tab/>
        <w:t>0.029</w:t>
      </w:r>
    </w:p>
    <w:p w14:paraId="2D1AA3E1"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Pev2 (Probability of a Treatment Event):</w:t>
      </w:r>
      <w:r w:rsidRPr="00594323">
        <w:rPr>
          <w:rFonts w:ascii="Arial" w:eastAsia="宋体" w:hAnsi="Arial" w:cs="Arial"/>
          <w:sz w:val="20"/>
          <w:szCs w:val="20"/>
        </w:rPr>
        <w:tab/>
        <w:t>0.4</w:t>
      </w:r>
    </w:p>
    <w:p w14:paraId="720DB2FF" w14:textId="77777777" w:rsidR="008028AE" w:rsidRPr="00594323" w:rsidRDefault="008028AE" w:rsidP="008028AE">
      <w:pPr>
        <w:widowControl w:val="0"/>
        <w:tabs>
          <w:tab w:val="left" w:pos="3826"/>
        </w:tabs>
        <w:autoSpaceDE w:val="0"/>
        <w:autoSpaceDN w:val="0"/>
        <w:adjustRightInd w:val="0"/>
        <w:ind w:right="-2376"/>
        <w:rPr>
          <w:rFonts w:ascii="Arial" w:eastAsia="宋体" w:hAnsi="Arial" w:cs="Arial"/>
          <w:sz w:val="20"/>
          <w:szCs w:val="20"/>
        </w:rPr>
      </w:pPr>
      <w:r w:rsidRPr="00594323">
        <w:rPr>
          <w:rFonts w:ascii="Arial" w:eastAsia="宋体" w:hAnsi="Arial" w:cs="Arial"/>
          <w:sz w:val="20"/>
          <w:szCs w:val="20"/>
        </w:rPr>
        <w:t>HR (Actual Hazard Ratio = h2/h1):</w:t>
      </w:r>
      <w:r w:rsidRPr="00594323">
        <w:rPr>
          <w:rFonts w:ascii="Arial" w:eastAsia="宋体" w:hAnsi="Arial" w:cs="Arial"/>
          <w:sz w:val="20"/>
          <w:szCs w:val="20"/>
        </w:rPr>
        <w:tab/>
        <w:t>10</w:t>
      </w:r>
    </w:p>
    <w:p w14:paraId="1298CCB0" w14:textId="77777777" w:rsidR="00CE5006" w:rsidRPr="00594323" w:rsidRDefault="00CE5006" w:rsidP="00152D91">
      <w:pPr>
        <w:spacing w:line="480" w:lineRule="auto"/>
        <w:rPr>
          <w:rFonts w:ascii="Arial" w:hAnsi="Arial" w:cs="Arial"/>
          <w:b/>
          <w:bCs/>
          <w:szCs w:val="21"/>
        </w:rPr>
      </w:pPr>
    </w:p>
    <w:p w14:paraId="0AF12CB8" w14:textId="77777777" w:rsidR="00CE5006" w:rsidRPr="00594323" w:rsidRDefault="00CE5006" w:rsidP="00152D91">
      <w:pPr>
        <w:spacing w:line="480" w:lineRule="auto"/>
        <w:rPr>
          <w:rFonts w:ascii="Arial" w:hAnsi="Arial" w:cs="Arial"/>
          <w:b/>
          <w:bCs/>
          <w:szCs w:val="21"/>
        </w:rPr>
      </w:pPr>
      <w:r w:rsidRPr="00594323">
        <w:rPr>
          <w:rFonts w:ascii="Arial" w:hAnsi="Arial" w:cs="Arial"/>
          <w:b/>
          <w:bCs/>
          <w:szCs w:val="21"/>
        </w:rPr>
        <w:br w:type="page"/>
      </w:r>
    </w:p>
    <w:p w14:paraId="614D4BD5" w14:textId="77777777" w:rsidR="008722B6" w:rsidRPr="00594323" w:rsidRDefault="008722B6" w:rsidP="00152D91">
      <w:pPr>
        <w:spacing w:line="480" w:lineRule="auto"/>
        <w:rPr>
          <w:rFonts w:ascii="Arial" w:hAnsi="Arial" w:cs="Arial"/>
          <w:b/>
          <w:bCs/>
          <w:szCs w:val="21"/>
        </w:rPr>
      </w:pPr>
      <w:r w:rsidRPr="00594323">
        <w:rPr>
          <w:rFonts w:ascii="Arial" w:hAnsi="Arial" w:cs="Arial"/>
          <w:b/>
          <w:bCs/>
          <w:szCs w:val="21"/>
        </w:rPr>
        <w:lastRenderedPageBreak/>
        <w:t>Part II</w:t>
      </w:r>
      <w:r w:rsidR="00ED5F36" w:rsidRPr="00594323">
        <w:rPr>
          <w:rFonts w:ascii="Arial" w:hAnsi="Arial" w:cs="Arial"/>
          <w:b/>
          <w:bCs/>
          <w:szCs w:val="21"/>
        </w:rPr>
        <w:t>I</w:t>
      </w:r>
      <w:r w:rsidRPr="00594323">
        <w:rPr>
          <w:rFonts w:ascii="Arial" w:hAnsi="Arial" w:cs="Arial"/>
          <w:b/>
          <w:bCs/>
          <w:szCs w:val="21"/>
        </w:rPr>
        <w:t>. Details of variants.</w:t>
      </w:r>
    </w:p>
    <w:bookmarkEnd w:id="0"/>
    <w:bookmarkEnd w:id="1"/>
    <w:p w14:paraId="6D632509" w14:textId="77777777" w:rsidR="00ED5F36" w:rsidRPr="00594323" w:rsidRDefault="00ED5F36" w:rsidP="00152D91">
      <w:pPr>
        <w:spacing w:line="480" w:lineRule="auto"/>
        <w:rPr>
          <w:rFonts w:ascii="Arial" w:hAnsi="Arial" w:cs="Arial"/>
        </w:rPr>
      </w:pPr>
      <w:r w:rsidRPr="00594323">
        <w:rPr>
          <w:rFonts w:ascii="Arial" w:hAnsi="Arial" w:cs="Arial"/>
          <w:b/>
          <w:bCs/>
        </w:rPr>
        <w:t xml:space="preserve">Patients’ age: </w:t>
      </w:r>
      <w:r w:rsidRPr="00594323">
        <w:rPr>
          <w:rFonts w:ascii="Arial" w:hAnsi="Arial" w:cs="Arial"/>
        </w:rPr>
        <w:t>The age of patients was based on the time of diagnosis of prostate cancer.</w:t>
      </w:r>
    </w:p>
    <w:p w14:paraId="0F90B160" w14:textId="77777777" w:rsidR="00D732C8" w:rsidRPr="00594323" w:rsidRDefault="00D732C8" w:rsidP="00152D91">
      <w:pPr>
        <w:spacing w:line="480" w:lineRule="auto"/>
        <w:rPr>
          <w:rFonts w:ascii="Arial" w:hAnsi="Arial" w:cs="Arial"/>
          <w:kern w:val="2"/>
          <w:sz w:val="18"/>
          <w:szCs w:val="18"/>
        </w:rPr>
      </w:pPr>
    </w:p>
    <w:p w14:paraId="3CF160F4" w14:textId="77777777" w:rsidR="00ED5F36" w:rsidRPr="00594323" w:rsidRDefault="00ED5F36" w:rsidP="00152D91">
      <w:pPr>
        <w:spacing w:line="480" w:lineRule="auto"/>
        <w:rPr>
          <w:rFonts w:ascii="Arial" w:hAnsi="Arial" w:cs="Arial"/>
        </w:rPr>
      </w:pPr>
      <w:bookmarkStart w:id="2" w:name="OLE_LINK72"/>
      <w:bookmarkStart w:id="3" w:name="OLE_LINK73"/>
      <w:bookmarkStart w:id="4" w:name="OLE_LINK74"/>
      <w:r w:rsidRPr="00594323">
        <w:rPr>
          <w:rFonts w:ascii="Arial" w:hAnsi="Arial" w:cs="Arial"/>
          <w:b/>
          <w:bCs/>
        </w:rPr>
        <w:t>White blood cell counts, level of hemoglobin, platelet counts:</w:t>
      </w:r>
      <w:r w:rsidRPr="00594323">
        <w:rPr>
          <w:rFonts w:ascii="Arial" w:hAnsi="Arial" w:cs="Arial"/>
        </w:rPr>
        <w:t xml:space="preserve"> All these indexes were extracted from blood routine examination to evaluate preoperative status of patients.</w:t>
      </w:r>
      <w:bookmarkEnd w:id="2"/>
      <w:bookmarkEnd w:id="3"/>
      <w:bookmarkEnd w:id="4"/>
    </w:p>
    <w:p w14:paraId="13214982" w14:textId="77777777" w:rsidR="00ED5F36" w:rsidRPr="00594323" w:rsidRDefault="00ED5F36" w:rsidP="00152D91">
      <w:pPr>
        <w:spacing w:line="480" w:lineRule="auto"/>
        <w:rPr>
          <w:rFonts w:ascii="Arial" w:hAnsi="Arial" w:cs="Arial"/>
          <w:kern w:val="2"/>
          <w:sz w:val="18"/>
          <w:szCs w:val="18"/>
        </w:rPr>
      </w:pPr>
    </w:p>
    <w:p w14:paraId="7F0DC408"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D</w:t>
      </w:r>
      <w:r w:rsidR="00F14F91" w:rsidRPr="00594323">
        <w:rPr>
          <w:rFonts w:ascii="Arial" w:hAnsi="Arial" w:cs="Arial"/>
          <w:b/>
          <w:bCs/>
          <w:szCs w:val="21"/>
        </w:rPr>
        <w:t>iagnosis</w:t>
      </w:r>
      <w:r w:rsidR="00F14F91" w:rsidRPr="00594323">
        <w:rPr>
          <w:rFonts w:ascii="Arial" w:hAnsi="Arial" w:cs="Arial"/>
          <w:b/>
          <w:bCs/>
          <w:szCs w:val="21"/>
        </w:rPr>
        <w:t>：</w:t>
      </w:r>
    </w:p>
    <w:p w14:paraId="4E2675DE" w14:textId="77777777" w:rsidR="00D732C8" w:rsidRPr="00594323" w:rsidRDefault="00206D2A" w:rsidP="00152D91">
      <w:pPr>
        <w:spacing w:line="480" w:lineRule="auto"/>
        <w:rPr>
          <w:rFonts w:ascii="Arial" w:hAnsi="Arial" w:cs="Arial"/>
          <w:b/>
          <w:bCs/>
          <w:sz w:val="18"/>
          <w:szCs w:val="18"/>
        </w:rPr>
      </w:pPr>
      <w:r w:rsidRPr="00594323">
        <w:rPr>
          <w:rFonts w:ascii="Arial" w:hAnsi="Arial" w:cs="Arial"/>
          <w:b/>
          <w:bCs/>
          <w:kern w:val="2"/>
          <w:sz w:val="18"/>
          <w:szCs w:val="18"/>
        </w:rPr>
        <w:t>Acute Lymphoblastic Leukemia</w:t>
      </w:r>
      <w:r w:rsidRPr="00594323">
        <w:rPr>
          <w:rFonts w:ascii="Arial" w:hAnsi="Arial" w:cs="Arial"/>
          <w:b/>
          <w:bCs/>
          <w:sz w:val="18"/>
          <w:szCs w:val="18"/>
        </w:rPr>
        <w:t xml:space="preserve"> (</w:t>
      </w:r>
      <w:r w:rsidR="00F14F91" w:rsidRPr="00594323">
        <w:rPr>
          <w:rFonts w:ascii="Arial" w:hAnsi="Arial" w:cs="Arial"/>
          <w:b/>
          <w:bCs/>
          <w:sz w:val="18"/>
          <w:szCs w:val="18"/>
        </w:rPr>
        <w:t>ALL</w:t>
      </w:r>
      <w:r w:rsidRPr="00594323">
        <w:rPr>
          <w:rFonts w:ascii="Arial" w:hAnsi="Arial" w:cs="Arial"/>
          <w:b/>
          <w:bCs/>
          <w:sz w:val="18"/>
          <w:szCs w:val="18"/>
        </w:rPr>
        <w:t>) was diagnosed by NCCN Clinical Practice Guidelines in Oncology</w:t>
      </w:r>
    </w:p>
    <w:p w14:paraId="3484B55E"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Acute Lymphoblastic Leukemia, Version 1.2015 NCCN Clinical Practice Guidelines in Oncology </w:t>
      </w:r>
    </w:p>
    <w:p w14:paraId="622EAA51"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lastRenderedPageBreak/>
        <w:drawing>
          <wp:inline distT="0" distB="0" distL="114300" distR="114300" wp14:anchorId="6CCB7DD6" wp14:editId="55A7593A">
            <wp:extent cx="5819775" cy="3664585"/>
            <wp:effectExtent l="0" t="0" r="9525" b="1206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
                    <a:stretch>
                      <a:fillRect/>
                    </a:stretch>
                  </pic:blipFill>
                  <pic:spPr>
                    <a:xfrm>
                      <a:off x="0" y="0"/>
                      <a:ext cx="5819775" cy="3664585"/>
                    </a:xfrm>
                    <a:prstGeom prst="rect">
                      <a:avLst/>
                    </a:prstGeom>
                    <a:noFill/>
                    <a:ln w="9525">
                      <a:noFill/>
                    </a:ln>
                  </pic:spPr>
                </pic:pic>
              </a:graphicData>
            </a:graphic>
          </wp:inline>
        </w:drawing>
      </w:r>
    </w:p>
    <w:p w14:paraId="3348D718" w14:textId="77777777" w:rsidR="00D732C8" w:rsidRPr="00594323" w:rsidRDefault="00D732C8" w:rsidP="00152D91">
      <w:pPr>
        <w:spacing w:line="480" w:lineRule="auto"/>
        <w:rPr>
          <w:rFonts w:ascii="Arial" w:hAnsi="Arial" w:cs="Arial"/>
          <w:b/>
          <w:bCs/>
          <w:szCs w:val="21"/>
        </w:rPr>
      </w:pPr>
    </w:p>
    <w:p w14:paraId="0C707C41" w14:textId="77777777" w:rsidR="00D732C8" w:rsidRPr="00594323" w:rsidRDefault="00206D2A" w:rsidP="00152D91">
      <w:pPr>
        <w:spacing w:line="480" w:lineRule="auto"/>
        <w:rPr>
          <w:rFonts w:ascii="Arial" w:hAnsi="Arial" w:cs="Arial"/>
          <w:b/>
          <w:bCs/>
          <w:sz w:val="18"/>
          <w:szCs w:val="18"/>
        </w:rPr>
      </w:pPr>
      <w:r w:rsidRPr="00594323">
        <w:rPr>
          <w:rFonts w:ascii="Arial" w:hAnsi="Arial" w:cs="Arial"/>
          <w:b/>
          <w:bCs/>
          <w:sz w:val="18"/>
          <w:szCs w:val="18"/>
        </w:rPr>
        <w:t>Acute myelocytic leukemia (</w:t>
      </w:r>
      <w:r w:rsidR="00F14F91" w:rsidRPr="00594323">
        <w:rPr>
          <w:rFonts w:ascii="Arial" w:hAnsi="Arial" w:cs="Arial"/>
          <w:b/>
          <w:bCs/>
          <w:sz w:val="18"/>
          <w:szCs w:val="18"/>
        </w:rPr>
        <w:t>AM</w:t>
      </w:r>
      <w:r w:rsidRPr="00594323">
        <w:rPr>
          <w:rFonts w:ascii="Arial" w:hAnsi="Arial" w:cs="Arial"/>
          <w:b/>
          <w:bCs/>
          <w:sz w:val="18"/>
          <w:szCs w:val="18"/>
        </w:rPr>
        <w:t>L) was diagnosed by World Health Organization classification of myeloid neoplasms and acute leukemia</w:t>
      </w:r>
    </w:p>
    <w:p w14:paraId="525B767F" w14:textId="77777777" w:rsidR="00D732C8" w:rsidRPr="00594323" w:rsidRDefault="00F14F91" w:rsidP="00152D91">
      <w:pPr>
        <w:pStyle w:val="1"/>
        <w:shd w:val="clear" w:color="auto" w:fill="FFFFFF"/>
        <w:spacing w:before="105" w:beforeAutospacing="0" w:after="105" w:afterAutospacing="0" w:line="480" w:lineRule="auto"/>
        <w:rPr>
          <w:rFonts w:ascii="Arial" w:eastAsiaTheme="minorEastAsia" w:hAnsi="Arial" w:cs="Arial" w:hint="default"/>
          <w:b w:val="0"/>
          <w:kern w:val="2"/>
          <w:sz w:val="18"/>
          <w:szCs w:val="18"/>
        </w:rPr>
      </w:pPr>
      <w:r w:rsidRPr="00594323">
        <w:rPr>
          <w:rFonts w:ascii="Arial" w:eastAsiaTheme="minorEastAsia" w:hAnsi="Arial" w:cs="Arial" w:hint="default"/>
          <w:b w:val="0"/>
          <w:kern w:val="2"/>
          <w:sz w:val="18"/>
          <w:szCs w:val="18"/>
        </w:rPr>
        <w:t>The 2016 revision to the World Health Organization classification of</w:t>
      </w:r>
      <w:r w:rsidRPr="00594323">
        <w:rPr>
          <w:rFonts w:ascii="Arial" w:hAnsi="Arial" w:cs="Arial" w:hint="default"/>
          <w:b w:val="0"/>
          <w:kern w:val="2"/>
          <w:sz w:val="18"/>
          <w:szCs w:val="18"/>
        </w:rPr>
        <w:t xml:space="preserve"> </w:t>
      </w:r>
      <w:r w:rsidRPr="00594323">
        <w:rPr>
          <w:rFonts w:ascii="Arial" w:eastAsiaTheme="minorEastAsia" w:hAnsi="Arial" w:cs="Arial" w:hint="default"/>
          <w:b w:val="0"/>
          <w:kern w:val="2"/>
          <w:sz w:val="18"/>
          <w:szCs w:val="18"/>
        </w:rPr>
        <w:t>myeloid neoplasms and acute leukemia.</w:t>
      </w:r>
    </w:p>
    <w:p w14:paraId="19DDB869"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1016E1DC" wp14:editId="58E37BF4">
            <wp:extent cx="3150235" cy="4105275"/>
            <wp:effectExtent l="0" t="0" r="12065" b="952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12"/>
                    <a:stretch>
                      <a:fillRect/>
                    </a:stretch>
                  </pic:blipFill>
                  <pic:spPr>
                    <a:xfrm>
                      <a:off x="0" y="0"/>
                      <a:ext cx="3150235" cy="4105275"/>
                    </a:xfrm>
                    <a:prstGeom prst="rect">
                      <a:avLst/>
                    </a:prstGeom>
                    <a:noFill/>
                    <a:ln w="9525">
                      <a:noFill/>
                    </a:ln>
                  </pic:spPr>
                </pic:pic>
              </a:graphicData>
            </a:graphic>
          </wp:inline>
        </w:drawing>
      </w:r>
    </w:p>
    <w:p w14:paraId="69F8588D" w14:textId="77777777" w:rsidR="00D732C8" w:rsidRPr="00594323" w:rsidRDefault="00D732C8" w:rsidP="00152D91">
      <w:pPr>
        <w:spacing w:line="480" w:lineRule="auto"/>
        <w:rPr>
          <w:rFonts w:ascii="Arial" w:hAnsi="Arial" w:cs="Arial"/>
        </w:rPr>
      </w:pPr>
    </w:p>
    <w:p w14:paraId="776A1334" w14:textId="77777777" w:rsidR="00D732C8" w:rsidRPr="00594323" w:rsidRDefault="00206D2A" w:rsidP="00152D91">
      <w:pPr>
        <w:spacing w:line="480" w:lineRule="auto"/>
        <w:rPr>
          <w:rFonts w:ascii="Arial" w:hAnsi="Arial" w:cs="Arial"/>
          <w:b/>
          <w:bCs/>
          <w:sz w:val="18"/>
          <w:szCs w:val="18"/>
        </w:rPr>
      </w:pPr>
      <w:proofErr w:type="spellStart"/>
      <w:r w:rsidRPr="00594323">
        <w:rPr>
          <w:rFonts w:ascii="Arial" w:hAnsi="Arial" w:cs="Arial"/>
          <w:b/>
          <w:bCs/>
          <w:sz w:val="18"/>
          <w:szCs w:val="18"/>
        </w:rPr>
        <w:t>Blastic</w:t>
      </w:r>
      <w:proofErr w:type="spellEnd"/>
      <w:r w:rsidRPr="00594323">
        <w:rPr>
          <w:rFonts w:ascii="Arial" w:hAnsi="Arial" w:cs="Arial"/>
          <w:b/>
          <w:bCs/>
          <w:sz w:val="18"/>
          <w:szCs w:val="18"/>
        </w:rPr>
        <w:t xml:space="preserve"> Plasmacytoid Dendritic Cell Neoplasm (</w:t>
      </w:r>
      <w:r w:rsidR="00F14F91" w:rsidRPr="00594323">
        <w:rPr>
          <w:rFonts w:ascii="Arial" w:hAnsi="Arial" w:cs="Arial"/>
          <w:b/>
          <w:bCs/>
          <w:sz w:val="18"/>
          <w:szCs w:val="18"/>
        </w:rPr>
        <w:t>BPDCN</w:t>
      </w:r>
      <w:r w:rsidRPr="00594323">
        <w:rPr>
          <w:rFonts w:ascii="Arial" w:hAnsi="Arial" w:cs="Arial"/>
          <w:b/>
          <w:bCs/>
          <w:sz w:val="18"/>
          <w:szCs w:val="18"/>
        </w:rPr>
        <w:t>) was diagnosed by the World Health Organization (WHO) classification of myeloid neoplasms and acute leukemia</w:t>
      </w:r>
    </w:p>
    <w:p w14:paraId="3B6FA701"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lastRenderedPageBreak/>
        <w:drawing>
          <wp:inline distT="0" distB="0" distL="114300" distR="114300" wp14:anchorId="2A1720F9" wp14:editId="5458C86C">
            <wp:extent cx="2379518" cy="3357602"/>
            <wp:effectExtent l="0" t="0" r="0" b="0"/>
            <wp:docPr id="1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pic:cNvPicPr>
                      <a:picLocks noChangeAspect="1"/>
                    </pic:cNvPicPr>
                  </pic:nvPicPr>
                  <pic:blipFill>
                    <a:blip r:embed="rId13"/>
                    <a:stretch>
                      <a:fillRect/>
                    </a:stretch>
                  </pic:blipFill>
                  <pic:spPr>
                    <a:xfrm>
                      <a:off x="0" y="0"/>
                      <a:ext cx="2391135" cy="3373995"/>
                    </a:xfrm>
                    <a:prstGeom prst="rect">
                      <a:avLst/>
                    </a:prstGeom>
                    <a:noFill/>
                    <a:ln w="9525">
                      <a:noFill/>
                    </a:ln>
                  </pic:spPr>
                </pic:pic>
              </a:graphicData>
            </a:graphic>
          </wp:inline>
        </w:drawing>
      </w:r>
    </w:p>
    <w:p w14:paraId="4566A79B" w14:textId="77777777" w:rsidR="00206D2A" w:rsidRPr="00594323" w:rsidRDefault="00206D2A" w:rsidP="00152D91">
      <w:pPr>
        <w:spacing w:line="480" w:lineRule="auto"/>
        <w:rPr>
          <w:rFonts w:ascii="Arial" w:hAnsi="Arial" w:cs="Arial"/>
          <w:kern w:val="2"/>
          <w:sz w:val="18"/>
          <w:szCs w:val="18"/>
        </w:rPr>
      </w:pPr>
      <w:r w:rsidRPr="00594323">
        <w:rPr>
          <w:rFonts w:ascii="Arial" w:hAnsi="Arial" w:cs="Arial"/>
          <w:kern w:val="2"/>
          <w:sz w:val="18"/>
          <w:szCs w:val="18"/>
        </w:rPr>
        <w:t xml:space="preserve">Arber DA, </w:t>
      </w:r>
      <w:proofErr w:type="spellStart"/>
      <w:r w:rsidRPr="00594323">
        <w:rPr>
          <w:rFonts w:ascii="Arial" w:hAnsi="Arial" w:cs="Arial"/>
          <w:kern w:val="2"/>
          <w:sz w:val="18"/>
          <w:szCs w:val="18"/>
        </w:rPr>
        <w:t>Orazi</w:t>
      </w:r>
      <w:proofErr w:type="spellEnd"/>
      <w:r w:rsidRPr="00594323">
        <w:rPr>
          <w:rFonts w:ascii="Arial" w:hAnsi="Arial" w:cs="Arial"/>
          <w:kern w:val="2"/>
          <w:sz w:val="18"/>
          <w:szCs w:val="18"/>
        </w:rPr>
        <w:t xml:space="preserve"> A, </w:t>
      </w:r>
      <w:proofErr w:type="spellStart"/>
      <w:r w:rsidRPr="00594323">
        <w:rPr>
          <w:rFonts w:ascii="Arial" w:hAnsi="Arial" w:cs="Arial"/>
          <w:kern w:val="2"/>
          <w:sz w:val="18"/>
          <w:szCs w:val="18"/>
        </w:rPr>
        <w:t>Hasserjian</w:t>
      </w:r>
      <w:proofErr w:type="spellEnd"/>
      <w:r w:rsidRPr="00594323">
        <w:rPr>
          <w:rFonts w:ascii="Arial" w:hAnsi="Arial" w:cs="Arial"/>
          <w:kern w:val="2"/>
          <w:sz w:val="18"/>
          <w:szCs w:val="18"/>
        </w:rPr>
        <w:t xml:space="preserve"> R, et al. The 2016 revision to the world health organization classification of myeloid neoplasms and acute leukemia. Blood 2016; 127: 2391–2405.</w:t>
      </w:r>
    </w:p>
    <w:p w14:paraId="0E38C1C6" w14:textId="77777777" w:rsidR="00206D2A" w:rsidRPr="00594323" w:rsidRDefault="00206D2A" w:rsidP="00152D91">
      <w:pPr>
        <w:spacing w:line="480" w:lineRule="auto"/>
        <w:rPr>
          <w:rFonts w:ascii="Arial" w:hAnsi="Arial" w:cs="Arial"/>
          <w:kern w:val="2"/>
          <w:sz w:val="18"/>
          <w:szCs w:val="18"/>
        </w:rPr>
      </w:pPr>
      <w:proofErr w:type="spellStart"/>
      <w:r w:rsidRPr="00594323">
        <w:rPr>
          <w:rFonts w:ascii="Arial" w:hAnsi="Arial" w:cs="Arial"/>
          <w:kern w:val="2"/>
          <w:sz w:val="18"/>
          <w:szCs w:val="18"/>
        </w:rPr>
        <w:t>Vardiman</w:t>
      </w:r>
      <w:proofErr w:type="spellEnd"/>
      <w:r w:rsidRPr="00594323">
        <w:rPr>
          <w:rFonts w:ascii="Arial" w:hAnsi="Arial" w:cs="Arial"/>
          <w:kern w:val="2"/>
          <w:sz w:val="18"/>
          <w:szCs w:val="18"/>
        </w:rPr>
        <w:t xml:space="preserve"> JW, Thiele J, Arber DA, et al. The 2008 revision of the World Health Organization (WHO) classification of myeloid neoplasms and acute leukemia: rationale and important changes. Blood 2009; 114:937-51</w:t>
      </w:r>
    </w:p>
    <w:p w14:paraId="326E81F4" w14:textId="77777777" w:rsidR="00D732C8" w:rsidRPr="00594323" w:rsidRDefault="00D732C8" w:rsidP="00152D91">
      <w:pPr>
        <w:spacing w:line="480" w:lineRule="auto"/>
        <w:rPr>
          <w:rFonts w:ascii="Arial" w:hAnsi="Arial" w:cs="Arial"/>
          <w:kern w:val="2"/>
          <w:sz w:val="18"/>
          <w:szCs w:val="18"/>
        </w:rPr>
      </w:pPr>
    </w:p>
    <w:p w14:paraId="547C29E2" w14:textId="77777777" w:rsidR="00D732C8" w:rsidRPr="00594323" w:rsidRDefault="00206D2A" w:rsidP="00152D91">
      <w:pPr>
        <w:spacing w:line="480" w:lineRule="auto"/>
        <w:rPr>
          <w:rFonts w:ascii="Arial" w:hAnsi="Arial" w:cs="Arial"/>
          <w:b/>
          <w:bCs/>
          <w:sz w:val="18"/>
          <w:szCs w:val="18"/>
        </w:rPr>
      </w:pPr>
      <w:r w:rsidRPr="00594323">
        <w:rPr>
          <w:rFonts w:ascii="Arial" w:hAnsi="Arial" w:cs="Arial"/>
          <w:b/>
          <w:bCs/>
          <w:sz w:val="18"/>
          <w:szCs w:val="18"/>
        </w:rPr>
        <w:lastRenderedPageBreak/>
        <w:t>Chronic lymphocytic leukemia (</w:t>
      </w:r>
      <w:r w:rsidR="00F14F91" w:rsidRPr="00594323">
        <w:rPr>
          <w:rFonts w:ascii="Arial" w:hAnsi="Arial" w:cs="Arial"/>
          <w:b/>
          <w:bCs/>
          <w:sz w:val="18"/>
          <w:szCs w:val="18"/>
        </w:rPr>
        <w:t>CLL</w:t>
      </w:r>
      <w:r w:rsidRPr="00594323">
        <w:rPr>
          <w:rFonts w:ascii="Arial" w:hAnsi="Arial" w:cs="Arial"/>
          <w:b/>
          <w:bCs/>
          <w:sz w:val="18"/>
          <w:szCs w:val="18"/>
        </w:rPr>
        <w:t>) was diagnosed by 2017 NCCN Clinical Practice Guidelines in Oncology</w:t>
      </w:r>
    </w:p>
    <w:p w14:paraId="3A5F9E71"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Chronic Lymphocytic Leukemia/Small Lymphocytic </w:t>
      </w:r>
      <w:proofErr w:type="spellStart"/>
      <w:proofErr w:type="gramStart"/>
      <w:r w:rsidRPr="00594323">
        <w:rPr>
          <w:rFonts w:ascii="Arial" w:hAnsi="Arial" w:cs="Arial"/>
          <w:kern w:val="2"/>
          <w:sz w:val="18"/>
          <w:szCs w:val="18"/>
        </w:rPr>
        <w:t>Lymphoma,Version</w:t>
      </w:r>
      <w:proofErr w:type="spellEnd"/>
      <w:proofErr w:type="gramEnd"/>
      <w:r w:rsidRPr="00594323">
        <w:rPr>
          <w:rFonts w:ascii="Arial" w:hAnsi="Arial" w:cs="Arial"/>
          <w:kern w:val="2"/>
          <w:sz w:val="18"/>
          <w:szCs w:val="18"/>
        </w:rPr>
        <w:t xml:space="preserve"> 1.2017 NCCN Clinical Practice Guidelines in Oncology </w:t>
      </w:r>
    </w:p>
    <w:p w14:paraId="014E18A4"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drawing>
          <wp:inline distT="0" distB="0" distL="114300" distR="114300" wp14:anchorId="6D0DBA83" wp14:editId="42B92747">
            <wp:extent cx="5606415" cy="3356610"/>
            <wp:effectExtent l="0" t="0" r="13335" b="1524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4"/>
                    <a:stretch>
                      <a:fillRect/>
                    </a:stretch>
                  </pic:blipFill>
                  <pic:spPr>
                    <a:xfrm>
                      <a:off x="0" y="0"/>
                      <a:ext cx="5606415" cy="3356610"/>
                    </a:xfrm>
                    <a:prstGeom prst="rect">
                      <a:avLst/>
                    </a:prstGeom>
                    <a:noFill/>
                    <a:ln w="9525">
                      <a:noFill/>
                    </a:ln>
                  </pic:spPr>
                </pic:pic>
              </a:graphicData>
            </a:graphic>
          </wp:inline>
        </w:drawing>
      </w:r>
    </w:p>
    <w:p w14:paraId="2C13F8E9" w14:textId="77777777" w:rsidR="00206D2A" w:rsidRPr="00594323" w:rsidRDefault="00206D2A" w:rsidP="00152D91">
      <w:pPr>
        <w:spacing w:line="480" w:lineRule="auto"/>
        <w:rPr>
          <w:rFonts w:ascii="Arial" w:hAnsi="Arial" w:cs="Arial"/>
          <w:b/>
          <w:bCs/>
          <w:szCs w:val="21"/>
        </w:rPr>
      </w:pPr>
    </w:p>
    <w:p w14:paraId="1540D85E" w14:textId="77777777" w:rsidR="00D732C8" w:rsidRPr="00594323" w:rsidRDefault="00206D2A" w:rsidP="00152D91">
      <w:pPr>
        <w:spacing w:line="480" w:lineRule="auto"/>
        <w:rPr>
          <w:rFonts w:ascii="Arial" w:hAnsi="Arial" w:cs="Arial"/>
          <w:b/>
          <w:bCs/>
          <w:sz w:val="18"/>
          <w:szCs w:val="18"/>
        </w:rPr>
      </w:pPr>
      <w:r w:rsidRPr="00594323">
        <w:rPr>
          <w:rFonts w:ascii="Arial" w:hAnsi="Arial" w:cs="Arial"/>
          <w:b/>
          <w:bCs/>
          <w:sz w:val="18"/>
          <w:szCs w:val="18"/>
        </w:rPr>
        <w:t>Chronic myeloid leukemia (</w:t>
      </w:r>
      <w:r w:rsidR="00F14F91" w:rsidRPr="00594323">
        <w:rPr>
          <w:rFonts w:ascii="Arial" w:hAnsi="Arial" w:cs="Arial"/>
          <w:b/>
          <w:bCs/>
          <w:sz w:val="18"/>
          <w:szCs w:val="18"/>
        </w:rPr>
        <w:t>CML</w:t>
      </w:r>
      <w:r w:rsidRPr="00594323">
        <w:rPr>
          <w:rFonts w:ascii="Arial" w:hAnsi="Arial" w:cs="Arial"/>
          <w:b/>
          <w:bCs/>
          <w:sz w:val="18"/>
          <w:szCs w:val="18"/>
        </w:rPr>
        <w:t>) was diagnosed by World Health Organization classification of myeloid neoplasms and acute leukemia</w:t>
      </w:r>
    </w:p>
    <w:p w14:paraId="73B94555" w14:textId="77777777" w:rsidR="00D732C8" w:rsidRPr="00594323" w:rsidRDefault="00F14F91" w:rsidP="00152D91">
      <w:pPr>
        <w:pStyle w:val="1"/>
        <w:shd w:val="clear" w:color="auto" w:fill="FFFFFF"/>
        <w:spacing w:before="105" w:beforeAutospacing="0" w:after="105" w:afterAutospacing="0" w:line="480" w:lineRule="auto"/>
        <w:rPr>
          <w:rFonts w:ascii="Arial" w:eastAsiaTheme="minorEastAsia" w:hAnsi="Arial" w:cs="Arial" w:hint="default"/>
          <w:b w:val="0"/>
          <w:kern w:val="2"/>
          <w:sz w:val="18"/>
          <w:szCs w:val="18"/>
        </w:rPr>
      </w:pPr>
      <w:r w:rsidRPr="00594323">
        <w:rPr>
          <w:rFonts w:ascii="Arial" w:eastAsiaTheme="minorEastAsia" w:hAnsi="Arial" w:cs="Arial" w:hint="default"/>
          <w:b w:val="0"/>
          <w:kern w:val="2"/>
          <w:sz w:val="18"/>
          <w:szCs w:val="18"/>
        </w:rPr>
        <w:lastRenderedPageBreak/>
        <w:t>The 2016 revision to the World Health Organization classification of</w:t>
      </w:r>
      <w:r w:rsidRPr="00594323">
        <w:rPr>
          <w:rFonts w:ascii="Arial" w:hAnsi="Arial" w:cs="Arial" w:hint="default"/>
          <w:b w:val="0"/>
          <w:kern w:val="2"/>
          <w:sz w:val="18"/>
          <w:szCs w:val="18"/>
        </w:rPr>
        <w:t xml:space="preserve"> </w:t>
      </w:r>
      <w:r w:rsidRPr="00594323">
        <w:rPr>
          <w:rFonts w:ascii="Arial" w:eastAsiaTheme="minorEastAsia" w:hAnsi="Arial" w:cs="Arial" w:hint="default"/>
          <w:b w:val="0"/>
          <w:kern w:val="2"/>
          <w:sz w:val="18"/>
          <w:szCs w:val="18"/>
        </w:rPr>
        <w:t>myeloid neoplasms and acute leukemia.</w:t>
      </w:r>
    </w:p>
    <w:p w14:paraId="25A5B266"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The diagnosis of typical CML is simple and consists of documenting, in the setting of persistent unexplained leukocytosis (or occasionally thrombocytosis), the presence of the Ph chromosome abnormality, the t(9;22)(q34;q11), by routine cytogenetics, or the </w:t>
      </w:r>
      <w:proofErr w:type="spellStart"/>
      <w:r w:rsidRPr="00594323">
        <w:rPr>
          <w:rFonts w:ascii="Arial" w:hAnsi="Arial" w:cs="Arial"/>
          <w:kern w:val="2"/>
          <w:sz w:val="18"/>
          <w:szCs w:val="18"/>
        </w:rPr>
        <w:t>Phrelated</w:t>
      </w:r>
      <w:proofErr w:type="spellEnd"/>
      <w:r w:rsidRPr="00594323">
        <w:rPr>
          <w:rFonts w:ascii="Arial" w:hAnsi="Arial" w:cs="Arial"/>
          <w:kern w:val="2"/>
          <w:sz w:val="18"/>
          <w:szCs w:val="18"/>
        </w:rPr>
        <w:t xml:space="preserve"> molecular BCR-ABL abnormalities by fluorescent in situ hybridization (FISH) or by molecular studies.</w:t>
      </w:r>
    </w:p>
    <w:p w14:paraId="60B9AD1F" w14:textId="77777777" w:rsidR="00D732C8" w:rsidRPr="00594323" w:rsidRDefault="00D732C8" w:rsidP="00152D91">
      <w:pPr>
        <w:spacing w:line="480" w:lineRule="auto"/>
        <w:rPr>
          <w:rFonts w:ascii="Arial" w:hAnsi="Arial" w:cs="Arial"/>
          <w:kern w:val="2"/>
          <w:sz w:val="18"/>
          <w:szCs w:val="18"/>
        </w:rPr>
      </w:pPr>
    </w:p>
    <w:p w14:paraId="4E3375B2" w14:textId="77777777" w:rsidR="00D732C8" w:rsidRPr="00594323" w:rsidRDefault="00206D2A" w:rsidP="00152D91">
      <w:pPr>
        <w:spacing w:line="480" w:lineRule="auto"/>
        <w:rPr>
          <w:rFonts w:ascii="Arial" w:hAnsi="Arial" w:cs="Arial"/>
          <w:b/>
          <w:bCs/>
          <w:sz w:val="18"/>
          <w:szCs w:val="18"/>
        </w:rPr>
      </w:pPr>
      <w:r w:rsidRPr="00594323">
        <w:rPr>
          <w:rFonts w:ascii="Arial" w:hAnsi="Arial" w:cs="Arial"/>
          <w:b/>
          <w:bCs/>
          <w:sz w:val="18"/>
          <w:szCs w:val="18"/>
        </w:rPr>
        <w:t>Hybrid acute leukemia (</w:t>
      </w:r>
      <w:r w:rsidR="00F14F91" w:rsidRPr="00594323">
        <w:rPr>
          <w:rFonts w:ascii="Arial" w:hAnsi="Arial" w:cs="Arial"/>
          <w:b/>
          <w:bCs/>
          <w:sz w:val="18"/>
          <w:szCs w:val="18"/>
        </w:rPr>
        <w:t>HAL</w:t>
      </w:r>
      <w:r w:rsidRPr="00594323">
        <w:rPr>
          <w:rFonts w:ascii="Arial" w:hAnsi="Arial" w:cs="Arial"/>
          <w:b/>
          <w:bCs/>
          <w:sz w:val="18"/>
          <w:szCs w:val="18"/>
        </w:rPr>
        <w:t>) was diagnosed by World Health Organization classification of myeloid neoplasms and acute leukemia</w:t>
      </w:r>
    </w:p>
    <w:p w14:paraId="27371C09"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The 2016 revision to the World Health Organization classification of myeloid neoplasms and acute leukemia</w:t>
      </w:r>
    </w:p>
    <w:p w14:paraId="083B4E1B"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lastRenderedPageBreak/>
        <w:drawing>
          <wp:inline distT="0" distB="0" distL="114300" distR="114300" wp14:anchorId="5424BA04" wp14:editId="20010286">
            <wp:extent cx="4191635" cy="2912745"/>
            <wp:effectExtent l="0" t="0" r="18415" b="1905"/>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pic:cNvPicPr>
                  </pic:nvPicPr>
                  <pic:blipFill>
                    <a:blip r:embed="rId15"/>
                    <a:stretch>
                      <a:fillRect/>
                    </a:stretch>
                  </pic:blipFill>
                  <pic:spPr>
                    <a:xfrm>
                      <a:off x="0" y="0"/>
                      <a:ext cx="4191635" cy="2912745"/>
                    </a:xfrm>
                    <a:prstGeom prst="rect">
                      <a:avLst/>
                    </a:prstGeom>
                    <a:noFill/>
                    <a:ln w="9525">
                      <a:noFill/>
                    </a:ln>
                  </pic:spPr>
                </pic:pic>
              </a:graphicData>
            </a:graphic>
          </wp:inline>
        </w:drawing>
      </w:r>
    </w:p>
    <w:p w14:paraId="66300433" w14:textId="77777777" w:rsidR="00206D2A" w:rsidRPr="00594323" w:rsidRDefault="00206D2A" w:rsidP="00152D91">
      <w:pPr>
        <w:spacing w:line="480" w:lineRule="auto"/>
        <w:rPr>
          <w:rFonts w:ascii="Arial" w:hAnsi="Arial" w:cs="Arial"/>
          <w:b/>
          <w:bCs/>
          <w:szCs w:val="21"/>
        </w:rPr>
      </w:pPr>
    </w:p>
    <w:p w14:paraId="5B1E00AD" w14:textId="77777777" w:rsidR="00D732C8" w:rsidRPr="00594323" w:rsidRDefault="00206D2A" w:rsidP="00152D91">
      <w:pPr>
        <w:spacing w:line="480" w:lineRule="auto"/>
        <w:rPr>
          <w:rFonts w:ascii="Arial" w:hAnsi="Arial" w:cs="Arial"/>
          <w:b/>
          <w:bCs/>
          <w:sz w:val="18"/>
          <w:szCs w:val="18"/>
        </w:rPr>
      </w:pPr>
      <w:r w:rsidRPr="00594323">
        <w:rPr>
          <w:rFonts w:ascii="Arial" w:hAnsi="Arial" w:cs="Arial"/>
          <w:b/>
          <w:bCs/>
          <w:sz w:val="18"/>
          <w:szCs w:val="18"/>
        </w:rPr>
        <w:t>Hodgkin lymphoma (</w:t>
      </w:r>
      <w:r w:rsidR="00F14F91" w:rsidRPr="00594323">
        <w:rPr>
          <w:rFonts w:ascii="Arial" w:hAnsi="Arial" w:cs="Arial"/>
          <w:b/>
          <w:bCs/>
          <w:sz w:val="18"/>
          <w:szCs w:val="18"/>
        </w:rPr>
        <w:t>HD</w:t>
      </w:r>
      <w:r w:rsidRPr="00594323">
        <w:rPr>
          <w:rFonts w:ascii="Arial" w:hAnsi="Arial" w:cs="Arial"/>
          <w:b/>
          <w:bCs/>
          <w:sz w:val="18"/>
          <w:szCs w:val="18"/>
        </w:rPr>
        <w:t>) was diagnosed by 2015 NCCN Clinical Practice Guidelines in Oncology</w:t>
      </w:r>
    </w:p>
    <w:p w14:paraId="290CD91F"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Hodgkin Lymphoma, Version 1.2015 NCCN Clinical Practice Guidelines in Oncology </w:t>
      </w:r>
    </w:p>
    <w:p w14:paraId="6CF23FCB"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lastRenderedPageBreak/>
        <w:drawing>
          <wp:inline distT="0" distB="0" distL="114300" distR="114300" wp14:anchorId="61CA84B4" wp14:editId="3151C5CF">
            <wp:extent cx="5648960" cy="3488055"/>
            <wp:effectExtent l="0" t="0" r="8890" b="1714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6"/>
                    <a:stretch>
                      <a:fillRect/>
                    </a:stretch>
                  </pic:blipFill>
                  <pic:spPr>
                    <a:xfrm>
                      <a:off x="0" y="0"/>
                      <a:ext cx="5648960" cy="3488055"/>
                    </a:xfrm>
                    <a:prstGeom prst="rect">
                      <a:avLst/>
                    </a:prstGeom>
                    <a:noFill/>
                    <a:ln w="9525">
                      <a:noFill/>
                    </a:ln>
                  </pic:spPr>
                </pic:pic>
              </a:graphicData>
            </a:graphic>
          </wp:inline>
        </w:drawing>
      </w:r>
    </w:p>
    <w:p w14:paraId="24863E2B" w14:textId="77777777" w:rsidR="00D732C8" w:rsidRPr="00594323" w:rsidRDefault="00D732C8" w:rsidP="00152D91">
      <w:pPr>
        <w:spacing w:line="480" w:lineRule="auto"/>
        <w:rPr>
          <w:rFonts w:ascii="Arial" w:hAnsi="Arial" w:cs="Arial"/>
          <w:b/>
          <w:bCs/>
          <w:szCs w:val="21"/>
        </w:rPr>
      </w:pPr>
    </w:p>
    <w:p w14:paraId="4D0BAEFE" w14:textId="77777777" w:rsidR="00D732C8" w:rsidRPr="00594323" w:rsidRDefault="00206D2A" w:rsidP="00152D91">
      <w:pPr>
        <w:spacing w:line="480" w:lineRule="auto"/>
        <w:rPr>
          <w:rFonts w:ascii="Arial" w:hAnsi="Arial" w:cs="Arial"/>
          <w:b/>
          <w:bCs/>
          <w:sz w:val="18"/>
          <w:szCs w:val="18"/>
        </w:rPr>
      </w:pPr>
      <w:r w:rsidRPr="00594323">
        <w:rPr>
          <w:rFonts w:ascii="Arial" w:hAnsi="Arial" w:cs="Arial"/>
          <w:b/>
          <w:bCs/>
          <w:sz w:val="18"/>
          <w:szCs w:val="18"/>
        </w:rPr>
        <w:t>Multiple myeloma (</w:t>
      </w:r>
      <w:r w:rsidR="00F14F91" w:rsidRPr="00594323">
        <w:rPr>
          <w:rFonts w:ascii="Arial" w:hAnsi="Arial" w:cs="Arial"/>
          <w:b/>
          <w:bCs/>
          <w:sz w:val="18"/>
          <w:szCs w:val="18"/>
        </w:rPr>
        <w:t>MM</w:t>
      </w:r>
      <w:r w:rsidRPr="00594323">
        <w:rPr>
          <w:rFonts w:ascii="Arial" w:hAnsi="Arial" w:cs="Arial"/>
          <w:b/>
          <w:bCs/>
          <w:sz w:val="18"/>
          <w:szCs w:val="18"/>
        </w:rPr>
        <w:t xml:space="preserve">) was </w:t>
      </w:r>
      <w:r w:rsidR="009C32E4" w:rsidRPr="00594323">
        <w:rPr>
          <w:rFonts w:ascii="Arial" w:hAnsi="Arial" w:cs="Arial"/>
          <w:b/>
          <w:bCs/>
          <w:sz w:val="18"/>
          <w:szCs w:val="18"/>
        </w:rPr>
        <w:t>diagnosed by 2017 NCCN Clinical Practice Guidelines in Oncology</w:t>
      </w:r>
    </w:p>
    <w:p w14:paraId="54452907"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Multiple </w:t>
      </w:r>
      <w:proofErr w:type="spellStart"/>
      <w:proofErr w:type="gramStart"/>
      <w:r w:rsidRPr="00594323">
        <w:rPr>
          <w:rFonts w:ascii="Arial" w:hAnsi="Arial" w:cs="Arial"/>
          <w:kern w:val="2"/>
          <w:sz w:val="18"/>
          <w:szCs w:val="18"/>
        </w:rPr>
        <w:t>Myeloma,Version</w:t>
      </w:r>
      <w:proofErr w:type="spellEnd"/>
      <w:proofErr w:type="gramEnd"/>
      <w:r w:rsidRPr="00594323">
        <w:rPr>
          <w:rFonts w:ascii="Arial" w:hAnsi="Arial" w:cs="Arial"/>
          <w:kern w:val="2"/>
          <w:sz w:val="18"/>
          <w:szCs w:val="18"/>
        </w:rPr>
        <w:t xml:space="preserve"> 3.</w:t>
      </w:r>
      <w:r w:rsidR="009C32E4" w:rsidRPr="00594323">
        <w:rPr>
          <w:rFonts w:ascii="Arial" w:hAnsi="Arial" w:cs="Arial"/>
          <w:kern w:val="2"/>
          <w:sz w:val="18"/>
          <w:szCs w:val="18"/>
        </w:rPr>
        <w:t xml:space="preserve"> </w:t>
      </w:r>
      <w:r w:rsidRPr="00594323">
        <w:rPr>
          <w:rFonts w:ascii="Arial" w:hAnsi="Arial" w:cs="Arial"/>
          <w:kern w:val="2"/>
          <w:sz w:val="18"/>
          <w:szCs w:val="18"/>
        </w:rPr>
        <w:t>2017 NCCN Clinical Practice Guidelines in Oncology</w:t>
      </w:r>
    </w:p>
    <w:p w14:paraId="7C43DAD0"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291E5690" wp14:editId="0BEBAD47">
            <wp:extent cx="5791200" cy="3623945"/>
            <wp:effectExtent l="0" t="0" r="0" b="1460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17"/>
                    <a:stretch>
                      <a:fillRect/>
                    </a:stretch>
                  </pic:blipFill>
                  <pic:spPr>
                    <a:xfrm>
                      <a:off x="0" y="0"/>
                      <a:ext cx="5791200" cy="3623945"/>
                    </a:xfrm>
                    <a:prstGeom prst="rect">
                      <a:avLst/>
                    </a:prstGeom>
                    <a:noFill/>
                    <a:ln w="9525">
                      <a:noFill/>
                    </a:ln>
                  </pic:spPr>
                </pic:pic>
              </a:graphicData>
            </a:graphic>
          </wp:inline>
        </w:drawing>
      </w:r>
    </w:p>
    <w:p w14:paraId="522E65A2" w14:textId="77777777" w:rsidR="00D732C8" w:rsidRPr="00594323" w:rsidRDefault="00D732C8" w:rsidP="00152D91">
      <w:pPr>
        <w:spacing w:line="480" w:lineRule="auto"/>
        <w:rPr>
          <w:rFonts w:ascii="Arial" w:hAnsi="Arial" w:cs="Arial"/>
        </w:rPr>
      </w:pPr>
    </w:p>
    <w:p w14:paraId="58FDCC4B" w14:textId="77777777" w:rsidR="00D732C8" w:rsidRPr="00594323" w:rsidRDefault="009C32E4" w:rsidP="00152D91">
      <w:pPr>
        <w:spacing w:line="480" w:lineRule="auto"/>
        <w:rPr>
          <w:rFonts w:ascii="Arial" w:hAnsi="Arial" w:cs="Arial"/>
          <w:b/>
          <w:bCs/>
          <w:sz w:val="18"/>
          <w:szCs w:val="18"/>
        </w:rPr>
      </w:pPr>
      <w:r w:rsidRPr="00594323">
        <w:rPr>
          <w:rFonts w:ascii="Arial" w:hAnsi="Arial" w:cs="Arial"/>
          <w:b/>
          <w:bCs/>
          <w:sz w:val="18"/>
          <w:szCs w:val="18"/>
        </w:rPr>
        <w:t>Non-</w:t>
      </w:r>
      <w:proofErr w:type="spellStart"/>
      <w:r w:rsidRPr="00594323">
        <w:rPr>
          <w:rFonts w:ascii="Arial" w:hAnsi="Arial" w:cs="Arial"/>
          <w:b/>
          <w:bCs/>
          <w:sz w:val="18"/>
          <w:szCs w:val="18"/>
        </w:rPr>
        <w:t>hodgkin</w:t>
      </w:r>
      <w:proofErr w:type="spellEnd"/>
      <w:r w:rsidRPr="00594323">
        <w:rPr>
          <w:rFonts w:ascii="Arial" w:hAnsi="Arial" w:cs="Arial"/>
          <w:b/>
          <w:bCs/>
          <w:sz w:val="18"/>
          <w:szCs w:val="18"/>
        </w:rPr>
        <w:t xml:space="preserve"> lymphoma (</w:t>
      </w:r>
      <w:r w:rsidR="00F14F91" w:rsidRPr="00594323">
        <w:rPr>
          <w:rFonts w:ascii="Arial" w:hAnsi="Arial" w:cs="Arial"/>
          <w:b/>
          <w:bCs/>
          <w:sz w:val="18"/>
          <w:szCs w:val="18"/>
        </w:rPr>
        <w:t>NHL</w:t>
      </w:r>
      <w:r w:rsidRPr="00594323">
        <w:rPr>
          <w:rFonts w:ascii="Arial" w:hAnsi="Arial" w:cs="Arial"/>
          <w:b/>
          <w:bCs/>
          <w:sz w:val="18"/>
          <w:szCs w:val="18"/>
        </w:rPr>
        <w:t>) was diagnosed by 2015 NCCN Clinical Practice Guidelines in Oncology</w:t>
      </w:r>
    </w:p>
    <w:p w14:paraId="1B934E49"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Non-Hodgkin’s Lymphoma, Version 1.2015 NCCN Clinical Practice Guidelines in Oncology </w:t>
      </w:r>
    </w:p>
    <w:p w14:paraId="7D2F15B7"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lastRenderedPageBreak/>
        <w:drawing>
          <wp:inline distT="0" distB="0" distL="114300" distR="114300" wp14:anchorId="6B6343E6" wp14:editId="5A30B6DB">
            <wp:extent cx="5745480" cy="3481705"/>
            <wp:effectExtent l="0" t="0" r="7620" b="444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8"/>
                    <a:stretch>
                      <a:fillRect/>
                    </a:stretch>
                  </pic:blipFill>
                  <pic:spPr>
                    <a:xfrm>
                      <a:off x="0" y="0"/>
                      <a:ext cx="5745480" cy="3481705"/>
                    </a:xfrm>
                    <a:prstGeom prst="rect">
                      <a:avLst/>
                    </a:prstGeom>
                    <a:noFill/>
                    <a:ln w="9525">
                      <a:noFill/>
                    </a:ln>
                  </pic:spPr>
                </pic:pic>
              </a:graphicData>
            </a:graphic>
          </wp:inline>
        </w:drawing>
      </w:r>
    </w:p>
    <w:p w14:paraId="12610D76" w14:textId="77777777" w:rsidR="00D732C8" w:rsidRPr="00594323" w:rsidRDefault="00D732C8" w:rsidP="00152D91">
      <w:pPr>
        <w:spacing w:line="480" w:lineRule="auto"/>
        <w:rPr>
          <w:rFonts w:ascii="Arial" w:hAnsi="Arial" w:cs="Arial"/>
          <w:b/>
          <w:bCs/>
          <w:szCs w:val="21"/>
        </w:rPr>
      </w:pPr>
    </w:p>
    <w:p w14:paraId="304E24A3" w14:textId="77777777" w:rsidR="00D732C8" w:rsidRPr="00594323" w:rsidRDefault="00F14F91" w:rsidP="00152D91">
      <w:pPr>
        <w:spacing w:line="480" w:lineRule="auto"/>
        <w:rPr>
          <w:rFonts w:ascii="Arial" w:hAnsi="Arial" w:cs="Arial"/>
          <w:b/>
          <w:bCs/>
          <w:szCs w:val="21"/>
        </w:rPr>
      </w:pPr>
      <w:r w:rsidRPr="00594323">
        <w:rPr>
          <w:rFonts w:ascii="Arial" w:hAnsi="Arial" w:cs="Arial"/>
          <w:noProof/>
        </w:rPr>
        <w:lastRenderedPageBreak/>
        <w:drawing>
          <wp:inline distT="0" distB="0" distL="114300" distR="114300" wp14:anchorId="19E3C368" wp14:editId="51CC2A12">
            <wp:extent cx="5273040" cy="3655060"/>
            <wp:effectExtent l="0" t="0" r="3810" b="2540"/>
            <wp:docPr id="3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5"/>
                    <pic:cNvPicPr>
                      <a:picLocks noChangeAspect="1"/>
                    </pic:cNvPicPr>
                  </pic:nvPicPr>
                  <pic:blipFill>
                    <a:blip r:embed="rId19"/>
                    <a:stretch>
                      <a:fillRect/>
                    </a:stretch>
                  </pic:blipFill>
                  <pic:spPr>
                    <a:xfrm>
                      <a:off x="0" y="0"/>
                      <a:ext cx="5273040" cy="3655060"/>
                    </a:xfrm>
                    <a:prstGeom prst="rect">
                      <a:avLst/>
                    </a:prstGeom>
                    <a:noFill/>
                    <a:ln w="9525">
                      <a:noFill/>
                    </a:ln>
                  </pic:spPr>
                </pic:pic>
              </a:graphicData>
            </a:graphic>
          </wp:inline>
        </w:drawing>
      </w:r>
    </w:p>
    <w:p w14:paraId="40E0409B" w14:textId="77777777" w:rsidR="00D732C8" w:rsidRPr="00594323" w:rsidRDefault="00D732C8" w:rsidP="00152D91">
      <w:pPr>
        <w:spacing w:line="480" w:lineRule="auto"/>
        <w:rPr>
          <w:rFonts w:ascii="Arial" w:hAnsi="Arial" w:cs="Arial"/>
          <w:b/>
          <w:bCs/>
          <w:szCs w:val="21"/>
        </w:rPr>
      </w:pPr>
    </w:p>
    <w:p w14:paraId="761B4768"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2076E4B5" wp14:editId="0C30CA60">
            <wp:extent cx="5269230" cy="3600450"/>
            <wp:effectExtent l="0" t="0" r="7620" b="0"/>
            <wp:docPr id="3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8"/>
                    <pic:cNvPicPr>
                      <a:picLocks noChangeAspect="1"/>
                    </pic:cNvPicPr>
                  </pic:nvPicPr>
                  <pic:blipFill>
                    <a:blip r:embed="rId20"/>
                    <a:stretch>
                      <a:fillRect/>
                    </a:stretch>
                  </pic:blipFill>
                  <pic:spPr>
                    <a:xfrm>
                      <a:off x="0" y="0"/>
                      <a:ext cx="5269230" cy="3600450"/>
                    </a:xfrm>
                    <a:prstGeom prst="rect">
                      <a:avLst/>
                    </a:prstGeom>
                    <a:noFill/>
                    <a:ln w="9525">
                      <a:noFill/>
                    </a:ln>
                  </pic:spPr>
                </pic:pic>
              </a:graphicData>
            </a:graphic>
          </wp:inline>
        </w:drawing>
      </w:r>
    </w:p>
    <w:p w14:paraId="0F8F5D77"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46D07774" wp14:editId="468367EB">
            <wp:extent cx="5271770" cy="3625850"/>
            <wp:effectExtent l="0" t="0" r="5080" b="12700"/>
            <wp:docPr id="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9"/>
                    <pic:cNvPicPr>
                      <a:picLocks noChangeAspect="1"/>
                    </pic:cNvPicPr>
                  </pic:nvPicPr>
                  <pic:blipFill>
                    <a:blip r:embed="rId21"/>
                    <a:stretch>
                      <a:fillRect/>
                    </a:stretch>
                  </pic:blipFill>
                  <pic:spPr>
                    <a:xfrm>
                      <a:off x="0" y="0"/>
                      <a:ext cx="5271770" cy="3625850"/>
                    </a:xfrm>
                    <a:prstGeom prst="rect">
                      <a:avLst/>
                    </a:prstGeom>
                    <a:noFill/>
                    <a:ln w="9525">
                      <a:noFill/>
                    </a:ln>
                  </pic:spPr>
                </pic:pic>
              </a:graphicData>
            </a:graphic>
          </wp:inline>
        </w:drawing>
      </w:r>
    </w:p>
    <w:p w14:paraId="0A015B4D" w14:textId="77777777" w:rsidR="00D732C8" w:rsidRPr="00594323" w:rsidRDefault="00D732C8" w:rsidP="00152D91">
      <w:pPr>
        <w:spacing w:line="480" w:lineRule="auto"/>
        <w:rPr>
          <w:rFonts w:ascii="Arial" w:hAnsi="Arial" w:cs="Arial"/>
        </w:rPr>
      </w:pPr>
    </w:p>
    <w:p w14:paraId="71184DDF"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3A3686DA" wp14:editId="58E022EC">
            <wp:extent cx="5270500" cy="3595370"/>
            <wp:effectExtent l="0" t="0" r="6350" b="5080"/>
            <wp:docPr id="3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0"/>
                    <pic:cNvPicPr>
                      <a:picLocks noChangeAspect="1"/>
                    </pic:cNvPicPr>
                  </pic:nvPicPr>
                  <pic:blipFill>
                    <a:blip r:embed="rId22"/>
                    <a:stretch>
                      <a:fillRect/>
                    </a:stretch>
                  </pic:blipFill>
                  <pic:spPr>
                    <a:xfrm>
                      <a:off x="0" y="0"/>
                      <a:ext cx="5270500" cy="3595370"/>
                    </a:xfrm>
                    <a:prstGeom prst="rect">
                      <a:avLst/>
                    </a:prstGeom>
                    <a:noFill/>
                    <a:ln w="9525">
                      <a:noFill/>
                    </a:ln>
                  </pic:spPr>
                </pic:pic>
              </a:graphicData>
            </a:graphic>
          </wp:inline>
        </w:drawing>
      </w:r>
    </w:p>
    <w:p w14:paraId="4C7046FE" w14:textId="77777777" w:rsidR="00D732C8" w:rsidRPr="00594323" w:rsidRDefault="00D732C8" w:rsidP="00152D91">
      <w:pPr>
        <w:spacing w:line="480" w:lineRule="auto"/>
        <w:rPr>
          <w:rFonts w:ascii="Arial" w:hAnsi="Arial" w:cs="Arial"/>
        </w:rPr>
      </w:pPr>
    </w:p>
    <w:p w14:paraId="0A60562B"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29A8ADC0" wp14:editId="471E5573">
            <wp:extent cx="5272405" cy="3617595"/>
            <wp:effectExtent l="0" t="0" r="4445" b="1905"/>
            <wp:docPr id="3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1"/>
                    <pic:cNvPicPr>
                      <a:picLocks noChangeAspect="1"/>
                    </pic:cNvPicPr>
                  </pic:nvPicPr>
                  <pic:blipFill>
                    <a:blip r:embed="rId23"/>
                    <a:stretch>
                      <a:fillRect/>
                    </a:stretch>
                  </pic:blipFill>
                  <pic:spPr>
                    <a:xfrm>
                      <a:off x="0" y="0"/>
                      <a:ext cx="5272405" cy="3617595"/>
                    </a:xfrm>
                    <a:prstGeom prst="rect">
                      <a:avLst/>
                    </a:prstGeom>
                    <a:noFill/>
                    <a:ln w="9525">
                      <a:noFill/>
                    </a:ln>
                  </pic:spPr>
                </pic:pic>
              </a:graphicData>
            </a:graphic>
          </wp:inline>
        </w:drawing>
      </w:r>
    </w:p>
    <w:p w14:paraId="2CD66592" w14:textId="77777777" w:rsidR="00D732C8" w:rsidRPr="00594323" w:rsidRDefault="00D732C8" w:rsidP="00152D91">
      <w:pPr>
        <w:spacing w:line="480" w:lineRule="auto"/>
        <w:rPr>
          <w:rFonts w:ascii="Arial" w:hAnsi="Arial" w:cs="Arial"/>
        </w:rPr>
      </w:pPr>
    </w:p>
    <w:p w14:paraId="3803637D"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71C0E72E" wp14:editId="1071B7B7">
            <wp:extent cx="5271770" cy="3618865"/>
            <wp:effectExtent l="0" t="0" r="5080" b="635"/>
            <wp:docPr id="4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2"/>
                    <pic:cNvPicPr>
                      <a:picLocks noChangeAspect="1"/>
                    </pic:cNvPicPr>
                  </pic:nvPicPr>
                  <pic:blipFill>
                    <a:blip r:embed="rId24"/>
                    <a:stretch>
                      <a:fillRect/>
                    </a:stretch>
                  </pic:blipFill>
                  <pic:spPr>
                    <a:xfrm>
                      <a:off x="0" y="0"/>
                      <a:ext cx="5271770" cy="3618865"/>
                    </a:xfrm>
                    <a:prstGeom prst="rect">
                      <a:avLst/>
                    </a:prstGeom>
                    <a:noFill/>
                    <a:ln w="9525">
                      <a:noFill/>
                    </a:ln>
                  </pic:spPr>
                </pic:pic>
              </a:graphicData>
            </a:graphic>
          </wp:inline>
        </w:drawing>
      </w:r>
    </w:p>
    <w:p w14:paraId="750C76E4" w14:textId="77777777" w:rsidR="00D732C8" w:rsidRPr="00594323" w:rsidRDefault="00D732C8" w:rsidP="00152D91">
      <w:pPr>
        <w:spacing w:line="480" w:lineRule="auto"/>
        <w:rPr>
          <w:rFonts w:ascii="Arial" w:hAnsi="Arial" w:cs="Arial"/>
        </w:rPr>
      </w:pPr>
    </w:p>
    <w:p w14:paraId="7A3A09C7"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75A19F73" wp14:editId="546EF2EA">
            <wp:extent cx="5273040" cy="3608705"/>
            <wp:effectExtent l="0" t="0" r="3810" b="10795"/>
            <wp:docPr id="4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3"/>
                    <pic:cNvPicPr>
                      <a:picLocks noChangeAspect="1"/>
                    </pic:cNvPicPr>
                  </pic:nvPicPr>
                  <pic:blipFill>
                    <a:blip r:embed="rId25"/>
                    <a:stretch>
                      <a:fillRect/>
                    </a:stretch>
                  </pic:blipFill>
                  <pic:spPr>
                    <a:xfrm>
                      <a:off x="0" y="0"/>
                      <a:ext cx="5273040" cy="3608705"/>
                    </a:xfrm>
                    <a:prstGeom prst="rect">
                      <a:avLst/>
                    </a:prstGeom>
                    <a:noFill/>
                    <a:ln w="9525">
                      <a:noFill/>
                    </a:ln>
                  </pic:spPr>
                </pic:pic>
              </a:graphicData>
            </a:graphic>
          </wp:inline>
        </w:drawing>
      </w:r>
    </w:p>
    <w:p w14:paraId="1F96085D" w14:textId="77777777" w:rsidR="00D732C8" w:rsidRPr="00594323" w:rsidRDefault="00D732C8" w:rsidP="00152D91">
      <w:pPr>
        <w:spacing w:line="480" w:lineRule="auto"/>
        <w:rPr>
          <w:rFonts w:ascii="Arial" w:hAnsi="Arial" w:cs="Arial"/>
        </w:rPr>
      </w:pPr>
    </w:p>
    <w:p w14:paraId="59CB8F02"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3F69E9D4" wp14:editId="5D3C364B">
            <wp:extent cx="5267960" cy="3615055"/>
            <wp:effectExtent l="0" t="0" r="8890" b="4445"/>
            <wp:docPr id="4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5"/>
                    <pic:cNvPicPr>
                      <a:picLocks noChangeAspect="1"/>
                    </pic:cNvPicPr>
                  </pic:nvPicPr>
                  <pic:blipFill>
                    <a:blip r:embed="rId26"/>
                    <a:stretch>
                      <a:fillRect/>
                    </a:stretch>
                  </pic:blipFill>
                  <pic:spPr>
                    <a:xfrm>
                      <a:off x="0" y="0"/>
                      <a:ext cx="5267960" cy="3615055"/>
                    </a:xfrm>
                    <a:prstGeom prst="rect">
                      <a:avLst/>
                    </a:prstGeom>
                    <a:noFill/>
                    <a:ln w="9525">
                      <a:noFill/>
                    </a:ln>
                  </pic:spPr>
                </pic:pic>
              </a:graphicData>
            </a:graphic>
          </wp:inline>
        </w:drawing>
      </w:r>
    </w:p>
    <w:p w14:paraId="713A148B" w14:textId="77777777" w:rsidR="00D732C8" w:rsidRPr="00594323" w:rsidRDefault="00D732C8" w:rsidP="00152D91">
      <w:pPr>
        <w:spacing w:line="480" w:lineRule="auto"/>
        <w:rPr>
          <w:rFonts w:ascii="Arial" w:hAnsi="Arial" w:cs="Arial"/>
        </w:rPr>
      </w:pPr>
    </w:p>
    <w:p w14:paraId="5C330A03"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69FBB1A3" wp14:editId="77DAA49C">
            <wp:extent cx="5273040" cy="3636010"/>
            <wp:effectExtent l="0" t="0" r="3810" b="2540"/>
            <wp:docPr id="4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7"/>
                    <pic:cNvPicPr>
                      <a:picLocks noChangeAspect="1"/>
                    </pic:cNvPicPr>
                  </pic:nvPicPr>
                  <pic:blipFill>
                    <a:blip r:embed="rId27"/>
                    <a:stretch>
                      <a:fillRect/>
                    </a:stretch>
                  </pic:blipFill>
                  <pic:spPr>
                    <a:xfrm>
                      <a:off x="0" y="0"/>
                      <a:ext cx="5273040" cy="3636010"/>
                    </a:xfrm>
                    <a:prstGeom prst="rect">
                      <a:avLst/>
                    </a:prstGeom>
                    <a:noFill/>
                    <a:ln w="9525">
                      <a:noFill/>
                    </a:ln>
                  </pic:spPr>
                </pic:pic>
              </a:graphicData>
            </a:graphic>
          </wp:inline>
        </w:drawing>
      </w:r>
    </w:p>
    <w:p w14:paraId="2D13F620" w14:textId="77777777" w:rsidR="00D732C8" w:rsidRPr="00594323" w:rsidRDefault="00D732C8" w:rsidP="00152D91">
      <w:pPr>
        <w:spacing w:line="480" w:lineRule="auto"/>
        <w:rPr>
          <w:rFonts w:ascii="Arial" w:hAnsi="Arial" w:cs="Arial"/>
        </w:rPr>
      </w:pPr>
    </w:p>
    <w:p w14:paraId="71D5E5B7"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19E9F22E" wp14:editId="3EFC8BC7">
            <wp:extent cx="5270500" cy="2917190"/>
            <wp:effectExtent l="0" t="0" r="6350" b="16510"/>
            <wp:docPr id="46"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8"/>
                    <pic:cNvPicPr>
                      <a:picLocks noChangeAspect="1"/>
                    </pic:cNvPicPr>
                  </pic:nvPicPr>
                  <pic:blipFill>
                    <a:blip r:embed="rId28"/>
                    <a:stretch>
                      <a:fillRect/>
                    </a:stretch>
                  </pic:blipFill>
                  <pic:spPr>
                    <a:xfrm>
                      <a:off x="0" y="0"/>
                      <a:ext cx="5270500" cy="2917190"/>
                    </a:xfrm>
                    <a:prstGeom prst="rect">
                      <a:avLst/>
                    </a:prstGeom>
                    <a:noFill/>
                    <a:ln w="9525">
                      <a:noFill/>
                    </a:ln>
                  </pic:spPr>
                </pic:pic>
              </a:graphicData>
            </a:graphic>
          </wp:inline>
        </w:drawing>
      </w:r>
    </w:p>
    <w:p w14:paraId="35DA913F" w14:textId="77777777" w:rsidR="00D732C8" w:rsidRPr="00594323" w:rsidRDefault="00D732C8" w:rsidP="00152D91">
      <w:pPr>
        <w:spacing w:line="480" w:lineRule="auto"/>
        <w:rPr>
          <w:rFonts w:ascii="Arial" w:hAnsi="Arial" w:cs="Arial"/>
        </w:rPr>
      </w:pPr>
    </w:p>
    <w:p w14:paraId="1D02E9CB"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798B2C8D" wp14:editId="6B392690">
            <wp:extent cx="5267960" cy="3576955"/>
            <wp:effectExtent l="0" t="0" r="8890" b="4445"/>
            <wp:docPr id="4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9"/>
                    <pic:cNvPicPr>
                      <a:picLocks noChangeAspect="1"/>
                    </pic:cNvPicPr>
                  </pic:nvPicPr>
                  <pic:blipFill>
                    <a:blip r:embed="rId29"/>
                    <a:stretch>
                      <a:fillRect/>
                    </a:stretch>
                  </pic:blipFill>
                  <pic:spPr>
                    <a:xfrm>
                      <a:off x="0" y="0"/>
                      <a:ext cx="5267960" cy="3576955"/>
                    </a:xfrm>
                    <a:prstGeom prst="rect">
                      <a:avLst/>
                    </a:prstGeom>
                    <a:noFill/>
                    <a:ln w="9525">
                      <a:noFill/>
                    </a:ln>
                  </pic:spPr>
                </pic:pic>
              </a:graphicData>
            </a:graphic>
          </wp:inline>
        </w:drawing>
      </w:r>
    </w:p>
    <w:p w14:paraId="13CFC44D" w14:textId="77777777" w:rsidR="00D732C8" w:rsidRPr="00594323" w:rsidRDefault="00D732C8" w:rsidP="00152D91">
      <w:pPr>
        <w:spacing w:line="480" w:lineRule="auto"/>
        <w:rPr>
          <w:rFonts w:ascii="Arial" w:hAnsi="Arial" w:cs="Arial"/>
        </w:rPr>
      </w:pPr>
    </w:p>
    <w:p w14:paraId="24AA7040"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0A896092" wp14:editId="534A7710">
            <wp:extent cx="5270500" cy="2849245"/>
            <wp:effectExtent l="0" t="0" r="6350" b="8255"/>
            <wp:docPr id="48"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0"/>
                    <pic:cNvPicPr>
                      <a:picLocks noChangeAspect="1"/>
                    </pic:cNvPicPr>
                  </pic:nvPicPr>
                  <pic:blipFill>
                    <a:blip r:embed="rId30"/>
                    <a:stretch>
                      <a:fillRect/>
                    </a:stretch>
                  </pic:blipFill>
                  <pic:spPr>
                    <a:xfrm>
                      <a:off x="0" y="0"/>
                      <a:ext cx="5270500" cy="2849245"/>
                    </a:xfrm>
                    <a:prstGeom prst="rect">
                      <a:avLst/>
                    </a:prstGeom>
                    <a:noFill/>
                    <a:ln w="9525">
                      <a:noFill/>
                    </a:ln>
                  </pic:spPr>
                </pic:pic>
              </a:graphicData>
            </a:graphic>
          </wp:inline>
        </w:drawing>
      </w:r>
    </w:p>
    <w:p w14:paraId="39A11C85"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6AC6793A" wp14:editId="5B258CCC">
            <wp:extent cx="5270500" cy="3569970"/>
            <wp:effectExtent l="0" t="0" r="6350" b="11430"/>
            <wp:docPr id="50"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2"/>
                    <pic:cNvPicPr>
                      <a:picLocks noChangeAspect="1"/>
                    </pic:cNvPicPr>
                  </pic:nvPicPr>
                  <pic:blipFill>
                    <a:blip r:embed="rId31"/>
                    <a:stretch>
                      <a:fillRect/>
                    </a:stretch>
                  </pic:blipFill>
                  <pic:spPr>
                    <a:xfrm>
                      <a:off x="0" y="0"/>
                      <a:ext cx="5270500" cy="3569970"/>
                    </a:xfrm>
                    <a:prstGeom prst="rect">
                      <a:avLst/>
                    </a:prstGeom>
                    <a:noFill/>
                    <a:ln w="9525">
                      <a:noFill/>
                    </a:ln>
                  </pic:spPr>
                </pic:pic>
              </a:graphicData>
            </a:graphic>
          </wp:inline>
        </w:drawing>
      </w:r>
    </w:p>
    <w:p w14:paraId="74CFE8EA" w14:textId="77777777" w:rsidR="00D732C8" w:rsidRPr="00594323" w:rsidRDefault="00D732C8" w:rsidP="00152D91">
      <w:pPr>
        <w:spacing w:line="480" w:lineRule="auto"/>
        <w:rPr>
          <w:rFonts w:ascii="Arial" w:hAnsi="Arial" w:cs="Arial"/>
          <w:b/>
          <w:bCs/>
          <w:szCs w:val="21"/>
        </w:rPr>
      </w:pPr>
    </w:p>
    <w:p w14:paraId="6727479A" w14:textId="77777777" w:rsidR="00D732C8" w:rsidRPr="00594323" w:rsidRDefault="009C32E4" w:rsidP="00152D91">
      <w:pPr>
        <w:spacing w:line="480" w:lineRule="auto"/>
        <w:rPr>
          <w:rFonts w:ascii="Arial" w:hAnsi="Arial" w:cs="Arial"/>
          <w:b/>
          <w:bCs/>
          <w:sz w:val="21"/>
          <w:szCs w:val="21"/>
        </w:rPr>
      </w:pPr>
      <w:r w:rsidRPr="00594323">
        <w:rPr>
          <w:rFonts w:ascii="Arial" w:hAnsi="Arial" w:cs="Arial"/>
          <w:b/>
          <w:bCs/>
          <w:sz w:val="21"/>
          <w:szCs w:val="21"/>
        </w:rPr>
        <w:t>Plasma cell leukemia (</w:t>
      </w:r>
      <w:r w:rsidR="00F14F91" w:rsidRPr="00594323">
        <w:rPr>
          <w:rFonts w:ascii="Arial" w:hAnsi="Arial" w:cs="Arial"/>
          <w:b/>
          <w:bCs/>
          <w:sz w:val="21"/>
          <w:szCs w:val="21"/>
        </w:rPr>
        <w:t>PCL</w:t>
      </w:r>
      <w:r w:rsidRPr="00594323">
        <w:rPr>
          <w:rFonts w:ascii="Arial" w:hAnsi="Arial" w:cs="Arial"/>
          <w:b/>
          <w:bCs/>
          <w:sz w:val="21"/>
          <w:szCs w:val="21"/>
        </w:rPr>
        <w:t xml:space="preserve">) was diagnosed by the </w:t>
      </w:r>
      <w:r w:rsidRPr="00594323">
        <w:rPr>
          <w:rFonts w:ascii="Arial" w:hAnsi="Arial" w:cs="Arial"/>
          <w:b/>
          <w:bCs/>
          <w:kern w:val="2"/>
          <w:sz w:val="21"/>
          <w:szCs w:val="21"/>
        </w:rPr>
        <w:t>recommendations of IMWG</w:t>
      </w:r>
    </w:p>
    <w:p w14:paraId="68F2BCAE"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De </w:t>
      </w:r>
      <w:proofErr w:type="spellStart"/>
      <w:r w:rsidRPr="00594323">
        <w:rPr>
          <w:rFonts w:ascii="Arial" w:hAnsi="Arial" w:cs="Arial"/>
          <w:kern w:val="2"/>
          <w:sz w:val="18"/>
          <w:szCs w:val="18"/>
        </w:rPr>
        <w:t>Larrea</w:t>
      </w:r>
      <w:proofErr w:type="spellEnd"/>
      <w:r w:rsidRPr="00594323">
        <w:rPr>
          <w:rFonts w:ascii="Arial" w:hAnsi="Arial" w:cs="Arial"/>
          <w:kern w:val="2"/>
          <w:sz w:val="18"/>
          <w:szCs w:val="18"/>
        </w:rPr>
        <w:t xml:space="preserve"> CF, Kyle RA, Durie BGM, Ludwig H, </w:t>
      </w:r>
      <w:proofErr w:type="spellStart"/>
      <w:r w:rsidRPr="00594323">
        <w:rPr>
          <w:rFonts w:ascii="Arial" w:hAnsi="Arial" w:cs="Arial"/>
          <w:kern w:val="2"/>
          <w:sz w:val="18"/>
          <w:szCs w:val="18"/>
        </w:rPr>
        <w:t>Usmani</w:t>
      </w:r>
      <w:proofErr w:type="spellEnd"/>
      <w:r w:rsidRPr="00594323">
        <w:rPr>
          <w:rFonts w:ascii="Arial" w:hAnsi="Arial" w:cs="Arial"/>
          <w:kern w:val="2"/>
          <w:sz w:val="18"/>
          <w:szCs w:val="18"/>
        </w:rPr>
        <w:t xml:space="preserve"> S, </w:t>
      </w:r>
      <w:proofErr w:type="spellStart"/>
      <w:r w:rsidRPr="00594323">
        <w:rPr>
          <w:rFonts w:ascii="Arial" w:hAnsi="Arial" w:cs="Arial"/>
          <w:kern w:val="2"/>
          <w:sz w:val="18"/>
          <w:szCs w:val="18"/>
        </w:rPr>
        <w:t>Vesole</w:t>
      </w:r>
      <w:proofErr w:type="spellEnd"/>
      <w:r w:rsidRPr="00594323">
        <w:rPr>
          <w:rFonts w:ascii="Arial" w:hAnsi="Arial" w:cs="Arial"/>
          <w:kern w:val="2"/>
          <w:sz w:val="18"/>
          <w:szCs w:val="18"/>
        </w:rPr>
        <w:t xml:space="preserve"> DH, et al. Plasma cell leukemia: consensus statement on diagnostic requirements, response criteria, and treatment recommendations by the International Myeloma Working Group (IMWG). Leukemia. </w:t>
      </w:r>
      <w:proofErr w:type="gramStart"/>
      <w:r w:rsidRPr="00594323">
        <w:rPr>
          <w:rFonts w:ascii="Arial" w:hAnsi="Arial" w:cs="Arial"/>
          <w:kern w:val="2"/>
          <w:sz w:val="18"/>
          <w:szCs w:val="18"/>
        </w:rPr>
        <w:t>2013;27:780</w:t>
      </w:r>
      <w:proofErr w:type="gramEnd"/>
      <w:r w:rsidRPr="00594323">
        <w:rPr>
          <w:rFonts w:ascii="Arial" w:hAnsi="Arial" w:cs="Arial"/>
          <w:kern w:val="2"/>
          <w:sz w:val="18"/>
          <w:szCs w:val="18"/>
        </w:rPr>
        <w:t>–91.</w:t>
      </w:r>
    </w:p>
    <w:p w14:paraId="433D41F7"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lastRenderedPageBreak/>
        <w:t>The original diagnostic criteria of PCL were established in 1974 by Noel and Kyle, requiring both more than 20% circulating plasma cells and an absolute count greater than 2*10</w:t>
      </w:r>
      <w:r w:rsidRPr="00594323">
        <w:rPr>
          <w:rFonts w:ascii="Arial" w:eastAsia="宋体" w:hAnsi="Arial" w:cs="Arial"/>
          <w:kern w:val="2"/>
          <w:sz w:val="18"/>
          <w:szCs w:val="18"/>
        </w:rPr>
        <w:t>^</w:t>
      </w:r>
      <w:r w:rsidRPr="00594323">
        <w:rPr>
          <w:rFonts w:ascii="Arial" w:hAnsi="Arial" w:cs="Arial"/>
          <w:kern w:val="2"/>
          <w:sz w:val="18"/>
          <w:szCs w:val="18"/>
        </w:rPr>
        <w:t>9/L plasma cells in peripheral blood.</w:t>
      </w:r>
    </w:p>
    <w:p w14:paraId="20188A02" w14:textId="77777777" w:rsidR="00D732C8" w:rsidRPr="00594323" w:rsidRDefault="00D732C8" w:rsidP="00152D91">
      <w:pPr>
        <w:spacing w:line="480" w:lineRule="auto"/>
        <w:rPr>
          <w:rFonts w:ascii="Arial" w:hAnsi="Arial" w:cs="Arial"/>
          <w:kern w:val="2"/>
          <w:sz w:val="18"/>
          <w:szCs w:val="18"/>
        </w:rPr>
      </w:pPr>
    </w:p>
    <w:p w14:paraId="68732A11" w14:textId="77777777" w:rsidR="00D732C8" w:rsidRPr="00594323" w:rsidRDefault="00F14F91" w:rsidP="00152D91">
      <w:pPr>
        <w:spacing w:line="480" w:lineRule="auto"/>
        <w:rPr>
          <w:rFonts w:ascii="Arial" w:hAnsi="Arial" w:cs="Arial"/>
          <w:b/>
          <w:bCs/>
          <w:sz w:val="18"/>
          <w:szCs w:val="18"/>
        </w:rPr>
      </w:pPr>
      <w:r w:rsidRPr="00594323">
        <w:rPr>
          <w:rFonts w:ascii="Arial" w:hAnsi="Arial" w:cs="Arial"/>
          <w:b/>
          <w:bCs/>
          <w:sz w:val="18"/>
          <w:szCs w:val="18"/>
        </w:rPr>
        <w:t>POEMS</w:t>
      </w:r>
      <w:r w:rsidR="009C32E4" w:rsidRPr="00594323">
        <w:rPr>
          <w:rFonts w:ascii="Arial" w:hAnsi="Arial" w:cs="Arial"/>
          <w:b/>
          <w:bCs/>
          <w:sz w:val="18"/>
          <w:szCs w:val="18"/>
        </w:rPr>
        <w:t xml:space="preserve"> was diagnosed by </w:t>
      </w:r>
      <w:r w:rsidR="009C32E4" w:rsidRPr="00594323">
        <w:rPr>
          <w:rFonts w:ascii="Arial" w:hAnsi="Arial" w:cs="Arial"/>
          <w:b/>
          <w:bCs/>
          <w:kern w:val="2"/>
          <w:sz w:val="18"/>
          <w:szCs w:val="18"/>
        </w:rPr>
        <w:t>2017 Update on diagnosis, risk stratification, and management of POEMS syndrome</w:t>
      </w:r>
    </w:p>
    <w:p w14:paraId="2521C8FC" w14:textId="77777777" w:rsidR="00D732C8" w:rsidRPr="00594323" w:rsidRDefault="00F14F91" w:rsidP="00152D91">
      <w:pPr>
        <w:pStyle w:val="1"/>
        <w:shd w:val="clear" w:color="auto" w:fill="FFFFFF"/>
        <w:spacing w:before="105" w:beforeAutospacing="0" w:after="105" w:afterAutospacing="0" w:line="480" w:lineRule="auto"/>
        <w:rPr>
          <w:rFonts w:ascii="Arial" w:eastAsiaTheme="minorEastAsia" w:hAnsi="Arial" w:cs="Arial" w:hint="default"/>
          <w:b w:val="0"/>
          <w:kern w:val="2"/>
          <w:sz w:val="18"/>
          <w:szCs w:val="18"/>
        </w:rPr>
      </w:pPr>
      <w:r w:rsidRPr="00594323">
        <w:rPr>
          <w:rFonts w:ascii="Arial" w:eastAsiaTheme="minorEastAsia" w:hAnsi="Arial" w:cs="Arial" w:hint="default"/>
          <w:b w:val="0"/>
          <w:kern w:val="2"/>
          <w:sz w:val="18"/>
          <w:szCs w:val="18"/>
        </w:rPr>
        <w:t xml:space="preserve">POEMS syndrome: 2017 Update on diagnosis, risk stratification, and management. </w:t>
      </w:r>
      <w:hyperlink r:id="rId32" w:tooltip="American journal of hematology." w:history="1">
        <w:r w:rsidRPr="00594323">
          <w:rPr>
            <w:rFonts w:ascii="Arial" w:eastAsiaTheme="minorEastAsia" w:hAnsi="Arial" w:cs="Arial" w:hint="default"/>
            <w:b w:val="0"/>
            <w:kern w:val="2"/>
            <w:sz w:val="18"/>
            <w:szCs w:val="18"/>
          </w:rPr>
          <w:t>Am J Hematol.</w:t>
        </w:r>
      </w:hyperlink>
      <w:r w:rsidRPr="00594323">
        <w:rPr>
          <w:rFonts w:ascii="Arial" w:eastAsiaTheme="minorEastAsia" w:hAnsi="Arial" w:cs="Arial" w:hint="default"/>
          <w:b w:val="0"/>
          <w:kern w:val="2"/>
          <w:sz w:val="18"/>
          <w:szCs w:val="18"/>
        </w:rPr>
        <w:t> 2017 Aug;92(8):814-829.</w:t>
      </w:r>
    </w:p>
    <w:p w14:paraId="1C283A39"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4A974926" wp14:editId="28DE04E2">
            <wp:extent cx="5787390" cy="3534410"/>
            <wp:effectExtent l="0" t="0" r="3810" b="889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33"/>
                    <a:stretch>
                      <a:fillRect/>
                    </a:stretch>
                  </pic:blipFill>
                  <pic:spPr>
                    <a:xfrm>
                      <a:off x="0" y="0"/>
                      <a:ext cx="5787390" cy="3534410"/>
                    </a:xfrm>
                    <a:prstGeom prst="rect">
                      <a:avLst/>
                    </a:prstGeom>
                    <a:noFill/>
                    <a:ln w="9525">
                      <a:noFill/>
                    </a:ln>
                  </pic:spPr>
                </pic:pic>
              </a:graphicData>
            </a:graphic>
          </wp:inline>
        </w:drawing>
      </w:r>
    </w:p>
    <w:p w14:paraId="4E4E6BE8" w14:textId="77777777" w:rsidR="00D732C8" w:rsidRPr="00594323" w:rsidRDefault="00D732C8" w:rsidP="00152D91">
      <w:pPr>
        <w:spacing w:line="480" w:lineRule="auto"/>
        <w:rPr>
          <w:rFonts w:ascii="Arial" w:hAnsi="Arial" w:cs="Arial"/>
          <w:b/>
          <w:bCs/>
          <w:szCs w:val="21"/>
        </w:rPr>
      </w:pPr>
    </w:p>
    <w:p w14:paraId="318E7CE6" w14:textId="77777777" w:rsidR="00D732C8" w:rsidRPr="00594323" w:rsidRDefault="009C32E4" w:rsidP="00152D91">
      <w:pPr>
        <w:spacing w:line="480" w:lineRule="auto"/>
        <w:rPr>
          <w:rFonts w:ascii="Arial" w:hAnsi="Arial" w:cs="Arial"/>
          <w:b/>
          <w:bCs/>
          <w:sz w:val="18"/>
          <w:szCs w:val="18"/>
        </w:rPr>
      </w:pPr>
      <w:proofErr w:type="spellStart"/>
      <w:r w:rsidRPr="00594323">
        <w:rPr>
          <w:rFonts w:ascii="Arial" w:hAnsi="Arial" w:cs="Arial"/>
          <w:b/>
          <w:bCs/>
          <w:sz w:val="18"/>
          <w:szCs w:val="18"/>
        </w:rPr>
        <w:t>Waldenstrom</w:t>
      </w:r>
      <w:proofErr w:type="spellEnd"/>
      <w:r w:rsidRPr="00594323">
        <w:rPr>
          <w:rFonts w:ascii="Arial" w:hAnsi="Arial" w:cs="Arial"/>
          <w:b/>
          <w:bCs/>
          <w:sz w:val="18"/>
          <w:szCs w:val="18"/>
        </w:rPr>
        <w:t xml:space="preserve"> macroglobulinemia (</w:t>
      </w:r>
      <w:r w:rsidR="00F14F91" w:rsidRPr="00594323">
        <w:rPr>
          <w:rFonts w:ascii="Arial" w:hAnsi="Arial" w:cs="Arial"/>
          <w:b/>
          <w:bCs/>
          <w:sz w:val="18"/>
          <w:szCs w:val="18"/>
        </w:rPr>
        <w:t>WM</w:t>
      </w:r>
      <w:r w:rsidRPr="00594323">
        <w:rPr>
          <w:rFonts w:ascii="Arial" w:hAnsi="Arial" w:cs="Arial"/>
          <w:b/>
          <w:bCs/>
          <w:sz w:val="18"/>
          <w:szCs w:val="18"/>
        </w:rPr>
        <w:t>) was diagnosed by the latest Chinese guideline</w:t>
      </w:r>
    </w:p>
    <w:p w14:paraId="425A4052" w14:textId="77777777" w:rsidR="00D732C8" w:rsidRPr="00594323" w:rsidRDefault="00F14F91" w:rsidP="00152D91">
      <w:pPr>
        <w:pStyle w:val="1"/>
        <w:shd w:val="clear" w:color="auto" w:fill="FFFFFF"/>
        <w:spacing w:before="105" w:beforeAutospacing="0" w:after="105" w:afterAutospacing="0" w:line="480" w:lineRule="auto"/>
        <w:rPr>
          <w:rFonts w:ascii="Arial" w:eastAsiaTheme="minorEastAsia" w:hAnsi="Arial" w:cs="Arial" w:hint="default"/>
          <w:b w:val="0"/>
          <w:kern w:val="2"/>
          <w:sz w:val="18"/>
          <w:szCs w:val="18"/>
        </w:rPr>
      </w:pPr>
      <w:r w:rsidRPr="00594323">
        <w:rPr>
          <w:rFonts w:ascii="Arial" w:eastAsiaTheme="minorEastAsia" w:hAnsi="Arial" w:cs="Arial" w:hint="default"/>
          <w:b w:val="0"/>
          <w:kern w:val="2"/>
          <w:sz w:val="18"/>
          <w:szCs w:val="18"/>
        </w:rPr>
        <w:t>The consensus of the diagnosis and treatment of lymphoplasmacytic lymphoma/</w:t>
      </w:r>
      <w:proofErr w:type="spellStart"/>
      <w:r w:rsidRPr="00594323">
        <w:rPr>
          <w:rFonts w:ascii="Arial" w:eastAsiaTheme="minorEastAsia" w:hAnsi="Arial" w:cs="Arial" w:hint="default"/>
          <w:b w:val="0"/>
          <w:kern w:val="2"/>
          <w:sz w:val="18"/>
          <w:szCs w:val="18"/>
        </w:rPr>
        <w:t>Walderström</w:t>
      </w:r>
      <w:proofErr w:type="spellEnd"/>
      <w:r w:rsidRPr="00594323">
        <w:rPr>
          <w:rFonts w:ascii="Arial" w:eastAsiaTheme="minorEastAsia" w:hAnsi="Arial" w:cs="Arial" w:hint="default"/>
          <w:b w:val="0"/>
          <w:kern w:val="2"/>
          <w:sz w:val="18"/>
          <w:szCs w:val="18"/>
        </w:rPr>
        <w:t xml:space="preserve"> macroglobulinemia in China (2016 version) </w:t>
      </w:r>
      <w:hyperlink r:id="rId34" w:tooltip="Zhonghua xue ye xue za zhi = Zhonghua xueyexue zazhi." w:history="1">
        <w:r w:rsidRPr="00594323">
          <w:rPr>
            <w:rFonts w:ascii="Arial" w:eastAsiaTheme="minorEastAsia" w:hAnsi="Arial" w:cs="Arial" w:hint="default"/>
            <w:b w:val="0"/>
            <w:kern w:val="2"/>
            <w:sz w:val="18"/>
            <w:szCs w:val="18"/>
          </w:rPr>
          <w:t>Zhonghua Xue Ye Xue Za Zhi.</w:t>
        </w:r>
      </w:hyperlink>
      <w:r w:rsidRPr="00594323">
        <w:rPr>
          <w:rFonts w:ascii="Arial" w:eastAsiaTheme="minorEastAsia" w:hAnsi="Arial" w:cs="Arial" w:hint="default"/>
          <w:b w:val="0"/>
          <w:kern w:val="2"/>
          <w:sz w:val="18"/>
          <w:szCs w:val="18"/>
        </w:rPr>
        <w:t> 2016 Sep 14;37(9):729-734. </w:t>
      </w:r>
    </w:p>
    <w:p w14:paraId="1B626F8B"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686E0FEA" wp14:editId="61657E97">
            <wp:extent cx="5840730" cy="1588135"/>
            <wp:effectExtent l="0" t="0" r="7620" b="12065"/>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35"/>
                    <a:stretch>
                      <a:fillRect/>
                    </a:stretch>
                  </pic:blipFill>
                  <pic:spPr>
                    <a:xfrm>
                      <a:off x="0" y="0"/>
                      <a:ext cx="5840730" cy="1588135"/>
                    </a:xfrm>
                    <a:prstGeom prst="rect">
                      <a:avLst/>
                    </a:prstGeom>
                    <a:noFill/>
                    <a:ln w="9525">
                      <a:noFill/>
                    </a:ln>
                  </pic:spPr>
                </pic:pic>
              </a:graphicData>
            </a:graphic>
          </wp:inline>
        </w:drawing>
      </w:r>
    </w:p>
    <w:p w14:paraId="2A5DF499" w14:textId="77777777" w:rsidR="00D732C8" w:rsidRPr="00594323" w:rsidRDefault="00D732C8" w:rsidP="00152D91">
      <w:pPr>
        <w:spacing w:line="480" w:lineRule="auto"/>
        <w:rPr>
          <w:rFonts w:ascii="Arial" w:hAnsi="Arial" w:cs="Arial"/>
        </w:rPr>
      </w:pPr>
    </w:p>
    <w:p w14:paraId="717D67E6"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P</w:t>
      </w:r>
      <w:r w:rsidR="00F14F91" w:rsidRPr="00594323">
        <w:rPr>
          <w:rFonts w:ascii="Arial" w:hAnsi="Arial" w:cs="Arial"/>
          <w:b/>
          <w:bCs/>
          <w:szCs w:val="21"/>
        </w:rPr>
        <w:t>ercentage of blast in bone marrow</w:t>
      </w:r>
      <w:r w:rsidR="00F14F91" w:rsidRPr="00594323">
        <w:rPr>
          <w:rFonts w:ascii="Arial" w:hAnsi="Arial" w:cs="Arial"/>
          <w:b/>
          <w:bCs/>
          <w:szCs w:val="21"/>
        </w:rPr>
        <w:t>：</w:t>
      </w:r>
    </w:p>
    <w:p w14:paraId="7307C5FB"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proportion of blast cells in bone marrow after bone marrow aspiration when first diagnosed.</w:t>
      </w:r>
    </w:p>
    <w:p w14:paraId="0C432FE3" w14:textId="77777777" w:rsidR="00D732C8" w:rsidRPr="00594323" w:rsidRDefault="00D732C8" w:rsidP="00152D91">
      <w:pPr>
        <w:spacing w:line="480" w:lineRule="auto"/>
        <w:rPr>
          <w:rFonts w:ascii="Arial" w:hAnsi="Arial" w:cs="Arial"/>
          <w:b/>
          <w:bCs/>
          <w:szCs w:val="21"/>
        </w:rPr>
      </w:pPr>
    </w:p>
    <w:p w14:paraId="0890DB21"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T</w:t>
      </w:r>
      <w:r w:rsidR="00F14F91" w:rsidRPr="00594323">
        <w:rPr>
          <w:rFonts w:ascii="Arial" w:hAnsi="Arial" w:cs="Arial"/>
          <w:b/>
          <w:bCs/>
          <w:szCs w:val="21"/>
        </w:rPr>
        <w:t>ype of Car-T cell therapy,</w:t>
      </w:r>
    </w:p>
    <w:p w14:paraId="3833354A"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TCR part of CAR-T cell is replaced by CAR which includes two domains: an extracellular and an intracellular domain. The extracellular domain is typically an antibody single-chain fragment (</w:t>
      </w:r>
      <w:proofErr w:type="spellStart"/>
      <w:r w:rsidRPr="00594323">
        <w:rPr>
          <w:rFonts w:ascii="Arial" w:hAnsi="Arial" w:cs="Arial"/>
          <w:kern w:val="2"/>
          <w:sz w:val="18"/>
          <w:szCs w:val="18"/>
        </w:rPr>
        <w:t>scFv</w:t>
      </w:r>
      <w:proofErr w:type="spellEnd"/>
      <w:r w:rsidRPr="00594323">
        <w:rPr>
          <w:rFonts w:ascii="Arial" w:hAnsi="Arial" w:cs="Arial"/>
          <w:kern w:val="2"/>
          <w:sz w:val="18"/>
          <w:szCs w:val="18"/>
        </w:rPr>
        <w:t xml:space="preserve">) specifically against a cell surface antigen, while the intracellular domain includes fused signaling domains from a natural TCR complex and costimulatory molecules. Different intracellular sections represent various CAR-T cell generations. The structure ranges from CD3z signaling domain alone in first generation CARs (lack of costimulatory signal) to those that possess the signaling endo-domains of costimulatory molecules, which are fused with </w:t>
      </w:r>
      <w:r w:rsidRPr="00594323">
        <w:rPr>
          <w:rFonts w:ascii="Arial" w:hAnsi="Arial" w:cs="Arial"/>
          <w:kern w:val="2"/>
          <w:sz w:val="18"/>
          <w:szCs w:val="18"/>
        </w:rPr>
        <w:lastRenderedPageBreak/>
        <w:t xml:space="preserve">CD3z, in second and third generation CARs. This structure imitates the </w:t>
      </w:r>
      <w:proofErr w:type="spellStart"/>
      <w:r w:rsidRPr="00594323">
        <w:rPr>
          <w:rFonts w:ascii="Arial" w:hAnsi="Arial" w:cs="Arial"/>
          <w:kern w:val="2"/>
          <w:sz w:val="18"/>
          <w:szCs w:val="18"/>
        </w:rPr>
        <w:t>costimulation</w:t>
      </w:r>
      <w:proofErr w:type="spellEnd"/>
      <w:r w:rsidRPr="00594323">
        <w:rPr>
          <w:rFonts w:ascii="Arial" w:hAnsi="Arial" w:cs="Arial"/>
          <w:kern w:val="2"/>
          <w:sz w:val="18"/>
          <w:szCs w:val="18"/>
        </w:rPr>
        <w:t xml:space="preserve"> signal when TCR combines with antigen-presenting cells to complete the process of </w:t>
      </w:r>
      <w:proofErr w:type="spellStart"/>
      <w:proofErr w:type="gramStart"/>
      <w:r w:rsidRPr="00594323">
        <w:rPr>
          <w:rFonts w:ascii="Arial" w:hAnsi="Arial" w:cs="Arial"/>
          <w:kern w:val="2"/>
          <w:sz w:val="18"/>
          <w:szCs w:val="18"/>
        </w:rPr>
        <w:t>activation.All</w:t>
      </w:r>
      <w:proofErr w:type="spellEnd"/>
      <w:proofErr w:type="gramEnd"/>
      <w:r w:rsidRPr="00594323">
        <w:rPr>
          <w:rFonts w:ascii="Arial" w:hAnsi="Arial" w:cs="Arial"/>
          <w:kern w:val="2"/>
          <w:sz w:val="18"/>
          <w:szCs w:val="18"/>
        </w:rPr>
        <w:t xml:space="preserve"> of these generate CAR-T cell specificity for a certain type of cancer cell and leads to their elimination. Because a monoclonal antibody against a tumor antigen offers novel T cell specificity for certain types of cancer cells and bypasses the established antigen-presenting process, an important strength of this method is that the recognition is independent of the major histocompatibility </w:t>
      </w:r>
      <w:proofErr w:type="spellStart"/>
      <w:proofErr w:type="gramStart"/>
      <w:r w:rsidRPr="00594323">
        <w:rPr>
          <w:rFonts w:ascii="Arial" w:hAnsi="Arial" w:cs="Arial"/>
          <w:kern w:val="2"/>
          <w:sz w:val="18"/>
          <w:szCs w:val="18"/>
        </w:rPr>
        <w:t>complex.The</w:t>
      </w:r>
      <w:proofErr w:type="spellEnd"/>
      <w:proofErr w:type="gramEnd"/>
      <w:r w:rsidRPr="00594323">
        <w:rPr>
          <w:rFonts w:ascii="Arial" w:hAnsi="Arial" w:cs="Arial"/>
          <w:kern w:val="2"/>
          <w:sz w:val="18"/>
          <w:szCs w:val="18"/>
        </w:rPr>
        <w:t xml:space="preserve"> most common target is CD19. Other targets such as CD20, CD30, CD138 are showing some success as well.</w:t>
      </w:r>
    </w:p>
    <w:p w14:paraId="1F90297B" w14:textId="77777777" w:rsidR="00D732C8" w:rsidRPr="00594323" w:rsidRDefault="00D732C8" w:rsidP="00152D91">
      <w:pPr>
        <w:pStyle w:val="a3"/>
        <w:shd w:val="clear" w:color="auto" w:fill="FFFFFF"/>
        <w:spacing w:line="480" w:lineRule="auto"/>
        <w:rPr>
          <w:rFonts w:ascii="Arial" w:hAnsi="Arial" w:cs="Arial"/>
          <w:kern w:val="2"/>
          <w:sz w:val="18"/>
          <w:szCs w:val="18"/>
        </w:rPr>
      </w:pPr>
    </w:p>
    <w:p w14:paraId="7894261A" w14:textId="77777777" w:rsidR="00D732C8" w:rsidRPr="00594323" w:rsidRDefault="00F14F91" w:rsidP="00152D91">
      <w:pPr>
        <w:pStyle w:val="a3"/>
        <w:shd w:val="clear" w:color="auto" w:fill="FFFFFF"/>
        <w:spacing w:line="480" w:lineRule="auto"/>
        <w:rPr>
          <w:rFonts w:ascii="Arial" w:hAnsi="Arial" w:cs="Arial"/>
          <w:kern w:val="2"/>
          <w:sz w:val="18"/>
          <w:szCs w:val="18"/>
        </w:rPr>
      </w:pPr>
      <w:r w:rsidRPr="00594323">
        <w:rPr>
          <w:rFonts w:ascii="Arial" w:hAnsi="Arial" w:cs="Arial"/>
          <w:kern w:val="2"/>
          <w:sz w:val="18"/>
          <w:szCs w:val="18"/>
        </w:rPr>
        <w:t>(Zhao Z, et </w:t>
      </w:r>
      <w:proofErr w:type="spellStart"/>
      <w:r w:rsidRPr="00594323">
        <w:rPr>
          <w:rFonts w:ascii="Arial" w:hAnsi="Arial" w:cs="Arial"/>
          <w:kern w:val="2"/>
          <w:sz w:val="18"/>
          <w:szCs w:val="18"/>
        </w:rPr>
        <w:t>al.</w:t>
      </w:r>
      <w:hyperlink r:id="rId36" w:history="1">
        <w:r w:rsidRPr="00594323">
          <w:rPr>
            <w:rFonts w:ascii="Arial" w:hAnsi="Arial" w:cs="Arial"/>
            <w:kern w:val="2"/>
            <w:sz w:val="18"/>
            <w:szCs w:val="18"/>
          </w:rPr>
          <w:t>The</w:t>
        </w:r>
        <w:proofErr w:type="spellEnd"/>
        <w:r w:rsidRPr="00594323">
          <w:rPr>
            <w:rFonts w:ascii="Arial" w:hAnsi="Arial" w:cs="Arial"/>
            <w:kern w:val="2"/>
            <w:sz w:val="18"/>
            <w:szCs w:val="18"/>
          </w:rPr>
          <w:t> application of CAR-T cell therapy in hematological malignancies: advantages and challenges.</w:t>
        </w:r>
      </w:hyperlink>
      <w:r w:rsidRPr="00594323">
        <w:rPr>
          <w:rFonts w:ascii="Arial" w:hAnsi="Arial" w:cs="Arial"/>
          <w:kern w:val="2"/>
          <w:sz w:val="18"/>
          <w:szCs w:val="18"/>
        </w:rPr>
        <w:t xml:space="preserve"> Acta Pharm Sin B. 2018 Jul;8(4):539-551. )</w:t>
      </w:r>
    </w:p>
    <w:p w14:paraId="6686AC27" w14:textId="77777777" w:rsidR="00D732C8" w:rsidRPr="00594323" w:rsidRDefault="00D732C8" w:rsidP="00152D91">
      <w:pPr>
        <w:spacing w:line="480" w:lineRule="auto"/>
        <w:rPr>
          <w:rFonts w:ascii="Arial" w:hAnsi="Arial" w:cs="Arial"/>
          <w:b/>
          <w:bCs/>
          <w:szCs w:val="21"/>
        </w:rPr>
      </w:pPr>
    </w:p>
    <w:p w14:paraId="578745FC"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A</w:t>
      </w:r>
      <w:r w:rsidR="00F14F91" w:rsidRPr="00594323">
        <w:rPr>
          <w:rFonts w:ascii="Arial" w:hAnsi="Arial" w:cs="Arial"/>
          <w:b/>
          <w:bCs/>
          <w:szCs w:val="21"/>
        </w:rPr>
        <w:t xml:space="preserve">pplication of IL-6 knock-out, </w:t>
      </w:r>
    </w:p>
    <w:p w14:paraId="7B94AB03"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Knock out IL-6 gene of CAR-T cells to reduce the release of IL-6 after Car-T cell transfusion.</w:t>
      </w:r>
    </w:p>
    <w:p w14:paraId="11718376" w14:textId="77777777" w:rsidR="00D732C8" w:rsidRPr="00594323" w:rsidRDefault="00D732C8" w:rsidP="00152D91">
      <w:pPr>
        <w:spacing w:line="480" w:lineRule="auto"/>
        <w:rPr>
          <w:rFonts w:ascii="Arial" w:hAnsi="Arial" w:cs="Arial"/>
          <w:kern w:val="2"/>
          <w:sz w:val="18"/>
          <w:szCs w:val="18"/>
        </w:rPr>
      </w:pPr>
    </w:p>
    <w:p w14:paraId="4ACCF299"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Hypertension</w:t>
      </w:r>
      <w:r w:rsidRPr="00594323">
        <w:rPr>
          <w:rFonts w:ascii="Arial" w:hAnsi="Arial" w:cs="Arial"/>
          <w:b/>
          <w:bCs/>
          <w:szCs w:val="21"/>
        </w:rPr>
        <w:t>：</w:t>
      </w:r>
    </w:p>
    <w:p w14:paraId="3383C248" w14:textId="77777777" w:rsidR="008722B6" w:rsidRPr="00594323" w:rsidRDefault="008722B6" w:rsidP="00152D91">
      <w:pPr>
        <w:pStyle w:val="a3"/>
        <w:shd w:val="clear" w:color="auto" w:fill="FFFFFF"/>
        <w:spacing w:line="480" w:lineRule="auto"/>
        <w:rPr>
          <w:rFonts w:ascii="Arial" w:hAnsi="Arial" w:cs="Arial"/>
          <w:kern w:val="2"/>
          <w:sz w:val="18"/>
          <w:szCs w:val="18"/>
        </w:rPr>
      </w:pPr>
      <w:r w:rsidRPr="00594323">
        <w:rPr>
          <w:rFonts w:ascii="Arial" w:hAnsi="Arial" w:cs="Arial"/>
          <w:kern w:val="2"/>
          <w:sz w:val="18"/>
          <w:szCs w:val="18"/>
        </w:rPr>
        <w:t>Patients with hypertension or isolated systolic hypertension</w:t>
      </w:r>
    </w:p>
    <w:p w14:paraId="60C110CE" w14:textId="77777777" w:rsidR="00D732C8" w:rsidRPr="00594323" w:rsidRDefault="00F14F91" w:rsidP="00152D91">
      <w:pPr>
        <w:pStyle w:val="a3"/>
        <w:shd w:val="clear" w:color="auto" w:fill="FFFFFF"/>
        <w:spacing w:line="480" w:lineRule="auto"/>
        <w:rPr>
          <w:rFonts w:ascii="Arial" w:hAnsi="Arial" w:cs="Arial"/>
          <w:kern w:val="2"/>
          <w:sz w:val="18"/>
          <w:szCs w:val="18"/>
        </w:rPr>
      </w:pPr>
      <w:r w:rsidRPr="00594323">
        <w:rPr>
          <w:rFonts w:ascii="Arial" w:hAnsi="Arial" w:cs="Arial"/>
          <w:kern w:val="2"/>
          <w:sz w:val="18"/>
          <w:szCs w:val="18"/>
        </w:rPr>
        <w:lastRenderedPageBreak/>
        <w:t xml:space="preserve">Joint Committee for Guideline Revision. </w:t>
      </w:r>
      <w:hyperlink r:id="rId37" w:history="1">
        <w:r w:rsidRPr="00594323">
          <w:rPr>
            <w:rFonts w:ascii="Arial" w:hAnsi="Arial" w:cs="Arial"/>
            <w:kern w:val="2"/>
            <w:sz w:val="18"/>
            <w:szCs w:val="18"/>
          </w:rPr>
          <w:t>2018 Chinese Guidelines for Prevention and Treatment of Hypertension-A report of the Revision Committee of Chinese Guidelines for Prevention and Treatment of Hypertension.</w:t>
        </w:r>
      </w:hyperlink>
      <w:r w:rsidRPr="00594323">
        <w:rPr>
          <w:rFonts w:ascii="Arial" w:hAnsi="Arial" w:cs="Arial"/>
          <w:kern w:val="2"/>
          <w:sz w:val="18"/>
          <w:szCs w:val="18"/>
        </w:rPr>
        <w:t xml:space="preserve"> J </w:t>
      </w:r>
      <w:proofErr w:type="spellStart"/>
      <w:r w:rsidRPr="00594323">
        <w:rPr>
          <w:rFonts w:ascii="Arial" w:hAnsi="Arial" w:cs="Arial"/>
          <w:kern w:val="2"/>
          <w:sz w:val="18"/>
          <w:szCs w:val="18"/>
        </w:rPr>
        <w:t>Geriatr</w:t>
      </w:r>
      <w:proofErr w:type="spellEnd"/>
      <w:r w:rsidRPr="00594323">
        <w:rPr>
          <w:rFonts w:ascii="Arial" w:hAnsi="Arial" w:cs="Arial"/>
          <w:kern w:val="2"/>
          <w:sz w:val="18"/>
          <w:szCs w:val="18"/>
        </w:rPr>
        <w:t xml:space="preserve"> </w:t>
      </w:r>
      <w:proofErr w:type="spellStart"/>
      <w:r w:rsidRPr="00594323">
        <w:rPr>
          <w:rFonts w:ascii="Arial" w:hAnsi="Arial" w:cs="Arial"/>
          <w:kern w:val="2"/>
          <w:sz w:val="18"/>
          <w:szCs w:val="18"/>
        </w:rPr>
        <w:t>Cardiol</w:t>
      </w:r>
      <w:proofErr w:type="spellEnd"/>
      <w:r w:rsidRPr="00594323">
        <w:rPr>
          <w:rFonts w:ascii="Arial" w:hAnsi="Arial" w:cs="Arial"/>
          <w:kern w:val="2"/>
          <w:sz w:val="18"/>
          <w:szCs w:val="18"/>
        </w:rPr>
        <w:t>. 2019 Mar;16(3):182-241.</w:t>
      </w:r>
    </w:p>
    <w:p w14:paraId="69AEA811" w14:textId="77777777" w:rsidR="00D732C8" w:rsidRPr="00594323" w:rsidRDefault="00F14F91" w:rsidP="00152D91">
      <w:pPr>
        <w:pStyle w:val="a3"/>
        <w:shd w:val="clear" w:color="auto" w:fill="FFFFFF"/>
        <w:spacing w:line="480" w:lineRule="auto"/>
        <w:rPr>
          <w:rFonts w:ascii="Arial" w:hAnsi="Arial" w:cs="Arial"/>
        </w:rPr>
      </w:pPr>
      <w:r w:rsidRPr="00594323">
        <w:rPr>
          <w:rFonts w:ascii="Arial" w:hAnsi="Arial" w:cs="Arial"/>
          <w:noProof/>
        </w:rPr>
        <w:drawing>
          <wp:inline distT="0" distB="0" distL="114300" distR="114300" wp14:anchorId="0DB646FE" wp14:editId="24CE3379">
            <wp:extent cx="3035300" cy="1539875"/>
            <wp:effectExtent l="0" t="0" r="12700" b="3175"/>
            <wp:docPr id="1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1"/>
                    <pic:cNvPicPr>
                      <a:picLocks noChangeAspect="1"/>
                    </pic:cNvPicPr>
                  </pic:nvPicPr>
                  <pic:blipFill>
                    <a:blip r:embed="rId38"/>
                    <a:stretch>
                      <a:fillRect/>
                    </a:stretch>
                  </pic:blipFill>
                  <pic:spPr>
                    <a:xfrm>
                      <a:off x="0" y="0"/>
                      <a:ext cx="3035300" cy="1539875"/>
                    </a:xfrm>
                    <a:prstGeom prst="rect">
                      <a:avLst/>
                    </a:prstGeom>
                    <a:noFill/>
                    <a:ln w="9525">
                      <a:noFill/>
                    </a:ln>
                  </pic:spPr>
                </pic:pic>
              </a:graphicData>
            </a:graphic>
          </wp:inline>
        </w:drawing>
      </w:r>
    </w:p>
    <w:p w14:paraId="6C729054" w14:textId="77777777" w:rsidR="00D732C8" w:rsidRPr="00594323" w:rsidRDefault="00D732C8" w:rsidP="00152D91">
      <w:pPr>
        <w:pStyle w:val="a3"/>
        <w:shd w:val="clear" w:color="auto" w:fill="FFFFFF"/>
        <w:spacing w:line="480" w:lineRule="auto"/>
        <w:rPr>
          <w:rFonts w:ascii="Arial" w:hAnsi="Arial" w:cs="Arial"/>
        </w:rPr>
      </w:pPr>
    </w:p>
    <w:p w14:paraId="0217E5E6"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D</w:t>
      </w:r>
      <w:r w:rsidR="00F14F91" w:rsidRPr="00594323">
        <w:rPr>
          <w:rFonts w:ascii="Arial" w:hAnsi="Arial" w:cs="Arial"/>
          <w:b/>
          <w:bCs/>
          <w:szCs w:val="21"/>
        </w:rPr>
        <w:t>iabetes</w:t>
      </w:r>
      <w:r w:rsidR="00F14F91" w:rsidRPr="00594323">
        <w:rPr>
          <w:rFonts w:ascii="Arial" w:hAnsi="Arial" w:cs="Arial"/>
          <w:b/>
          <w:bCs/>
          <w:szCs w:val="21"/>
        </w:rPr>
        <w:t>：</w:t>
      </w:r>
    </w:p>
    <w:p w14:paraId="69DB53F0" w14:textId="77777777" w:rsidR="009C32E4" w:rsidRPr="00594323" w:rsidRDefault="009C32E4" w:rsidP="00152D91">
      <w:pPr>
        <w:pStyle w:val="a3"/>
        <w:shd w:val="clear" w:color="auto" w:fill="FFFFFF"/>
        <w:spacing w:line="480" w:lineRule="auto"/>
        <w:rPr>
          <w:rFonts w:ascii="Arial" w:hAnsi="Arial" w:cs="Arial"/>
          <w:kern w:val="2"/>
          <w:sz w:val="18"/>
          <w:szCs w:val="18"/>
        </w:rPr>
      </w:pPr>
      <w:r w:rsidRPr="00594323">
        <w:rPr>
          <w:rFonts w:ascii="Arial" w:hAnsi="Arial" w:cs="Arial"/>
          <w:kern w:val="2"/>
          <w:sz w:val="18"/>
          <w:szCs w:val="18"/>
        </w:rPr>
        <w:t>Patients with diabetes which meets the guideline below</w:t>
      </w:r>
    </w:p>
    <w:p w14:paraId="1E2FFE8D"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American Diabetes Association. Standards of Medical Care in Diabetes-2018[J]. Diabetes Care, 2018, 41(Suppl 1):</w:t>
      </w:r>
      <w:r w:rsidR="008722B6" w:rsidRPr="00594323">
        <w:rPr>
          <w:rFonts w:ascii="Arial" w:hAnsi="Arial" w:cs="Arial"/>
          <w:kern w:val="2"/>
          <w:sz w:val="18"/>
          <w:szCs w:val="18"/>
        </w:rPr>
        <w:t xml:space="preserve"> </w:t>
      </w:r>
      <w:r w:rsidRPr="00594323">
        <w:rPr>
          <w:rFonts w:ascii="Arial" w:hAnsi="Arial" w:cs="Arial"/>
          <w:kern w:val="2"/>
          <w:sz w:val="18"/>
          <w:szCs w:val="18"/>
        </w:rPr>
        <w:t>S1-S153.</w:t>
      </w:r>
    </w:p>
    <w:p w14:paraId="324521F8"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lastRenderedPageBreak/>
        <w:drawing>
          <wp:inline distT="0" distB="0" distL="114300" distR="114300" wp14:anchorId="15998173" wp14:editId="3D07E01C">
            <wp:extent cx="4250690" cy="1927860"/>
            <wp:effectExtent l="0" t="0" r="16510" b="15240"/>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39"/>
                    <a:stretch>
                      <a:fillRect/>
                    </a:stretch>
                  </pic:blipFill>
                  <pic:spPr>
                    <a:xfrm>
                      <a:off x="0" y="0"/>
                      <a:ext cx="4250690" cy="1927860"/>
                    </a:xfrm>
                    <a:prstGeom prst="rect">
                      <a:avLst/>
                    </a:prstGeom>
                    <a:noFill/>
                    <a:ln w="9525">
                      <a:noFill/>
                    </a:ln>
                  </pic:spPr>
                </pic:pic>
              </a:graphicData>
            </a:graphic>
          </wp:inline>
        </w:drawing>
      </w:r>
    </w:p>
    <w:p w14:paraId="2134EA28" w14:textId="77777777" w:rsidR="00D732C8" w:rsidRPr="00594323" w:rsidRDefault="00D732C8" w:rsidP="00152D91">
      <w:pPr>
        <w:spacing w:line="480" w:lineRule="auto"/>
        <w:rPr>
          <w:rFonts w:ascii="Arial" w:hAnsi="Arial" w:cs="Arial"/>
          <w:kern w:val="2"/>
          <w:sz w:val="18"/>
          <w:szCs w:val="18"/>
        </w:rPr>
      </w:pPr>
    </w:p>
    <w:p w14:paraId="0607C9D1"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Car-T cell counts</w:t>
      </w:r>
      <w:r w:rsidRPr="00594323">
        <w:rPr>
          <w:rFonts w:ascii="Arial" w:hAnsi="Arial" w:cs="Arial"/>
          <w:b/>
          <w:bCs/>
          <w:szCs w:val="21"/>
        </w:rPr>
        <w:t>：</w:t>
      </w:r>
    </w:p>
    <w:p w14:paraId="73D5FCC3"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Cell volume per kg infused to patients</w:t>
      </w:r>
    </w:p>
    <w:p w14:paraId="734EBAA0" w14:textId="77777777" w:rsidR="00D732C8" w:rsidRPr="00594323" w:rsidRDefault="00D732C8" w:rsidP="00152D91">
      <w:pPr>
        <w:spacing w:line="480" w:lineRule="auto"/>
        <w:rPr>
          <w:rFonts w:ascii="Arial" w:hAnsi="Arial" w:cs="Arial"/>
          <w:b/>
          <w:bCs/>
          <w:szCs w:val="21"/>
        </w:rPr>
      </w:pPr>
    </w:p>
    <w:p w14:paraId="2E5A7AA5" w14:textId="77777777" w:rsidR="00D732C8" w:rsidRPr="00594323" w:rsidRDefault="00F14F91" w:rsidP="00152D91">
      <w:pPr>
        <w:spacing w:line="480" w:lineRule="auto"/>
        <w:rPr>
          <w:rFonts w:ascii="Arial" w:hAnsi="Arial" w:cs="Arial"/>
          <w:szCs w:val="21"/>
        </w:rPr>
      </w:pPr>
      <w:r w:rsidRPr="00594323">
        <w:rPr>
          <w:rFonts w:ascii="Arial" w:hAnsi="Arial" w:cs="Arial"/>
          <w:b/>
          <w:bCs/>
          <w:szCs w:val="21"/>
        </w:rPr>
        <w:t>CRS stage</w:t>
      </w:r>
      <w:r w:rsidRPr="00594323">
        <w:rPr>
          <w:rFonts w:ascii="Arial" w:hAnsi="Arial" w:cs="Arial"/>
          <w:szCs w:val="21"/>
        </w:rPr>
        <w:t>：</w:t>
      </w:r>
    </w:p>
    <w:p w14:paraId="601FE2C8" w14:textId="77777777" w:rsidR="009C32E4" w:rsidRPr="00594323" w:rsidRDefault="009C32E4" w:rsidP="00152D91">
      <w:pPr>
        <w:spacing w:line="480" w:lineRule="auto"/>
        <w:rPr>
          <w:rFonts w:ascii="Arial" w:hAnsi="Arial" w:cs="Arial"/>
          <w:sz w:val="18"/>
          <w:szCs w:val="18"/>
        </w:rPr>
      </w:pPr>
      <w:r w:rsidRPr="00594323">
        <w:rPr>
          <w:rFonts w:ascii="Arial" w:hAnsi="Arial" w:cs="Arial"/>
          <w:sz w:val="18"/>
          <w:szCs w:val="18"/>
        </w:rPr>
        <w:t>CRS stage was according to the criteria below.</w:t>
      </w:r>
    </w:p>
    <w:p w14:paraId="424C0080" w14:textId="77777777" w:rsidR="00D732C8" w:rsidRPr="00594323" w:rsidRDefault="00F14F91" w:rsidP="00152D91">
      <w:pPr>
        <w:spacing w:line="480" w:lineRule="auto"/>
        <w:rPr>
          <w:rFonts w:ascii="Arial" w:hAnsi="Arial" w:cs="Arial"/>
          <w:sz w:val="18"/>
          <w:szCs w:val="18"/>
        </w:rPr>
      </w:pPr>
      <w:r w:rsidRPr="00594323">
        <w:rPr>
          <w:rFonts w:ascii="Arial" w:hAnsi="Arial" w:cs="Arial"/>
          <w:sz w:val="18"/>
          <w:szCs w:val="18"/>
        </w:rPr>
        <w:t xml:space="preserve">Lee, D. W. et al. Current concepts in the diagnosis and management of cytokine release syndrome. Blood 2014(124), 188–195 </w:t>
      </w:r>
    </w:p>
    <w:p w14:paraId="78BC1347" w14:textId="77777777" w:rsidR="00D732C8" w:rsidRPr="00594323" w:rsidRDefault="00F14F91" w:rsidP="00152D91">
      <w:pPr>
        <w:spacing w:line="480" w:lineRule="auto"/>
        <w:rPr>
          <w:rFonts w:ascii="Arial" w:hAnsi="Arial" w:cs="Arial"/>
          <w:sz w:val="18"/>
          <w:szCs w:val="18"/>
        </w:rPr>
      </w:pPr>
      <w:proofErr w:type="spellStart"/>
      <w:r w:rsidRPr="00594323">
        <w:rPr>
          <w:rFonts w:ascii="Arial" w:hAnsi="Arial" w:cs="Arial"/>
          <w:sz w:val="18"/>
          <w:szCs w:val="18"/>
        </w:rPr>
        <w:t>Neelapu</w:t>
      </w:r>
      <w:proofErr w:type="spellEnd"/>
      <w:r w:rsidRPr="00594323">
        <w:rPr>
          <w:rFonts w:ascii="Arial" w:hAnsi="Arial" w:cs="Arial"/>
          <w:sz w:val="18"/>
          <w:szCs w:val="18"/>
        </w:rPr>
        <w:t xml:space="preserve"> SS, et al. </w:t>
      </w:r>
      <w:hyperlink r:id="rId40" w:history="1">
        <w:r w:rsidRPr="00594323">
          <w:rPr>
            <w:rFonts w:ascii="Arial" w:hAnsi="Arial" w:cs="Arial"/>
            <w:sz w:val="18"/>
            <w:szCs w:val="18"/>
          </w:rPr>
          <w:t>Chimeric antigen receptor T-cell therapy - assessment and management of toxicities.</w:t>
        </w:r>
      </w:hyperlink>
      <w:r w:rsidRPr="00594323">
        <w:rPr>
          <w:rFonts w:ascii="Arial" w:hAnsi="Arial" w:cs="Arial"/>
          <w:sz w:val="18"/>
          <w:szCs w:val="18"/>
        </w:rPr>
        <w:t xml:space="preserve"> Nat Rev Clin Oncol. 2018 Jan;15(1):47-62.</w:t>
      </w:r>
    </w:p>
    <w:p w14:paraId="623C7065"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722D6903" wp14:editId="532285EF">
            <wp:extent cx="5411470" cy="2287905"/>
            <wp:effectExtent l="0" t="0" r="1778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1"/>
                    <a:stretch>
                      <a:fillRect/>
                    </a:stretch>
                  </pic:blipFill>
                  <pic:spPr>
                    <a:xfrm>
                      <a:off x="0" y="0"/>
                      <a:ext cx="5411470" cy="2287905"/>
                    </a:xfrm>
                    <a:prstGeom prst="rect">
                      <a:avLst/>
                    </a:prstGeom>
                    <a:noFill/>
                    <a:ln w="9525">
                      <a:noFill/>
                    </a:ln>
                  </pic:spPr>
                </pic:pic>
              </a:graphicData>
            </a:graphic>
          </wp:inline>
        </w:drawing>
      </w:r>
    </w:p>
    <w:p w14:paraId="43B0B838" w14:textId="77777777" w:rsidR="00D732C8" w:rsidRPr="00594323" w:rsidRDefault="00F14F91" w:rsidP="00152D91">
      <w:pPr>
        <w:spacing w:line="480" w:lineRule="auto"/>
        <w:rPr>
          <w:rFonts w:ascii="Arial" w:hAnsi="Arial" w:cs="Arial"/>
        </w:rPr>
      </w:pPr>
      <w:r w:rsidRPr="00594323">
        <w:rPr>
          <w:rFonts w:ascii="Arial" w:hAnsi="Arial" w:cs="Arial"/>
          <w:noProof/>
        </w:rPr>
        <w:drawing>
          <wp:inline distT="0" distB="0" distL="114300" distR="114300" wp14:anchorId="6E7906C0" wp14:editId="3404E74A">
            <wp:extent cx="5436870" cy="1029970"/>
            <wp:effectExtent l="0" t="0" r="11430" b="177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2"/>
                    <a:stretch>
                      <a:fillRect/>
                    </a:stretch>
                  </pic:blipFill>
                  <pic:spPr>
                    <a:xfrm>
                      <a:off x="0" y="0"/>
                      <a:ext cx="5436870" cy="1029970"/>
                    </a:xfrm>
                    <a:prstGeom prst="rect">
                      <a:avLst/>
                    </a:prstGeom>
                    <a:noFill/>
                    <a:ln w="9525">
                      <a:noFill/>
                    </a:ln>
                  </pic:spPr>
                </pic:pic>
              </a:graphicData>
            </a:graphic>
          </wp:inline>
        </w:drawing>
      </w:r>
    </w:p>
    <w:p w14:paraId="6D981AE7" w14:textId="77777777" w:rsidR="00D732C8" w:rsidRPr="00594323" w:rsidRDefault="00D732C8" w:rsidP="00152D91">
      <w:pPr>
        <w:spacing w:line="480" w:lineRule="auto"/>
        <w:rPr>
          <w:rFonts w:ascii="Arial" w:hAnsi="Arial" w:cs="Arial"/>
          <w:szCs w:val="21"/>
        </w:rPr>
      </w:pPr>
    </w:p>
    <w:p w14:paraId="7F4CF298"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A</w:t>
      </w:r>
      <w:r w:rsidR="00F14F91" w:rsidRPr="00594323">
        <w:rPr>
          <w:rFonts w:ascii="Arial" w:hAnsi="Arial" w:cs="Arial"/>
          <w:b/>
          <w:bCs/>
          <w:szCs w:val="21"/>
        </w:rPr>
        <w:t>pplication of hematopoietic stem cell transplant (HSCT)</w:t>
      </w:r>
      <w:r w:rsidR="00F14F91" w:rsidRPr="00594323">
        <w:rPr>
          <w:rFonts w:ascii="Arial" w:hAnsi="Arial" w:cs="Arial"/>
          <w:b/>
          <w:bCs/>
          <w:szCs w:val="21"/>
        </w:rPr>
        <w:t>：</w:t>
      </w:r>
    </w:p>
    <w:p w14:paraId="4603B9F6"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Before Car-T therapy</w:t>
      </w:r>
      <w:r w:rsidRPr="00594323">
        <w:rPr>
          <w:rFonts w:ascii="Arial" w:hAnsi="Arial" w:cs="Arial"/>
          <w:kern w:val="2"/>
          <w:sz w:val="18"/>
          <w:szCs w:val="18"/>
        </w:rPr>
        <w:t>，</w:t>
      </w:r>
      <w:r w:rsidRPr="00594323">
        <w:rPr>
          <w:rFonts w:ascii="Arial" w:hAnsi="Arial" w:cs="Arial"/>
          <w:kern w:val="2"/>
          <w:sz w:val="18"/>
          <w:szCs w:val="18"/>
        </w:rPr>
        <w:t>patients had had a hematopoietic stem cell transplant</w:t>
      </w:r>
      <w:r w:rsidR="009C32E4" w:rsidRPr="00594323">
        <w:rPr>
          <w:rFonts w:ascii="Arial" w:hAnsi="Arial" w:cs="Arial"/>
          <w:kern w:val="2"/>
          <w:sz w:val="18"/>
          <w:szCs w:val="18"/>
        </w:rPr>
        <w:t xml:space="preserve">. We applied myeloablative conditioning (MAC) regimens in the majority of the MDS patients, while received reduced intensive conditioning (RIC) regimens were use in the remaining patients. For MSDT, MAC regimens comprised cytarabine </w:t>
      </w:r>
      <w:r w:rsidR="009C32E4" w:rsidRPr="00594323">
        <w:rPr>
          <w:rFonts w:ascii="Arial" w:hAnsi="Arial" w:cs="Arial"/>
          <w:kern w:val="2"/>
          <w:sz w:val="18"/>
          <w:szCs w:val="18"/>
        </w:rPr>
        <w:lastRenderedPageBreak/>
        <w:t xml:space="preserve">(2g/m2/d, days −9 to −8), </w:t>
      </w:r>
      <w:proofErr w:type="spellStart"/>
      <w:r w:rsidR="009C32E4" w:rsidRPr="00594323">
        <w:rPr>
          <w:rFonts w:ascii="Arial" w:hAnsi="Arial" w:cs="Arial"/>
          <w:kern w:val="2"/>
          <w:sz w:val="18"/>
          <w:szCs w:val="18"/>
        </w:rPr>
        <w:t>semustine</w:t>
      </w:r>
      <w:proofErr w:type="spellEnd"/>
      <w:r w:rsidR="009C32E4" w:rsidRPr="00594323">
        <w:rPr>
          <w:rFonts w:ascii="Arial" w:hAnsi="Arial" w:cs="Arial"/>
          <w:kern w:val="2"/>
          <w:sz w:val="18"/>
          <w:szCs w:val="18"/>
        </w:rPr>
        <w:t xml:space="preserve"> (250mg/m2, day −10), cyclophosphamide (1.8g/m2/d, days −4 to −3) and busulfan (3.2 mg/kg/d, days −7 to −5). For MUDT and HIDT, patients received a MAC regimen identical to that for MSDT despite higher doses of cytarabine (4 g/m2/d, days −9 to −8). Patients receiving MUDT also received hydroxycarbamide (80mg/kg, day −10). Rabbit ATG (Thymoglobulin; </w:t>
      </w:r>
      <w:proofErr w:type="spellStart"/>
      <w:r w:rsidR="009C32E4" w:rsidRPr="00594323">
        <w:rPr>
          <w:rFonts w:ascii="Arial" w:hAnsi="Arial" w:cs="Arial"/>
          <w:kern w:val="2"/>
          <w:sz w:val="18"/>
          <w:szCs w:val="18"/>
        </w:rPr>
        <w:t>ImtixSangstat</w:t>
      </w:r>
      <w:proofErr w:type="spellEnd"/>
      <w:r w:rsidR="009C32E4" w:rsidRPr="00594323">
        <w:rPr>
          <w:rFonts w:ascii="Arial" w:hAnsi="Arial" w:cs="Arial"/>
          <w:kern w:val="2"/>
          <w:sz w:val="18"/>
          <w:szCs w:val="18"/>
        </w:rPr>
        <w:t xml:space="preserve">, Lyon, France) was administered to patients receiving HIDT (10 mg/kg total dose, days −6 to −3) and MUDT (10 mg/kg total dose, days −5 to −2). The RIC comprised fludarabine (30 mg/m /d, 9 days −10 to −6), </w:t>
      </w:r>
      <w:proofErr w:type="spellStart"/>
      <w:r w:rsidR="009C32E4" w:rsidRPr="00594323">
        <w:rPr>
          <w:rFonts w:ascii="Arial" w:hAnsi="Arial" w:cs="Arial"/>
          <w:kern w:val="2"/>
          <w:sz w:val="18"/>
          <w:szCs w:val="18"/>
        </w:rPr>
        <w:t>semustine</w:t>
      </w:r>
      <w:proofErr w:type="spellEnd"/>
      <w:r w:rsidR="009C32E4" w:rsidRPr="00594323">
        <w:rPr>
          <w:rFonts w:ascii="Arial" w:hAnsi="Arial" w:cs="Arial"/>
          <w:kern w:val="2"/>
          <w:sz w:val="18"/>
          <w:szCs w:val="18"/>
        </w:rPr>
        <w:t xml:space="preserve"> (250 mg/m2, day −10), busulfan (3.2 mg/kg/d, 10 days −5 to −3) and cytarabine (1.5 g/m2/d, days −10 to −6). The regimens were as follows: ATG 2.5mg/kg/day, for four days; ATG-F 5mg/kg/day, for four days; ALG 15mg/kg/day, for four days. For a small part of patients who received MSDT, lower dose of ATG (2.5mg/kg/day, for two days) or ATG-</w:t>
      </w:r>
      <w:proofErr w:type="gramStart"/>
      <w:r w:rsidR="009C32E4" w:rsidRPr="00594323">
        <w:rPr>
          <w:rFonts w:ascii="Arial" w:hAnsi="Arial" w:cs="Arial"/>
          <w:kern w:val="2"/>
          <w:sz w:val="18"/>
          <w:szCs w:val="18"/>
        </w:rPr>
        <w:t>F(</w:t>
      </w:r>
      <w:proofErr w:type="gramEnd"/>
      <w:r w:rsidR="009C32E4" w:rsidRPr="00594323">
        <w:rPr>
          <w:rFonts w:ascii="Arial" w:hAnsi="Arial" w:cs="Arial"/>
          <w:kern w:val="2"/>
          <w:sz w:val="18"/>
          <w:szCs w:val="18"/>
        </w:rPr>
        <w:t>5mg/kg/day, for two days) was used.</w:t>
      </w:r>
    </w:p>
    <w:p w14:paraId="1801FF3E" w14:textId="77777777" w:rsidR="00D732C8" w:rsidRPr="00594323" w:rsidRDefault="00D732C8" w:rsidP="00152D91">
      <w:pPr>
        <w:spacing w:line="480" w:lineRule="auto"/>
        <w:rPr>
          <w:rFonts w:ascii="Arial" w:hAnsi="Arial" w:cs="Arial"/>
          <w:kern w:val="2"/>
          <w:sz w:val="18"/>
          <w:szCs w:val="18"/>
        </w:rPr>
      </w:pPr>
    </w:p>
    <w:p w14:paraId="1FA99E14"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E</w:t>
      </w:r>
      <w:r w:rsidR="00F14F91" w:rsidRPr="00594323">
        <w:rPr>
          <w:rFonts w:ascii="Arial" w:hAnsi="Arial" w:cs="Arial"/>
          <w:b/>
          <w:bCs/>
          <w:szCs w:val="21"/>
        </w:rPr>
        <w:t>fficacy of treatment (complete remission)</w:t>
      </w:r>
      <w:r w:rsidR="00F14F91" w:rsidRPr="00594323">
        <w:rPr>
          <w:rFonts w:ascii="Arial" w:hAnsi="Arial" w:cs="Arial"/>
          <w:b/>
          <w:bCs/>
          <w:szCs w:val="21"/>
        </w:rPr>
        <w:t>：</w:t>
      </w:r>
    </w:p>
    <w:p w14:paraId="492233B7" w14:textId="77777777" w:rsidR="00D732C8" w:rsidRPr="00594323" w:rsidRDefault="009C32E4" w:rsidP="00152D91">
      <w:pPr>
        <w:spacing w:line="480" w:lineRule="auto"/>
        <w:rPr>
          <w:rFonts w:ascii="Arial" w:hAnsi="Arial" w:cs="Arial"/>
          <w:kern w:val="2"/>
          <w:sz w:val="18"/>
          <w:szCs w:val="18"/>
        </w:rPr>
      </w:pPr>
      <w:r w:rsidRPr="00594323">
        <w:rPr>
          <w:rFonts w:ascii="Arial" w:hAnsi="Arial" w:cs="Arial"/>
          <w:kern w:val="2"/>
          <w:sz w:val="18"/>
          <w:szCs w:val="18"/>
        </w:rPr>
        <w:t>R</w:t>
      </w:r>
      <w:r w:rsidR="00F14F91" w:rsidRPr="00594323">
        <w:rPr>
          <w:rFonts w:ascii="Arial" w:hAnsi="Arial" w:cs="Arial"/>
          <w:kern w:val="2"/>
          <w:sz w:val="18"/>
          <w:szCs w:val="18"/>
        </w:rPr>
        <w:t>esponse criteria definitions for hematological diseases.</w:t>
      </w:r>
    </w:p>
    <w:p w14:paraId="4026D423"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lastRenderedPageBreak/>
        <w:drawing>
          <wp:inline distT="0" distB="0" distL="114300" distR="114300" wp14:anchorId="3B29DF52" wp14:editId="506913AC">
            <wp:extent cx="5267960" cy="3491230"/>
            <wp:effectExtent l="0" t="0" r="8890" b="13970"/>
            <wp:docPr id="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pic:cNvPicPr>
                      <a:picLocks noChangeAspect="1"/>
                    </pic:cNvPicPr>
                  </pic:nvPicPr>
                  <pic:blipFill>
                    <a:blip r:embed="rId43"/>
                    <a:stretch>
                      <a:fillRect/>
                    </a:stretch>
                  </pic:blipFill>
                  <pic:spPr>
                    <a:xfrm>
                      <a:off x="0" y="0"/>
                      <a:ext cx="5267960" cy="3491230"/>
                    </a:xfrm>
                    <a:prstGeom prst="rect">
                      <a:avLst/>
                    </a:prstGeom>
                    <a:noFill/>
                    <a:ln w="9525">
                      <a:noFill/>
                    </a:ln>
                  </pic:spPr>
                </pic:pic>
              </a:graphicData>
            </a:graphic>
          </wp:inline>
        </w:drawing>
      </w:r>
    </w:p>
    <w:p w14:paraId="2CA528B2" w14:textId="77777777" w:rsidR="00D732C8" w:rsidRPr="00594323" w:rsidRDefault="00D732C8" w:rsidP="00152D91">
      <w:pPr>
        <w:spacing w:line="480" w:lineRule="auto"/>
        <w:rPr>
          <w:rFonts w:ascii="Arial" w:hAnsi="Arial" w:cs="Arial"/>
          <w:kern w:val="2"/>
          <w:sz w:val="18"/>
          <w:szCs w:val="18"/>
        </w:rPr>
      </w:pPr>
    </w:p>
    <w:p w14:paraId="5716F04E"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noProof/>
        </w:rPr>
        <w:lastRenderedPageBreak/>
        <w:drawing>
          <wp:inline distT="0" distB="0" distL="114300" distR="114300" wp14:anchorId="6A2480E1" wp14:editId="157117F3">
            <wp:extent cx="5268595" cy="3638550"/>
            <wp:effectExtent l="0" t="0" r="8255" b="0"/>
            <wp:docPr id="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5"/>
                    <pic:cNvPicPr>
                      <a:picLocks noChangeAspect="1"/>
                    </pic:cNvPicPr>
                  </pic:nvPicPr>
                  <pic:blipFill>
                    <a:blip r:embed="rId44"/>
                    <a:stretch>
                      <a:fillRect/>
                    </a:stretch>
                  </pic:blipFill>
                  <pic:spPr>
                    <a:xfrm>
                      <a:off x="0" y="0"/>
                      <a:ext cx="5268595" cy="3638550"/>
                    </a:xfrm>
                    <a:prstGeom prst="rect">
                      <a:avLst/>
                    </a:prstGeom>
                    <a:noFill/>
                    <a:ln w="9525">
                      <a:noFill/>
                    </a:ln>
                  </pic:spPr>
                </pic:pic>
              </a:graphicData>
            </a:graphic>
          </wp:inline>
        </w:drawing>
      </w:r>
    </w:p>
    <w:p w14:paraId="260DD0A8" w14:textId="77777777" w:rsidR="00D732C8" w:rsidRPr="00594323" w:rsidRDefault="00D732C8" w:rsidP="00152D91">
      <w:pPr>
        <w:spacing w:line="480" w:lineRule="auto"/>
        <w:rPr>
          <w:rFonts w:ascii="Arial" w:hAnsi="Arial" w:cs="Arial"/>
          <w:b/>
          <w:bCs/>
          <w:szCs w:val="21"/>
        </w:rPr>
      </w:pPr>
    </w:p>
    <w:p w14:paraId="7B0A7B38"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2EB08172" wp14:editId="4462C6C9">
            <wp:extent cx="5268595" cy="3664585"/>
            <wp:effectExtent l="0" t="0" r="8255" b="12065"/>
            <wp:docPr id="2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7"/>
                    <pic:cNvPicPr>
                      <a:picLocks noChangeAspect="1"/>
                    </pic:cNvPicPr>
                  </pic:nvPicPr>
                  <pic:blipFill>
                    <a:blip r:embed="rId45"/>
                    <a:stretch>
                      <a:fillRect/>
                    </a:stretch>
                  </pic:blipFill>
                  <pic:spPr>
                    <a:xfrm>
                      <a:off x="0" y="0"/>
                      <a:ext cx="5268595" cy="3664585"/>
                    </a:xfrm>
                    <a:prstGeom prst="rect">
                      <a:avLst/>
                    </a:prstGeom>
                    <a:noFill/>
                    <a:ln w="9525">
                      <a:noFill/>
                    </a:ln>
                  </pic:spPr>
                </pic:pic>
              </a:graphicData>
            </a:graphic>
          </wp:inline>
        </w:drawing>
      </w:r>
    </w:p>
    <w:p w14:paraId="5C260A67" w14:textId="77777777" w:rsidR="00D732C8" w:rsidRPr="00594323" w:rsidRDefault="00D732C8" w:rsidP="00152D91">
      <w:pPr>
        <w:spacing w:line="480" w:lineRule="auto"/>
        <w:rPr>
          <w:rFonts w:ascii="Arial" w:hAnsi="Arial" w:cs="Arial"/>
        </w:rPr>
      </w:pPr>
    </w:p>
    <w:p w14:paraId="3A6A0362"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1C70D4BA" wp14:editId="2F9DB6E4">
            <wp:extent cx="5273675" cy="3639185"/>
            <wp:effectExtent l="0" t="0" r="3175" b="18415"/>
            <wp:docPr id="2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8"/>
                    <pic:cNvPicPr>
                      <a:picLocks noChangeAspect="1"/>
                    </pic:cNvPicPr>
                  </pic:nvPicPr>
                  <pic:blipFill>
                    <a:blip r:embed="rId46"/>
                    <a:stretch>
                      <a:fillRect/>
                    </a:stretch>
                  </pic:blipFill>
                  <pic:spPr>
                    <a:xfrm>
                      <a:off x="0" y="0"/>
                      <a:ext cx="5273675" cy="3639185"/>
                    </a:xfrm>
                    <a:prstGeom prst="rect">
                      <a:avLst/>
                    </a:prstGeom>
                    <a:noFill/>
                    <a:ln w="9525">
                      <a:noFill/>
                    </a:ln>
                  </pic:spPr>
                </pic:pic>
              </a:graphicData>
            </a:graphic>
          </wp:inline>
        </w:drawing>
      </w:r>
    </w:p>
    <w:p w14:paraId="1010AB02" w14:textId="77777777" w:rsidR="00D732C8" w:rsidRPr="00594323" w:rsidRDefault="00D732C8" w:rsidP="00152D91">
      <w:pPr>
        <w:spacing w:line="480" w:lineRule="auto"/>
        <w:rPr>
          <w:rFonts w:ascii="Arial" w:hAnsi="Arial" w:cs="Arial"/>
        </w:rPr>
      </w:pPr>
    </w:p>
    <w:p w14:paraId="6A7D2E7C"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507E2211" wp14:editId="11EDCCD5">
            <wp:extent cx="5271135" cy="3593465"/>
            <wp:effectExtent l="0" t="0" r="5715" b="6985"/>
            <wp:docPr id="2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9"/>
                    <pic:cNvPicPr>
                      <a:picLocks noChangeAspect="1"/>
                    </pic:cNvPicPr>
                  </pic:nvPicPr>
                  <pic:blipFill>
                    <a:blip r:embed="rId47"/>
                    <a:stretch>
                      <a:fillRect/>
                    </a:stretch>
                  </pic:blipFill>
                  <pic:spPr>
                    <a:xfrm>
                      <a:off x="0" y="0"/>
                      <a:ext cx="5271135" cy="3593465"/>
                    </a:xfrm>
                    <a:prstGeom prst="rect">
                      <a:avLst/>
                    </a:prstGeom>
                    <a:noFill/>
                    <a:ln w="9525">
                      <a:noFill/>
                    </a:ln>
                  </pic:spPr>
                </pic:pic>
              </a:graphicData>
            </a:graphic>
          </wp:inline>
        </w:drawing>
      </w:r>
    </w:p>
    <w:p w14:paraId="5F6D452E" w14:textId="77777777" w:rsidR="00D732C8" w:rsidRPr="00594323" w:rsidRDefault="00D732C8" w:rsidP="00152D91">
      <w:pPr>
        <w:spacing w:line="480" w:lineRule="auto"/>
        <w:rPr>
          <w:rFonts w:ascii="Arial" w:hAnsi="Arial" w:cs="Arial"/>
        </w:rPr>
      </w:pPr>
    </w:p>
    <w:p w14:paraId="7E03D265"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6AD7B502" wp14:editId="7047FF51">
            <wp:extent cx="6101715" cy="4236720"/>
            <wp:effectExtent l="0" t="0" r="13335" b="11430"/>
            <wp:docPr id="2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pic:cNvPicPr>
                      <a:picLocks noChangeAspect="1"/>
                    </pic:cNvPicPr>
                  </pic:nvPicPr>
                  <pic:blipFill>
                    <a:blip r:embed="rId48"/>
                    <a:stretch>
                      <a:fillRect/>
                    </a:stretch>
                  </pic:blipFill>
                  <pic:spPr>
                    <a:xfrm>
                      <a:off x="0" y="0"/>
                      <a:ext cx="6101715" cy="4236720"/>
                    </a:xfrm>
                    <a:prstGeom prst="rect">
                      <a:avLst/>
                    </a:prstGeom>
                    <a:noFill/>
                    <a:ln w="9525">
                      <a:noFill/>
                    </a:ln>
                  </pic:spPr>
                </pic:pic>
              </a:graphicData>
            </a:graphic>
          </wp:inline>
        </w:drawing>
      </w:r>
    </w:p>
    <w:p w14:paraId="73AB60FA"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151AAE5B" wp14:editId="3B9F8A23">
            <wp:extent cx="6118860" cy="4309110"/>
            <wp:effectExtent l="0" t="0" r="15240" b="15240"/>
            <wp:docPr id="2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1"/>
                    <pic:cNvPicPr>
                      <a:picLocks noChangeAspect="1"/>
                    </pic:cNvPicPr>
                  </pic:nvPicPr>
                  <pic:blipFill>
                    <a:blip r:embed="rId49"/>
                    <a:stretch>
                      <a:fillRect/>
                    </a:stretch>
                  </pic:blipFill>
                  <pic:spPr>
                    <a:xfrm>
                      <a:off x="0" y="0"/>
                      <a:ext cx="6118860" cy="4309110"/>
                    </a:xfrm>
                    <a:prstGeom prst="rect">
                      <a:avLst/>
                    </a:prstGeom>
                    <a:noFill/>
                    <a:ln w="9525">
                      <a:noFill/>
                    </a:ln>
                  </pic:spPr>
                </pic:pic>
              </a:graphicData>
            </a:graphic>
          </wp:inline>
        </w:drawing>
      </w:r>
    </w:p>
    <w:p w14:paraId="10B4536E"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72833994" wp14:editId="2F44CCF1">
            <wp:extent cx="6107430" cy="1423670"/>
            <wp:effectExtent l="0" t="0" r="7620" b="5080"/>
            <wp:docPr id="3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2"/>
                    <pic:cNvPicPr>
                      <a:picLocks noChangeAspect="1"/>
                    </pic:cNvPicPr>
                  </pic:nvPicPr>
                  <pic:blipFill>
                    <a:blip r:embed="rId50"/>
                    <a:stretch>
                      <a:fillRect/>
                    </a:stretch>
                  </pic:blipFill>
                  <pic:spPr>
                    <a:xfrm>
                      <a:off x="0" y="0"/>
                      <a:ext cx="6107430" cy="1423670"/>
                    </a:xfrm>
                    <a:prstGeom prst="rect">
                      <a:avLst/>
                    </a:prstGeom>
                    <a:noFill/>
                    <a:ln w="9525">
                      <a:noFill/>
                    </a:ln>
                  </pic:spPr>
                </pic:pic>
              </a:graphicData>
            </a:graphic>
          </wp:inline>
        </w:drawing>
      </w:r>
    </w:p>
    <w:p w14:paraId="70F15922" w14:textId="77777777" w:rsidR="00D732C8" w:rsidRPr="00594323" w:rsidRDefault="00F14F91" w:rsidP="00152D91">
      <w:pPr>
        <w:spacing w:line="480" w:lineRule="auto"/>
        <w:rPr>
          <w:rFonts w:ascii="Arial" w:hAnsi="Arial" w:cs="Arial"/>
        </w:rPr>
      </w:pPr>
      <w:r w:rsidRPr="00594323">
        <w:rPr>
          <w:rFonts w:ascii="Arial" w:hAnsi="Arial" w:cs="Arial"/>
          <w:noProof/>
        </w:rPr>
        <w:drawing>
          <wp:inline distT="0" distB="0" distL="114300" distR="114300" wp14:anchorId="7D76FBDC" wp14:editId="58A91D9B">
            <wp:extent cx="6054090" cy="2553970"/>
            <wp:effectExtent l="0" t="0" r="3810" b="17780"/>
            <wp:docPr id="3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3"/>
                    <pic:cNvPicPr>
                      <a:picLocks noChangeAspect="1"/>
                    </pic:cNvPicPr>
                  </pic:nvPicPr>
                  <pic:blipFill>
                    <a:blip r:embed="rId51"/>
                    <a:stretch>
                      <a:fillRect/>
                    </a:stretch>
                  </pic:blipFill>
                  <pic:spPr>
                    <a:xfrm>
                      <a:off x="0" y="0"/>
                      <a:ext cx="6054090" cy="2553970"/>
                    </a:xfrm>
                    <a:prstGeom prst="rect">
                      <a:avLst/>
                    </a:prstGeom>
                    <a:noFill/>
                    <a:ln w="9525">
                      <a:noFill/>
                    </a:ln>
                  </pic:spPr>
                </pic:pic>
              </a:graphicData>
            </a:graphic>
          </wp:inline>
        </w:drawing>
      </w:r>
    </w:p>
    <w:p w14:paraId="75F553B3" w14:textId="77777777" w:rsidR="00D732C8" w:rsidRPr="00594323" w:rsidRDefault="00D732C8" w:rsidP="00152D91">
      <w:pPr>
        <w:spacing w:line="480" w:lineRule="auto"/>
        <w:rPr>
          <w:rFonts w:ascii="Arial" w:hAnsi="Arial" w:cs="Arial"/>
        </w:rPr>
      </w:pPr>
    </w:p>
    <w:p w14:paraId="5F98FF06"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6AE1B8B8" wp14:editId="70785CE2">
            <wp:extent cx="5270500" cy="3500120"/>
            <wp:effectExtent l="0" t="0" r="6350" b="5080"/>
            <wp:docPr id="56"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8"/>
                    <pic:cNvPicPr>
                      <a:picLocks noChangeAspect="1"/>
                    </pic:cNvPicPr>
                  </pic:nvPicPr>
                  <pic:blipFill>
                    <a:blip r:embed="rId52"/>
                    <a:stretch>
                      <a:fillRect/>
                    </a:stretch>
                  </pic:blipFill>
                  <pic:spPr>
                    <a:xfrm>
                      <a:off x="0" y="0"/>
                      <a:ext cx="5270500" cy="3500120"/>
                    </a:xfrm>
                    <a:prstGeom prst="rect">
                      <a:avLst/>
                    </a:prstGeom>
                    <a:noFill/>
                    <a:ln w="9525">
                      <a:noFill/>
                    </a:ln>
                  </pic:spPr>
                </pic:pic>
              </a:graphicData>
            </a:graphic>
          </wp:inline>
        </w:drawing>
      </w:r>
    </w:p>
    <w:p w14:paraId="0B7C72E8" w14:textId="77777777" w:rsidR="00D732C8" w:rsidRPr="00594323" w:rsidRDefault="00D732C8" w:rsidP="00152D91">
      <w:pPr>
        <w:spacing w:line="480" w:lineRule="auto"/>
        <w:rPr>
          <w:rFonts w:ascii="Arial" w:hAnsi="Arial" w:cs="Arial"/>
        </w:rPr>
      </w:pPr>
    </w:p>
    <w:p w14:paraId="4050ED12"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5490359F" wp14:editId="3B6607C7">
            <wp:extent cx="5271135" cy="3505200"/>
            <wp:effectExtent l="0" t="0" r="5715" b="0"/>
            <wp:docPr id="5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9"/>
                    <pic:cNvPicPr>
                      <a:picLocks noChangeAspect="1"/>
                    </pic:cNvPicPr>
                  </pic:nvPicPr>
                  <pic:blipFill>
                    <a:blip r:embed="rId53"/>
                    <a:stretch>
                      <a:fillRect/>
                    </a:stretch>
                  </pic:blipFill>
                  <pic:spPr>
                    <a:xfrm>
                      <a:off x="0" y="0"/>
                      <a:ext cx="5271135" cy="3505200"/>
                    </a:xfrm>
                    <a:prstGeom prst="rect">
                      <a:avLst/>
                    </a:prstGeom>
                    <a:noFill/>
                    <a:ln w="9525">
                      <a:noFill/>
                    </a:ln>
                  </pic:spPr>
                </pic:pic>
              </a:graphicData>
            </a:graphic>
          </wp:inline>
        </w:drawing>
      </w:r>
    </w:p>
    <w:p w14:paraId="7BA3AD9E" w14:textId="77777777" w:rsidR="00D732C8" w:rsidRPr="00594323" w:rsidRDefault="00D732C8" w:rsidP="00152D91">
      <w:pPr>
        <w:spacing w:line="480" w:lineRule="auto"/>
        <w:rPr>
          <w:rFonts w:ascii="Arial" w:hAnsi="Arial" w:cs="Arial"/>
        </w:rPr>
      </w:pPr>
    </w:p>
    <w:p w14:paraId="51487DAF" w14:textId="77777777" w:rsidR="00D732C8" w:rsidRPr="00594323" w:rsidRDefault="00D732C8" w:rsidP="00152D91">
      <w:pPr>
        <w:spacing w:line="480" w:lineRule="auto"/>
        <w:rPr>
          <w:rFonts w:ascii="Arial" w:hAnsi="Arial" w:cs="Arial"/>
        </w:rPr>
      </w:pPr>
    </w:p>
    <w:p w14:paraId="650A8301" w14:textId="77777777" w:rsidR="00D732C8" w:rsidRPr="00594323" w:rsidRDefault="00D732C8" w:rsidP="00152D91">
      <w:pPr>
        <w:spacing w:line="480" w:lineRule="auto"/>
        <w:rPr>
          <w:rFonts w:ascii="Arial" w:hAnsi="Arial" w:cs="Arial"/>
        </w:rPr>
      </w:pPr>
    </w:p>
    <w:p w14:paraId="5F50B4CC"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5445302A" wp14:editId="7D55910C">
            <wp:extent cx="5267325" cy="3637280"/>
            <wp:effectExtent l="0" t="0" r="9525" b="1270"/>
            <wp:docPr id="3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4"/>
                    <pic:cNvPicPr>
                      <a:picLocks noChangeAspect="1"/>
                    </pic:cNvPicPr>
                  </pic:nvPicPr>
                  <pic:blipFill>
                    <a:blip r:embed="rId54"/>
                    <a:stretch>
                      <a:fillRect/>
                    </a:stretch>
                  </pic:blipFill>
                  <pic:spPr>
                    <a:xfrm>
                      <a:off x="0" y="0"/>
                      <a:ext cx="5267325" cy="3637280"/>
                    </a:xfrm>
                    <a:prstGeom prst="rect">
                      <a:avLst/>
                    </a:prstGeom>
                    <a:noFill/>
                    <a:ln w="9525">
                      <a:noFill/>
                    </a:ln>
                  </pic:spPr>
                </pic:pic>
              </a:graphicData>
            </a:graphic>
          </wp:inline>
        </w:drawing>
      </w:r>
    </w:p>
    <w:p w14:paraId="3634E47B" w14:textId="77777777" w:rsidR="00D732C8" w:rsidRPr="00594323" w:rsidRDefault="00D732C8" w:rsidP="00152D91">
      <w:pPr>
        <w:spacing w:line="480" w:lineRule="auto"/>
        <w:rPr>
          <w:rFonts w:ascii="Arial" w:hAnsi="Arial" w:cs="Arial"/>
        </w:rPr>
      </w:pPr>
    </w:p>
    <w:p w14:paraId="262E0B84"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56AA78BD" wp14:editId="64E6BC68">
            <wp:extent cx="5270500" cy="3597275"/>
            <wp:effectExtent l="0" t="0" r="6350" b="3175"/>
            <wp:docPr id="3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6"/>
                    <pic:cNvPicPr>
                      <a:picLocks noChangeAspect="1"/>
                    </pic:cNvPicPr>
                  </pic:nvPicPr>
                  <pic:blipFill>
                    <a:blip r:embed="rId55"/>
                    <a:stretch>
                      <a:fillRect/>
                    </a:stretch>
                  </pic:blipFill>
                  <pic:spPr>
                    <a:xfrm>
                      <a:off x="0" y="0"/>
                      <a:ext cx="5270500" cy="3597275"/>
                    </a:xfrm>
                    <a:prstGeom prst="rect">
                      <a:avLst/>
                    </a:prstGeom>
                    <a:noFill/>
                    <a:ln w="9525">
                      <a:noFill/>
                    </a:ln>
                  </pic:spPr>
                </pic:pic>
              </a:graphicData>
            </a:graphic>
          </wp:inline>
        </w:drawing>
      </w:r>
    </w:p>
    <w:p w14:paraId="4F7C8FB5" w14:textId="77777777" w:rsidR="00D732C8" w:rsidRPr="00594323" w:rsidRDefault="00D732C8" w:rsidP="00152D91">
      <w:pPr>
        <w:spacing w:line="480" w:lineRule="auto"/>
        <w:rPr>
          <w:rFonts w:ascii="Arial" w:hAnsi="Arial" w:cs="Arial"/>
        </w:rPr>
      </w:pPr>
    </w:p>
    <w:p w14:paraId="78A1FAE7"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02D6C225" wp14:editId="03E2A930">
            <wp:extent cx="5271770" cy="3618865"/>
            <wp:effectExtent l="0" t="0" r="5080" b="635"/>
            <wp:docPr id="4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4"/>
                    <pic:cNvPicPr>
                      <a:picLocks noChangeAspect="1"/>
                    </pic:cNvPicPr>
                  </pic:nvPicPr>
                  <pic:blipFill>
                    <a:blip r:embed="rId56"/>
                    <a:stretch>
                      <a:fillRect/>
                    </a:stretch>
                  </pic:blipFill>
                  <pic:spPr>
                    <a:xfrm>
                      <a:off x="0" y="0"/>
                      <a:ext cx="5271770" cy="3618865"/>
                    </a:xfrm>
                    <a:prstGeom prst="rect">
                      <a:avLst/>
                    </a:prstGeom>
                    <a:noFill/>
                    <a:ln w="9525">
                      <a:noFill/>
                    </a:ln>
                  </pic:spPr>
                </pic:pic>
              </a:graphicData>
            </a:graphic>
          </wp:inline>
        </w:drawing>
      </w:r>
    </w:p>
    <w:p w14:paraId="79235C30" w14:textId="77777777" w:rsidR="00D732C8" w:rsidRPr="00594323" w:rsidRDefault="00D732C8" w:rsidP="00152D91">
      <w:pPr>
        <w:spacing w:line="480" w:lineRule="auto"/>
        <w:rPr>
          <w:rFonts w:ascii="Arial" w:hAnsi="Arial" w:cs="Arial"/>
        </w:rPr>
      </w:pPr>
    </w:p>
    <w:p w14:paraId="5C948968"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29813C35" wp14:editId="5DEF7657">
            <wp:extent cx="5269865" cy="3592195"/>
            <wp:effectExtent l="0" t="0" r="6985" b="8255"/>
            <wp:docPr id="4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6"/>
                    <pic:cNvPicPr>
                      <a:picLocks noChangeAspect="1"/>
                    </pic:cNvPicPr>
                  </pic:nvPicPr>
                  <pic:blipFill>
                    <a:blip r:embed="rId57"/>
                    <a:stretch>
                      <a:fillRect/>
                    </a:stretch>
                  </pic:blipFill>
                  <pic:spPr>
                    <a:xfrm>
                      <a:off x="0" y="0"/>
                      <a:ext cx="5269865" cy="3592195"/>
                    </a:xfrm>
                    <a:prstGeom prst="rect">
                      <a:avLst/>
                    </a:prstGeom>
                    <a:noFill/>
                    <a:ln w="9525">
                      <a:noFill/>
                    </a:ln>
                  </pic:spPr>
                </pic:pic>
              </a:graphicData>
            </a:graphic>
          </wp:inline>
        </w:drawing>
      </w:r>
    </w:p>
    <w:p w14:paraId="4968513E" w14:textId="77777777" w:rsidR="00D732C8" w:rsidRPr="00594323" w:rsidRDefault="00D732C8" w:rsidP="00152D91">
      <w:pPr>
        <w:spacing w:line="480" w:lineRule="auto"/>
        <w:rPr>
          <w:rFonts w:ascii="Arial" w:hAnsi="Arial" w:cs="Arial"/>
        </w:rPr>
      </w:pPr>
    </w:p>
    <w:p w14:paraId="42019808"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469BC1EE" wp14:editId="606BB335">
            <wp:extent cx="5267960" cy="3056255"/>
            <wp:effectExtent l="0" t="0" r="8890" b="10795"/>
            <wp:docPr id="49"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1"/>
                    <pic:cNvPicPr>
                      <a:picLocks noChangeAspect="1"/>
                    </pic:cNvPicPr>
                  </pic:nvPicPr>
                  <pic:blipFill>
                    <a:blip r:embed="rId58"/>
                    <a:stretch>
                      <a:fillRect/>
                    </a:stretch>
                  </pic:blipFill>
                  <pic:spPr>
                    <a:xfrm>
                      <a:off x="0" y="0"/>
                      <a:ext cx="5267960" cy="3056255"/>
                    </a:xfrm>
                    <a:prstGeom prst="rect">
                      <a:avLst/>
                    </a:prstGeom>
                    <a:noFill/>
                    <a:ln w="9525">
                      <a:noFill/>
                    </a:ln>
                  </pic:spPr>
                </pic:pic>
              </a:graphicData>
            </a:graphic>
          </wp:inline>
        </w:drawing>
      </w:r>
    </w:p>
    <w:p w14:paraId="523242F2"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1EC6D9BD" wp14:editId="4D9BE733">
            <wp:extent cx="5267325" cy="3599180"/>
            <wp:effectExtent l="0" t="0" r="9525" b="1270"/>
            <wp:docPr id="5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43"/>
                    <pic:cNvPicPr>
                      <a:picLocks noChangeAspect="1"/>
                    </pic:cNvPicPr>
                  </pic:nvPicPr>
                  <pic:blipFill>
                    <a:blip r:embed="rId59"/>
                    <a:stretch>
                      <a:fillRect/>
                    </a:stretch>
                  </pic:blipFill>
                  <pic:spPr>
                    <a:xfrm>
                      <a:off x="0" y="0"/>
                      <a:ext cx="5267325" cy="3599180"/>
                    </a:xfrm>
                    <a:prstGeom prst="rect">
                      <a:avLst/>
                    </a:prstGeom>
                    <a:noFill/>
                    <a:ln w="9525">
                      <a:noFill/>
                    </a:ln>
                  </pic:spPr>
                </pic:pic>
              </a:graphicData>
            </a:graphic>
          </wp:inline>
        </w:drawing>
      </w:r>
    </w:p>
    <w:p w14:paraId="6D3F2829" w14:textId="77777777" w:rsidR="00D732C8" w:rsidRPr="00594323" w:rsidRDefault="00D732C8" w:rsidP="00152D91">
      <w:pPr>
        <w:spacing w:line="480" w:lineRule="auto"/>
        <w:rPr>
          <w:rFonts w:ascii="Arial" w:hAnsi="Arial" w:cs="Arial"/>
        </w:rPr>
      </w:pPr>
    </w:p>
    <w:p w14:paraId="2AF49C77"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71016A90" wp14:editId="5E620AC0">
            <wp:extent cx="5273040" cy="3599815"/>
            <wp:effectExtent l="0" t="0" r="3810" b="635"/>
            <wp:docPr id="52"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4"/>
                    <pic:cNvPicPr>
                      <a:picLocks noChangeAspect="1"/>
                    </pic:cNvPicPr>
                  </pic:nvPicPr>
                  <pic:blipFill>
                    <a:blip r:embed="rId60"/>
                    <a:stretch>
                      <a:fillRect/>
                    </a:stretch>
                  </pic:blipFill>
                  <pic:spPr>
                    <a:xfrm>
                      <a:off x="0" y="0"/>
                      <a:ext cx="5273040" cy="3599815"/>
                    </a:xfrm>
                    <a:prstGeom prst="rect">
                      <a:avLst/>
                    </a:prstGeom>
                    <a:noFill/>
                    <a:ln w="9525">
                      <a:noFill/>
                    </a:ln>
                  </pic:spPr>
                </pic:pic>
              </a:graphicData>
            </a:graphic>
          </wp:inline>
        </w:drawing>
      </w:r>
    </w:p>
    <w:p w14:paraId="0523468B" w14:textId="77777777" w:rsidR="00D732C8" w:rsidRPr="00594323" w:rsidRDefault="00D732C8" w:rsidP="00152D91">
      <w:pPr>
        <w:spacing w:line="480" w:lineRule="auto"/>
        <w:rPr>
          <w:rFonts w:ascii="Arial" w:hAnsi="Arial" w:cs="Arial"/>
        </w:rPr>
      </w:pPr>
    </w:p>
    <w:p w14:paraId="3555F6A6"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72434C14" wp14:editId="1ACA7D6D">
            <wp:extent cx="5271770" cy="3612515"/>
            <wp:effectExtent l="0" t="0" r="5080" b="6985"/>
            <wp:docPr id="53"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5"/>
                    <pic:cNvPicPr>
                      <a:picLocks noChangeAspect="1"/>
                    </pic:cNvPicPr>
                  </pic:nvPicPr>
                  <pic:blipFill>
                    <a:blip r:embed="rId61"/>
                    <a:stretch>
                      <a:fillRect/>
                    </a:stretch>
                  </pic:blipFill>
                  <pic:spPr>
                    <a:xfrm>
                      <a:off x="0" y="0"/>
                      <a:ext cx="5271770" cy="3612515"/>
                    </a:xfrm>
                    <a:prstGeom prst="rect">
                      <a:avLst/>
                    </a:prstGeom>
                    <a:noFill/>
                    <a:ln w="9525">
                      <a:noFill/>
                    </a:ln>
                  </pic:spPr>
                </pic:pic>
              </a:graphicData>
            </a:graphic>
          </wp:inline>
        </w:drawing>
      </w:r>
    </w:p>
    <w:p w14:paraId="3DE401F7" w14:textId="77777777" w:rsidR="00D732C8" w:rsidRPr="00594323" w:rsidRDefault="00D732C8" w:rsidP="00152D91">
      <w:pPr>
        <w:spacing w:line="480" w:lineRule="auto"/>
        <w:rPr>
          <w:rFonts w:ascii="Arial" w:hAnsi="Arial" w:cs="Arial"/>
        </w:rPr>
      </w:pPr>
    </w:p>
    <w:p w14:paraId="6F2C3B64"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653A7046" wp14:editId="0DF217AE">
            <wp:extent cx="5267960" cy="3590290"/>
            <wp:effectExtent l="0" t="0" r="8890" b="10160"/>
            <wp:docPr id="54"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6"/>
                    <pic:cNvPicPr>
                      <a:picLocks noChangeAspect="1"/>
                    </pic:cNvPicPr>
                  </pic:nvPicPr>
                  <pic:blipFill>
                    <a:blip r:embed="rId62"/>
                    <a:stretch>
                      <a:fillRect/>
                    </a:stretch>
                  </pic:blipFill>
                  <pic:spPr>
                    <a:xfrm>
                      <a:off x="0" y="0"/>
                      <a:ext cx="5267960" cy="3590290"/>
                    </a:xfrm>
                    <a:prstGeom prst="rect">
                      <a:avLst/>
                    </a:prstGeom>
                    <a:noFill/>
                    <a:ln w="9525">
                      <a:noFill/>
                    </a:ln>
                  </pic:spPr>
                </pic:pic>
              </a:graphicData>
            </a:graphic>
          </wp:inline>
        </w:drawing>
      </w:r>
    </w:p>
    <w:p w14:paraId="0EEF634B" w14:textId="77777777" w:rsidR="00D732C8" w:rsidRPr="00594323" w:rsidRDefault="00D732C8" w:rsidP="00152D91">
      <w:pPr>
        <w:spacing w:line="480" w:lineRule="auto"/>
        <w:rPr>
          <w:rFonts w:ascii="Arial" w:hAnsi="Arial" w:cs="Arial"/>
        </w:rPr>
      </w:pPr>
    </w:p>
    <w:p w14:paraId="10C0E062"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1B83376B" wp14:editId="13F1C91C">
            <wp:extent cx="5267960" cy="3583940"/>
            <wp:effectExtent l="0" t="0" r="8890" b="16510"/>
            <wp:docPr id="55"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7"/>
                    <pic:cNvPicPr>
                      <a:picLocks noChangeAspect="1"/>
                    </pic:cNvPicPr>
                  </pic:nvPicPr>
                  <pic:blipFill>
                    <a:blip r:embed="rId63"/>
                    <a:stretch>
                      <a:fillRect/>
                    </a:stretch>
                  </pic:blipFill>
                  <pic:spPr>
                    <a:xfrm>
                      <a:off x="0" y="0"/>
                      <a:ext cx="5267960" cy="3583940"/>
                    </a:xfrm>
                    <a:prstGeom prst="rect">
                      <a:avLst/>
                    </a:prstGeom>
                    <a:noFill/>
                    <a:ln w="9525">
                      <a:noFill/>
                    </a:ln>
                  </pic:spPr>
                </pic:pic>
              </a:graphicData>
            </a:graphic>
          </wp:inline>
        </w:drawing>
      </w:r>
    </w:p>
    <w:p w14:paraId="526CC28D" w14:textId="77777777" w:rsidR="00D732C8" w:rsidRPr="00594323" w:rsidRDefault="00D732C8" w:rsidP="00152D91">
      <w:pPr>
        <w:spacing w:line="480" w:lineRule="auto"/>
        <w:rPr>
          <w:rFonts w:ascii="Arial" w:hAnsi="Arial" w:cs="Arial"/>
          <w:b/>
          <w:bCs/>
          <w:szCs w:val="21"/>
        </w:rPr>
      </w:pPr>
    </w:p>
    <w:p w14:paraId="317088D8"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3DBCE45B" wp14:editId="12913ED8">
            <wp:extent cx="5273675" cy="3548380"/>
            <wp:effectExtent l="0" t="0" r="3175" b="13970"/>
            <wp:docPr id="6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2"/>
                    <pic:cNvPicPr>
                      <a:picLocks noChangeAspect="1"/>
                    </pic:cNvPicPr>
                  </pic:nvPicPr>
                  <pic:blipFill>
                    <a:blip r:embed="rId64"/>
                    <a:stretch>
                      <a:fillRect/>
                    </a:stretch>
                  </pic:blipFill>
                  <pic:spPr>
                    <a:xfrm>
                      <a:off x="0" y="0"/>
                      <a:ext cx="5273675" cy="3548380"/>
                    </a:xfrm>
                    <a:prstGeom prst="rect">
                      <a:avLst/>
                    </a:prstGeom>
                    <a:noFill/>
                    <a:ln w="9525">
                      <a:noFill/>
                    </a:ln>
                  </pic:spPr>
                </pic:pic>
              </a:graphicData>
            </a:graphic>
          </wp:inline>
        </w:drawing>
      </w:r>
    </w:p>
    <w:p w14:paraId="453E9658" w14:textId="77777777" w:rsidR="00D732C8" w:rsidRPr="00594323" w:rsidRDefault="00D732C8" w:rsidP="00152D91">
      <w:pPr>
        <w:spacing w:line="480" w:lineRule="auto"/>
        <w:rPr>
          <w:rFonts w:ascii="Arial" w:hAnsi="Arial" w:cs="Arial"/>
        </w:rPr>
      </w:pPr>
    </w:p>
    <w:p w14:paraId="0D1A7993" w14:textId="77777777" w:rsidR="00D732C8" w:rsidRPr="00594323" w:rsidRDefault="00D732C8" w:rsidP="00152D91">
      <w:pPr>
        <w:spacing w:line="480" w:lineRule="auto"/>
        <w:rPr>
          <w:rFonts w:ascii="Arial" w:hAnsi="Arial" w:cs="Arial"/>
          <w:b/>
          <w:bCs/>
          <w:szCs w:val="21"/>
        </w:rPr>
      </w:pPr>
    </w:p>
    <w:p w14:paraId="4BB6BA71"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69249864" wp14:editId="3BF72FCF">
            <wp:extent cx="5272405" cy="3749675"/>
            <wp:effectExtent l="0" t="0" r="4445" b="3175"/>
            <wp:docPr id="5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0"/>
                    <pic:cNvPicPr>
                      <a:picLocks noChangeAspect="1"/>
                    </pic:cNvPicPr>
                  </pic:nvPicPr>
                  <pic:blipFill>
                    <a:blip r:embed="rId65"/>
                    <a:stretch>
                      <a:fillRect/>
                    </a:stretch>
                  </pic:blipFill>
                  <pic:spPr>
                    <a:xfrm>
                      <a:off x="0" y="0"/>
                      <a:ext cx="5272405" cy="3749675"/>
                    </a:xfrm>
                    <a:prstGeom prst="rect">
                      <a:avLst/>
                    </a:prstGeom>
                    <a:noFill/>
                    <a:ln w="9525">
                      <a:noFill/>
                    </a:ln>
                  </pic:spPr>
                </pic:pic>
              </a:graphicData>
            </a:graphic>
          </wp:inline>
        </w:drawing>
      </w:r>
    </w:p>
    <w:p w14:paraId="3C1B6A2D" w14:textId="77777777" w:rsidR="00D732C8" w:rsidRPr="00594323" w:rsidRDefault="00D732C8" w:rsidP="00152D91">
      <w:pPr>
        <w:spacing w:line="480" w:lineRule="auto"/>
        <w:rPr>
          <w:rFonts w:ascii="Arial" w:hAnsi="Arial" w:cs="Arial"/>
        </w:rPr>
      </w:pPr>
    </w:p>
    <w:p w14:paraId="02C5141F" w14:textId="77777777" w:rsidR="00D732C8" w:rsidRPr="00594323" w:rsidRDefault="00F14F91" w:rsidP="00152D91">
      <w:pPr>
        <w:spacing w:line="480" w:lineRule="auto"/>
        <w:rPr>
          <w:rFonts w:ascii="Arial" w:hAnsi="Arial" w:cs="Arial"/>
        </w:rPr>
      </w:pPr>
      <w:r w:rsidRPr="00594323">
        <w:rPr>
          <w:rFonts w:ascii="Arial" w:hAnsi="Arial" w:cs="Arial"/>
          <w:noProof/>
        </w:rPr>
        <w:lastRenderedPageBreak/>
        <w:drawing>
          <wp:inline distT="0" distB="0" distL="114300" distR="114300" wp14:anchorId="14F1FF3B" wp14:editId="22D9248C">
            <wp:extent cx="5270500" cy="1645920"/>
            <wp:effectExtent l="0" t="0" r="6350" b="11430"/>
            <wp:docPr id="59"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1"/>
                    <pic:cNvPicPr>
                      <a:picLocks noChangeAspect="1"/>
                    </pic:cNvPicPr>
                  </pic:nvPicPr>
                  <pic:blipFill>
                    <a:blip r:embed="rId66"/>
                    <a:stretch>
                      <a:fillRect/>
                    </a:stretch>
                  </pic:blipFill>
                  <pic:spPr>
                    <a:xfrm>
                      <a:off x="0" y="0"/>
                      <a:ext cx="5270500" cy="1645920"/>
                    </a:xfrm>
                    <a:prstGeom prst="rect">
                      <a:avLst/>
                    </a:prstGeom>
                    <a:noFill/>
                    <a:ln w="9525">
                      <a:noFill/>
                    </a:ln>
                  </pic:spPr>
                </pic:pic>
              </a:graphicData>
            </a:graphic>
          </wp:inline>
        </w:drawing>
      </w:r>
    </w:p>
    <w:p w14:paraId="5DA19F95" w14:textId="77777777" w:rsidR="00D732C8" w:rsidRPr="00594323" w:rsidRDefault="00D732C8" w:rsidP="00152D91">
      <w:pPr>
        <w:spacing w:line="480" w:lineRule="auto"/>
        <w:rPr>
          <w:rFonts w:ascii="Arial" w:hAnsi="Arial" w:cs="Arial"/>
          <w:b/>
          <w:bCs/>
          <w:szCs w:val="21"/>
        </w:rPr>
      </w:pPr>
    </w:p>
    <w:p w14:paraId="1C740B6C" w14:textId="77777777" w:rsidR="00D732C8" w:rsidRPr="00594323" w:rsidRDefault="00D732C8" w:rsidP="00152D91">
      <w:pPr>
        <w:spacing w:line="480" w:lineRule="auto"/>
        <w:rPr>
          <w:rFonts w:ascii="Arial" w:hAnsi="Arial" w:cs="Arial"/>
          <w:b/>
          <w:bCs/>
          <w:szCs w:val="21"/>
        </w:rPr>
      </w:pPr>
    </w:p>
    <w:p w14:paraId="2AE6F51E"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A</w:t>
      </w:r>
      <w:r w:rsidR="00F14F91" w:rsidRPr="00594323">
        <w:rPr>
          <w:rFonts w:ascii="Arial" w:hAnsi="Arial" w:cs="Arial"/>
          <w:b/>
          <w:bCs/>
          <w:szCs w:val="21"/>
        </w:rPr>
        <w:t>pplication of blood transfusion:</w:t>
      </w:r>
    </w:p>
    <w:p w14:paraId="7956534A"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After Car-T cell transfusion, blood transfusion was performed due to abnormal blood cell count or coagulation index, including blood products such as plasma, red blood cells, platelets, etc.</w:t>
      </w:r>
    </w:p>
    <w:p w14:paraId="7FC64473" w14:textId="77777777" w:rsidR="00D732C8" w:rsidRPr="00594323" w:rsidRDefault="00787B20" w:rsidP="00152D91">
      <w:pPr>
        <w:pStyle w:val="a3"/>
        <w:shd w:val="clear" w:color="auto" w:fill="FFFFFF"/>
        <w:spacing w:line="480" w:lineRule="auto"/>
        <w:rPr>
          <w:rFonts w:ascii="Arial" w:hAnsi="Arial" w:cs="Arial"/>
          <w:kern w:val="2"/>
          <w:sz w:val="18"/>
          <w:szCs w:val="18"/>
        </w:rPr>
      </w:pPr>
      <w:hyperlink r:id="rId67" w:history="1">
        <w:r w:rsidR="00F14F91" w:rsidRPr="00594323">
          <w:rPr>
            <w:rFonts w:ascii="Arial" w:hAnsi="Arial" w:cs="Arial"/>
            <w:kern w:val="2"/>
            <w:sz w:val="18"/>
            <w:szCs w:val="18"/>
          </w:rPr>
          <w:t>Blood Transfusion.</w:t>
        </w:r>
      </w:hyperlink>
      <w:r w:rsidR="00F14F91" w:rsidRPr="00594323">
        <w:rPr>
          <w:rFonts w:ascii="Arial" w:hAnsi="Arial" w:cs="Arial"/>
          <w:kern w:val="2"/>
          <w:sz w:val="18"/>
          <w:szCs w:val="18"/>
        </w:rPr>
        <w:t>National Clinical Guideline Centre (UK). London: National Institute for Health and Care Excellence (UK); 2015 Nov.</w:t>
      </w:r>
    </w:p>
    <w:p w14:paraId="743CF8AB" w14:textId="77777777" w:rsidR="00D732C8" w:rsidRPr="00594323" w:rsidRDefault="00D732C8" w:rsidP="00152D91">
      <w:pPr>
        <w:spacing w:line="480" w:lineRule="auto"/>
        <w:rPr>
          <w:rFonts w:ascii="Arial" w:hAnsi="Arial" w:cs="Arial"/>
          <w:b/>
          <w:bCs/>
          <w:szCs w:val="21"/>
        </w:rPr>
      </w:pPr>
    </w:p>
    <w:p w14:paraId="621CB2ED"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DIC occurrence:</w:t>
      </w:r>
    </w:p>
    <w:p w14:paraId="02092337"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Consensus of Chinese experts on diagnosis of disseminated intravascular coagulation (version2017). </w:t>
      </w:r>
      <w:hyperlink r:id="rId68" w:tooltip="Zhonghua xue ye xue za zhi = Zhonghua xueyexue zazhi." w:history="1">
        <w:r w:rsidRPr="00594323">
          <w:rPr>
            <w:rFonts w:ascii="Arial" w:hAnsi="Arial" w:cs="Arial"/>
            <w:kern w:val="2"/>
            <w:sz w:val="18"/>
            <w:szCs w:val="18"/>
          </w:rPr>
          <w:t>Zhonghua Xue Ye Xue Za Zhi.</w:t>
        </w:r>
      </w:hyperlink>
      <w:r w:rsidRPr="00594323">
        <w:rPr>
          <w:rFonts w:ascii="Arial" w:hAnsi="Arial" w:cs="Arial"/>
          <w:kern w:val="2"/>
          <w:sz w:val="18"/>
          <w:szCs w:val="18"/>
        </w:rPr>
        <w:t> 2017 May 14;38(5):361-363.</w:t>
      </w:r>
    </w:p>
    <w:p w14:paraId="3398A4C9" w14:textId="77777777" w:rsidR="00D732C8" w:rsidRPr="00594323" w:rsidRDefault="00F14F91" w:rsidP="00152D91">
      <w:pPr>
        <w:pStyle w:val="a3"/>
        <w:spacing w:line="480" w:lineRule="auto"/>
        <w:rPr>
          <w:rFonts w:ascii="Arial" w:hAnsi="Arial" w:cs="Arial"/>
          <w:kern w:val="2"/>
          <w:sz w:val="18"/>
          <w:szCs w:val="18"/>
        </w:rPr>
      </w:pPr>
      <w:r w:rsidRPr="00594323">
        <w:rPr>
          <w:rFonts w:ascii="Arial" w:hAnsi="Arial" w:cs="Arial"/>
          <w:kern w:val="2"/>
          <w:sz w:val="18"/>
          <w:szCs w:val="18"/>
        </w:rPr>
        <w:lastRenderedPageBreak/>
        <w:t xml:space="preserve">Taylor FB Jr, </w:t>
      </w:r>
      <w:proofErr w:type="spellStart"/>
      <w:r w:rsidRPr="00594323">
        <w:rPr>
          <w:rFonts w:ascii="Arial" w:hAnsi="Arial" w:cs="Arial"/>
          <w:kern w:val="2"/>
          <w:sz w:val="18"/>
          <w:szCs w:val="18"/>
        </w:rPr>
        <w:t>Toh</w:t>
      </w:r>
      <w:proofErr w:type="spellEnd"/>
      <w:r w:rsidRPr="00594323">
        <w:rPr>
          <w:rFonts w:ascii="Arial" w:hAnsi="Arial" w:cs="Arial"/>
          <w:kern w:val="2"/>
          <w:sz w:val="18"/>
          <w:szCs w:val="18"/>
        </w:rPr>
        <w:t xml:space="preserve"> CH, Hoots WK, Wada H, Levi M;  </w:t>
      </w:r>
      <w:hyperlink r:id="rId69" w:history="1">
        <w:r w:rsidRPr="00594323">
          <w:rPr>
            <w:rFonts w:ascii="Arial" w:hAnsi="Arial" w:cs="Arial"/>
            <w:kern w:val="2"/>
            <w:sz w:val="18"/>
            <w:szCs w:val="18"/>
          </w:rPr>
          <w:t>Towards definition, clinical and laboratory criteria, and a scoring system for disseminated intravascular coagulation.</w:t>
        </w:r>
      </w:hyperlink>
      <w:r w:rsidRPr="00594323">
        <w:rPr>
          <w:rFonts w:ascii="Arial" w:hAnsi="Arial" w:cs="Arial"/>
          <w:kern w:val="2"/>
          <w:sz w:val="18"/>
          <w:szCs w:val="18"/>
        </w:rPr>
        <w:t xml:space="preserve"> Scientific Subcommittee on Disseminated Intravascular Coagulation (DIC) of the International Society on Thrombosis and </w:t>
      </w:r>
      <w:proofErr w:type="spellStart"/>
      <w:r w:rsidRPr="00594323">
        <w:rPr>
          <w:rFonts w:ascii="Arial" w:hAnsi="Arial" w:cs="Arial"/>
          <w:kern w:val="2"/>
          <w:sz w:val="18"/>
          <w:szCs w:val="18"/>
        </w:rPr>
        <w:t>Haemostasis</w:t>
      </w:r>
      <w:proofErr w:type="spellEnd"/>
      <w:r w:rsidRPr="00594323">
        <w:rPr>
          <w:rFonts w:ascii="Arial" w:hAnsi="Arial" w:cs="Arial"/>
          <w:kern w:val="2"/>
          <w:sz w:val="18"/>
          <w:szCs w:val="18"/>
        </w:rPr>
        <w:t xml:space="preserve"> (ISTH).</w:t>
      </w:r>
    </w:p>
    <w:p w14:paraId="01F68885" w14:textId="77777777" w:rsidR="00D732C8" w:rsidRPr="00594323" w:rsidRDefault="00F14F91" w:rsidP="00152D91">
      <w:pPr>
        <w:pStyle w:val="a3"/>
        <w:spacing w:line="480" w:lineRule="auto"/>
        <w:rPr>
          <w:rFonts w:ascii="Arial" w:hAnsi="Arial" w:cs="Arial"/>
          <w:kern w:val="2"/>
          <w:sz w:val="18"/>
          <w:szCs w:val="18"/>
        </w:rPr>
      </w:pPr>
      <w:proofErr w:type="spellStart"/>
      <w:r w:rsidRPr="00594323">
        <w:rPr>
          <w:rFonts w:ascii="Arial" w:hAnsi="Arial" w:cs="Arial"/>
          <w:kern w:val="2"/>
          <w:sz w:val="18"/>
          <w:szCs w:val="18"/>
        </w:rPr>
        <w:t>Thromb</w:t>
      </w:r>
      <w:proofErr w:type="spellEnd"/>
      <w:r w:rsidRPr="00594323">
        <w:rPr>
          <w:rFonts w:ascii="Arial" w:hAnsi="Arial" w:cs="Arial"/>
          <w:kern w:val="2"/>
          <w:sz w:val="18"/>
          <w:szCs w:val="18"/>
        </w:rPr>
        <w:t xml:space="preserve"> </w:t>
      </w:r>
      <w:proofErr w:type="spellStart"/>
      <w:r w:rsidRPr="00594323">
        <w:rPr>
          <w:rFonts w:ascii="Arial" w:hAnsi="Arial" w:cs="Arial"/>
          <w:kern w:val="2"/>
          <w:sz w:val="18"/>
          <w:szCs w:val="18"/>
        </w:rPr>
        <w:t>Haemost</w:t>
      </w:r>
      <w:proofErr w:type="spellEnd"/>
      <w:r w:rsidRPr="00594323">
        <w:rPr>
          <w:rFonts w:ascii="Arial" w:hAnsi="Arial" w:cs="Arial"/>
          <w:kern w:val="2"/>
          <w:sz w:val="18"/>
          <w:szCs w:val="18"/>
        </w:rPr>
        <w:t>. 2001 Nov;86(5):1327-30. </w:t>
      </w:r>
    </w:p>
    <w:p w14:paraId="69E00418" w14:textId="77777777" w:rsidR="00D732C8" w:rsidRPr="00594323" w:rsidRDefault="00D732C8" w:rsidP="00152D91">
      <w:pPr>
        <w:spacing w:line="480" w:lineRule="auto"/>
        <w:rPr>
          <w:rFonts w:ascii="Arial" w:hAnsi="Arial" w:cs="Arial"/>
          <w:kern w:val="2"/>
          <w:sz w:val="18"/>
          <w:szCs w:val="18"/>
        </w:rPr>
      </w:pPr>
    </w:p>
    <w:p w14:paraId="520A0C40"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Fibrinogen (</w:t>
      </w:r>
      <w:r w:rsidR="00F14F91" w:rsidRPr="00594323">
        <w:rPr>
          <w:rFonts w:ascii="Arial" w:hAnsi="Arial" w:cs="Arial"/>
          <w:b/>
          <w:bCs/>
          <w:szCs w:val="21"/>
        </w:rPr>
        <w:t>FIB</w:t>
      </w:r>
      <w:r w:rsidRPr="00594323">
        <w:rPr>
          <w:rFonts w:ascii="Arial" w:hAnsi="Arial" w:cs="Arial"/>
          <w:b/>
          <w:bCs/>
          <w:szCs w:val="21"/>
        </w:rPr>
        <w:t>)</w:t>
      </w:r>
    </w:p>
    <w:p w14:paraId="6684C392"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It is a protein that can be dissolved in water. It is a protein with coagulation function synthesized by the liver. It is an important substance in the process of coagulation and thrombosis.</w:t>
      </w:r>
    </w:p>
    <w:p w14:paraId="0E4FAD74" w14:textId="77777777" w:rsidR="00D732C8" w:rsidRPr="00594323" w:rsidRDefault="00D732C8" w:rsidP="00152D91">
      <w:pPr>
        <w:spacing w:line="480" w:lineRule="auto"/>
        <w:rPr>
          <w:rFonts w:ascii="Arial" w:hAnsi="Arial" w:cs="Arial"/>
          <w:kern w:val="2"/>
          <w:sz w:val="18"/>
          <w:szCs w:val="18"/>
        </w:rPr>
      </w:pPr>
    </w:p>
    <w:p w14:paraId="21BE06D2"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A</w:t>
      </w:r>
      <w:r w:rsidR="00F14F91" w:rsidRPr="00594323">
        <w:rPr>
          <w:rFonts w:ascii="Arial" w:hAnsi="Arial" w:cs="Arial"/>
          <w:b/>
          <w:bCs/>
          <w:szCs w:val="21"/>
        </w:rPr>
        <w:t xml:space="preserve">ctivated partial thromboplastin time (APTT), </w:t>
      </w:r>
    </w:p>
    <w:p w14:paraId="12186B4D"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A more sensitive screening test for the endogenous coagulation system</w:t>
      </w:r>
    </w:p>
    <w:p w14:paraId="4DD9279D" w14:textId="77777777" w:rsidR="00D732C8" w:rsidRPr="00594323" w:rsidRDefault="00D732C8" w:rsidP="00152D91">
      <w:pPr>
        <w:spacing w:line="480" w:lineRule="auto"/>
        <w:rPr>
          <w:rFonts w:ascii="Arial" w:hAnsi="Arial" w:cs="Arial"/>
          <w:kern w:val="2"/>
          <w:sz w:val="18"/>
          <w:szCs w:val="18"/>
        </w:rPr>
      </w:pPr>
    </w:p>
    <w:p w14:paraId="1ED1862F"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P</w:t>
      </w:r>
      <w:r w:rsidR="00F14F91" w:rsidRPr="00594323">
        <w:rPr>
          <w:rFonts w:ascii="Arial" w:hAnsi="Arial" w:cs="Arial"/>
          <w:b/>
          <w:bCs/>
          <w:szCs w:val="21"/>
        </w:rPr>
        <w:t xml:space="preserve">rothrombin time (PT), </w:t>
      </w:r>
    </w:p>
    <w:p w14:paraId="67156BE0"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It is an indicator of exogenous coagulation system function and an important monitoring indicator of clinical anticoagulation therapy.</w:t>
      </w:r>
    </w:p>
    <w:p w14:paraId="3BD8500F" w14:textId="77777777" w:rsidR="00D732C8" w:rsidRPr="00594323" w:rsidRDefault="00D732C8" w:rsidP="00152D91">
      <w:pPr>
        <w:spacing w:line="480" w:lineRule="auto"/>
        <w:rPr>
          <w:rFonts w:ascii="Arial" w:hAnsi="Arial" w:cs="Arial"/>
          <w:kern w:val="2"/>
          <w:sz w:val="18"/>
          <w:szCs w:val="18"/>
        </w:rPr>
      </w:pPr>
    </w:p>
    <w:p w14:paraId="74842790"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T</w:t>
      </w:r>
      <w:r w:rsidR="00F14F91" w:rsidRPr="00594323">
        <w:rPr>
          <w:rFonts w:ascii="Arial" w:hAnsi="Arial" w:cs="Arial"/>
          <w:b/>
          <w:bCs/>
          <w:szCs w:val="21"/>
        </w:rPr>
        <w:t xml:space="preserve">hrombin time (TT), </w:t>
      </w:r>
    </w:p>
    <w:p w14:paraId="0CEEB088"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Time of blood clotting after adding standardized thrombin to the plasma</w:t>
      </w:r>
    </w:p>
    <w:p w14:paraId="3BF71691" w14:textId="77777777" w:rsidR="00D732C8" w:rsidRPr="00594323" w:rsidRDefault="00D732C8" w:rsidP="00152D91">
      <w:pPr>
        <w:spacing w:line="480" w:lineRule="auto"/>
        <w:rPr>
          <w:rFonts w:ascii="Arial" w:hAnsi="Arial" w:cs="Arial"/>
          <w:kern w:val="2"/>
          <w:sz w:val="18"/>
          <w:szCs w:val="18"/>
        </w:rPr>
      </w:pPr>
    </w:p>
    <w:p w14:paraId="11298541"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L</w:t>
      </w:r>
      <w:r w:rsidR="00F14F91" w:rsidRPr="00594323">
        <w:rPr>
          <w:rFonts w:ascii="Arial" w:hAnsi="Arial" w:cs="Arial"/>
          <w:b/>
          <w:bCs/>
          <w:szCs w:val="21"/>
        </w:rPr>
        <w:t xml:space="preserve">evel of Interleukin 2 (IL-2), </w:t>
      </w:r>
    </w:p>
    <w:p w14:paraId="00E9DA85"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This is an interleukin, a type of cell growth factor in the immune system, which can regulate the cell activity of white blood cells in the immune system, promote the proliferation of Th0 and CTL, and also participate in antibody response, hematopoietic and tumor monitoring.</w:t>
      </w:r>
    </w:p>
    <w:p w14:paraId="2670D3DE" w14:textId="77777777" w:rsidR="00D732C8" w:rsidRPr="00594323" w:rsidRDefault="00D732C8" w:rsidP="00152D91">
      <w:pPr>
        <w:spacing w:line="480" w:lineRule="auto"/>
        <w:rPr>
          <w:rFonts w:ascii="Arial" w:hAnsi="Arial" w:cs="Arial"/>
          <w:kern w:val="2"/>
          <w:sz w:val="18"/>
          <w:szCs w:val="18"/>
        </w:rPr>
      </w:pPr>
    </w:p>
    <w:p w14:paraId="517CC44A"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 xml:space="preserve">IL-4, </w:t>
      </w:r>
    </w:p>
    <w:p w14:paraId="3A832BA7"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IL-4 is mainly produced by activated T cells and has immunoregulatory effects on B cells, T cells, mast cells, macrophages, and hematopoietic stem cells.</w:t>
      </w:r>
    </w:p>
    <w:p w14:paraId="552E82E1"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 xml:space="preserve">IL-6, </w:t>
      </w:r>
    </w:p>
    <w:p w14:paraId="745FCA13"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Lymphokines produced by activated T cells and fibroblasts</w:t>
      </w:r>
    </w:p>
    <w:p w14:paraId="19D84107" w14:textId="77777777" w:rsidR="00D732C8" w:rsidRPr="00594323" w:rsidRDefault="00D732C8" w:rsidP="00152D91">
      <w:pPr>
        <w:spacing w:line="480" w:lineRule="auto"/>
        <w:rPr>
          <w:rFonts w:ascii="Arial" w:hAnsi="Arial" w:cs="Arial"/>
          <w:kern w:val="2"/>
          <w:sz w:val="18"/>
          <w:szCs w:val="18"/>
        </w:rPr>
      </w:pPr>
    </w:p>
    <w:p w14:paraId="1843626B"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lastRenderedPageBreak/>
        <w:t xml:space="preserve">IL-10, </w:t>
      </w:r>
    </w:p>
    <w:p w14:paraId="6C23512D"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 xml:space="preserve">An immune medium secreted by Th2 cells can inhibit Th1 cell clone IL-2 and inhibit </w:t>
      </w:r>
      <w:proofErr w:type="spellStart"/>
      <w:r w:rsidRPr="00594323">
        <w:rPr>
          <w:rFonts w:ascii="Arial" w:hAnsi="Arial" w:cs="Arial"/>
          <w:kern w:val="2"/>
          <w:sz w:val="18"/>
          <w:szCs w:val="18"/>
        </w:rPr>
        <w:t>IFNr</w:t>
      </w:r>
      <w:proofErr w:type="spellEnd"/>
      <w:r w:rsidRPr="00594323">
        <w:rPr>
          <w:rFonts w:ascii="Arial" w:hAnsi="Arial" w:cs="Arial"/>
          <w:kern w:val="2"/>
          <w:sz w:val="18"/>
          <w:szCs w:val="18"/>
        </w:rPr>
        <w:t xml:space="preserve"> synthesis.</w:t>
      </w:r>
    </w:p>
    <w:p w14:paraId="21EE0EEE" w14:textId="77777777" w:rsidR="00D732C8" w:rsidRPr="00594323" w:rsidRDefault="00D732C8" w:rsidP="00152D91">
      <w:pPr>
        <w:spacing w:line="480" w:lineRule="auto"/>
        <w:rPr>
          <w:rFonts w:ascii="Arial" w:hAnsi="Arial" w:cs="Arial"/>
          <w:kern w:val="2"/>
          <w:sz w:val="18"/>
          <w:szCs w:val="18"/>
        </w:rPr>
      </w:pPr>
    </w:p>
    <w:p w14:paraId="44BF835F"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 xml:space="preserve">IL-17A, </w:t>
      </w:r>
    </w:p>
    <w:p w14:paraId="021FB539"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Lymphocytes migrate to infected or injured parts of the body and secrete interleukin-17A.</w:t>
      </w:r>
    </w:p>
    <w:p w14:paraId="1577F9CA" w14:textId="77777777" w:rsidR="00D732C8" w:rsidRPr="00594323" w:rsidRDefault="00D732C8" w:rsidP="00152D91">
      <w:pPr>
        <w:spacing w:line="480" w:lineRule="auto"/>
        <w:rPr>
          <w:rFonts w:ascii="Arial" w:hAnsi="Arial" w:cs="Arial"/>
          <w:kern w:val="2"/>
          <w:sz w:val="18"/>
          <w:szCs w:val="18"/>
        </w:rPr>
      </w:pPr>
    </w:p>
    <w:p w14:paraId="36B68910"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 xml:space="preserve">TNF-α, </w:t>
      </w:r>
    </w:p>
    <w:p w14:paraId="13B4EAA8"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A pro-inflammatory cytokine produced mainly by macrophages and monocytes and is involved in normal inflammatory and immune responses.</w:t>
      </w:r>
    </w:p>
    <w:p w14:paraId="1E9AD938" w14:textId="77777777" w:rsidR="00D732C8" w:rsidRPr="00594323" w:rsidRDefault="00D732C8" w:rsidP="00152D91">
      <w:pPr>
        <w:spacing w:line="480" w:lineRule="auto"/>
        <w:rPr>
          <w:rFonts w:ascii="Arial" w:hAnsi="Arial" w:cs="Arial"/>
          <w:kern w:val="2"/>
          <w:sz w:val="18"/>
          <w:szCs w:val="18"/>
        </w:rPr>
      </w:pPr>
    </w:p>
    <w:p w14:paraId="358BF6F0"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 xml:space="preserve">Interferon gamma (IFN-γ), </w:t>
      </w:r>
    </w:p>
    <w:p w14:paraId="558D1480" w14:textId="77777777" w:rsidR="00D732C8" w:rsidRPr="00594323" w:rsidRDefault="00F14F91" w:rsidP="00152D91">
      <w:pPr>
        <w:spacing w:line="480" w:lineRule="auto"/>
        <w:rPr>
          <w:rFonts w:ascii="Arial" w:hAnsi="Arial" w:cs="Arial"/>
          <w:kern w:val="2"/>
          <w:sz w:val="18"/>
          <w:szCs w:val="18"/>
        </w:rPr>
      </w:pPr>
      <w:r w:rsidRPr="00594323">
        <w:rPr>
          <w:rFonts w:ascii="Arial" w:hAnsi="Arial" w:cs="Arial"/>
          <w:kern w:val="2"/>
          <w:sz w:val="18"/>
          <w:szCs w:val="18"/>
        </w:rPr>
        <w:t>A cytokine produced by activated T cells and natural killer cells (NK cells) and NKT cells</w:t>
      </w:r>
    </w:p>
    <w:p w14:paraId="20585F00" w14:textId="77777777" w:rsidR="00D732C8" w:rsidRPr="00594323" w:rsidRDefault="00D732C8" w:rsidP="00152D91">
      <w:pPr>
        <w:spacing w:line="480" w:lineRule="auto"/>
        <w:rPr>
          <w:rFonts w:ascii="Arial" w:hAnsi="Arial" w:cs="Arial"/>
          <w:b/>
          <w:bCs/>
          <w:szCs w:val="21"/>
        </w:rPr>
      </w:pPr>
    </w:p>
    <w:p w14:paraId="79413712"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R</w:t>
      </w:r>
      <w:r w:rsidR="00F14F91" w:rsidRPr="00594323">
        <w:rPr>
          <w:rFonts w:ascii="Arial" w:hAnsi="Arial" w:cs="Arial"/>
          <w:b/>
          <w:bCs/>
          <w:szCs w:val="21"/>
        </w:rPr>
        <w:t>isk of bleeding estimated by MOBRI:</w:t>
      </w:r>
    </w:p>
    <w:p w14:paraId="55EAB6F5" w14:textId="77777777" w:rsidR="00D732C8" w:rsidRPr="00594323" w:rsidRDefault="00F14F91" w:rsidP="00152D91">
      <w:pPr>
        <w:pStyle w:val="a3"/>
        <w:spacing w:line="480" w:lineRule="auto"/>
        <w:rPr>
          <w:rFonts w:ascii="Arial" w:hAnsi="Arial" w:cs="Arial"/>
          <w:kern w:val="2"/>
          <w:sz w:val="18"/>
          <w:szCs w:val="18"/>
        </w:rPr>
      </w:pPr>
      <w:proofErr w:type="spellStart"/>
      <w:r w:rsidRPr="00594323">
        <w:rPr>
          <w:rFonts w:ascii="Arial" w:hAnsi="Arial" w:cs="Arial"/>
          <w:kern w:val="2"/>
          <w:sz w:val="18"/>
          <w:szCs w:val="18"/>
        </w:rPr>
        <w:lastRenderedPageBreak/>
        <w:t>Beyth</w:t>
      </w:r>
      <w:proofErr w:type="spellEnd"/>
      <w:r w:rsidRPr="00594323">
        <w:rPr>
          <w:rFonts w:ascii="Arial" w:hAnsi="Arial" w:cs="Arial"/>
          <w:kern w:val="2"/>
          <w:sz w:val="18"/>
          <w:szCs w:val="18"/>
        </w:rPr>
        <w:t xml:space="preserve"> RJ,  et al. </w:t>
      </w:r>
      <w:hyperlink r:id="rId70" w:history="1">
        <w:r w:rsidRPr="00594323">
          <w:rPr>
            <w:rFonts w:ascii="Arial" w:hAnsi="Arial" w:cs="Arial"/>
            <w:kern w:val="2"/>
            <w:sz w:val="18"/>
            <w:szCs w:val="18"/>
          </w:rPr>
          <w:t>Prospective evaluation of an index for predicting the risk of major bleeding in outpatients treated with warfarin.</w:t>
        </w:r>
      </w:hyperlink>
      <w:r w:rsidRPr="00594323">
        <w:rPr>
          <w:rFonts w:ascii="Arial" w:hAnsi="Arial" w:cs="Arial"/>
          <w:kern w:val="2"/>
          <w:sz w:val="18"/>
          <w:szCs w:val="18"/>
        </w:rPr>
        <w:t>Am J Med. 1998 Aug;105(2):91-9.</w:t>
      </w:r>
    </w:p>
    <w:p w14:paraId="2879B3F1" w14:textId="77777777" w:rsidR="00D732C8" w:rsidRPr="00594323" w:rsidRDefault="00F14F91" w:rsidP="00152D91">
      <w:pPr>
        <w:spacing w:line="480" w:lineRule="auto"/>
        <w:rPr>
          <w:rFonts w:ascii="Arial" w:hAnsi="Arial" w:cs="Arial"/>
        </w:rPr>
      </w:pPr>
      <w:r w:rsidRPr="00594323">
        <w:rPr>
          <w:rFonts w:ascii="Arial" w:hAnsi="Arial" w:cs="Arial"/>
          <w:noProof/>
        </w:rPr>
        <w:drawing>
          <wp:inline distT="0" distB="0" distL="114300" distR="114300" wp14:anchorId="7F5BC57B" wp14:editId="7EB3E97B">
            <wp:extent cx="2887345" cy="4375785"/>
            <wp:effectExtent l="0" t="0" r="8255"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1"/>
                    <a:stretch>
                      <a:fillRect/>
                    </a:stretch>
                  </pic:blipFill>
                  <pic:spPr>
                    <a:xfrm>
                      <a:off x="0" y="0"/>
                      <a:ext cx="2887345" cy="4375785"/>
                    </a:xfrm>
                    <a:prstGeom prst="rect">
                      <a:avLst/>
                    </a:prstGeom>
                    <a:noFill/>
                    <a:ln w="9525">
                      <a:noFill/>
                    </a:ln>
                  </pic:spPr>
                </pic:pic>
              </a:graphicData>
            </a:graphic>
          </wp:inline>
        </w:drawing>
      </w:r>
    </w:p>
    <w:p w14:paraId="5FF8DD58" w14:textId="77777777" w:rsidR="00D732C8" w:rsidRPr="00594323" w:rsidRDefault="00D732C8" w:rsidP="00152D91">
      <w:pPr>
        <w:spacing w:line="480" w:lineRule="auto"/>
        <w:rPr>
          <w:rFonts w:ascii="Arial" w:hAnsi="Arial" w:cs="Arial"/>
        </w:rPr>
      </w:pPr>
    </w:p>
    <w:p w14:paraId="69506D08"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t>HAS-BLED:</w:t>
      </w:r>
    </w:p>
    <w:p w14:paraId="4D73B39B" w14:textId="77777777" w:rsidR="00D732C8" w:rsidRPr="00594323" w:rsidRDefault="00F14F91" w:rsidP="00152D91">
      <w:pPr>
        <w:pStyle w:val="a3"/>
        <w:spacing w:line="480" w:lineRule="auto"/>
        <w:rPr>
          <w:rFonts w:ascii="Arial" w:hAnsi="Arial" w:cs="Arial"/>
          <w:kern w:val="2"/>
          <w:sz w:val="18"/>
          <w:szCs w:val="18"/>
        </w:rPr>
      </w:pPr>
      <w:r w:rsidRPr="00594323">
        <w:rPr>
          <w:rFonts w:ascii="Arial" w:hAnsi="Arial" w:cs="Arial"/>
          <w:kern w:val="2"/>
          <w:sz w:val="18"/>
          <w:szCs w:val="18"/>
        </w:rPr>
        <w:t>Pisters </w:t>
      </w:r>
      <w:proofErr w:type="spellStart"/>
      <w:r w:rsidRPr="00594323">
        <w:rPr>
          <w:rFonts w:ascii="Arial" w:hAnsi="Arial" w:cs="Arial"/>
          <w:kern w:val="2"/>
          <w:sz w:val="18"/>
          <w:szCs w:val="18"/>
        </w:rPr>
        <w:t>R,et</w:t>
      </w:r>
      <w:proofErr w:type="spellEnd"/>
      <w:r w:rsidRPr="00594323">
        <w:rPr>
          <w:rFonts w:ascii="Arial" w:hAnsi="Arial" w:cs="Arial"/>
          <w:kern w:val="2"/>
          <w:sz w:val="18"/>
          <w:szCs w:val="18"/>
        </w:rPr>
        <w:t xml:space="preserve"> al. </w:t>
      </w:r>
      <w:hyperlink r:id="rId72" w:history="1">
        <w:r w:rsidRPr="00594323">
          <w:rPr>
            <w:rFonts w:ascii="Arial" w:hAnsi="Arial" w:cs="Arial"/>
            <w:kern w:val="2"/>
            <w:sz w:val="18"/>
            <w:szCs w:val="18"/>
          </w:rPr>
          <w:t>A novel user-friendly score (HAS-BLED) to assess 1-year risk of major bleeding in patients with atrial fibrillation: the Euro Heart Survey.</w:t>
        </w:r>
      </w:hyperlink>
      <w:r w:rsidRPr="00594323">
        <w:rPr>
          <w:rFonts w:ascii="Arial" w:hAnsi="Arial" w:cs="Arial"/>
          <w:kern w:val="2"/>
          <w:sz w:val="18"/>
          <w:szCs w:val="18"/>
        </w:rPr>
        <w:t xml:space="preserve"> Chest. 2010 Nov;138(5):1093-100.</w:t>
      </w:r>
    </w:p>
    <w:p w14:paraId="6ABE2A22" w14:textId="77777777" w:rsidR="00D732C8" w:rsidRPr="00594323" w:rsidRDefault="00F14F91" w:rsidP="00152D91">
      <w:pPr>
        <w:pStyle w:val="a3"/>
        <w:spacing w:line="480" w:lineRule="auto"/>
        <w:rPr>
          <w:rFonts w:ascii="Arial" w:hAnsi="Arial" w:cs="Arial"/>
        </w:rPr>
      </w:pPr>
      <w:r w:rsidRPr="00594323">
        <w:rPr>
          <w:rFonts w:ascii="Arial" w:hAnsi="Arial" w:cs="Arial"/>
          <w:noProof/>
        </w:rPr>
        <w:drawing>
          <wp:inline distT="0" distB="0" distL="114300" distR="114300" wp14:anchorId="5710FFCE" wp14:editId="42325FDF">
            <wp:extent cx="3148965" cy="3282315"/>
            <wp:effectExtent l="0" t="0" r="13335" b="133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3"/>
                    <a:stretch>
                      <a:fillRect/>
                    </a:stretch>
                  </pic:blipFill>
                  <pic:spPr>
                    <a:xfrm>
                      <a:off x="0" y="0"/>
                      <a:ext cx="3148965" cy="3282315"/>
                    </a:xfrm>
                    <a:prstGeom prst="rect">
                      <a:avLst/>
                    </a:prstGeom>
                    <a:noFill/>
                    <a:ln w="9525">
                      <a:noFill/>
                    </a:ln>
                  </pic:spPr>
                </pic:pic>
              </a:graphicData>
            </a:graphic>
          </wp:inline>
        </w:drawing>
      </w:r>
    </w:p>
    <w:p w14:paraId="1C63389D" w14:textId="77777777" w:rsidR="00D732C8" w:rsidRPr="00594323" w:rsidRDefault="00D732C8" w:rsidP="00152D91">
      <w:pPr>
        <w:pStyle w:val="a3"/>
        <w:spacing w:line="480" w:lineRule="auto"/>
        <w:rPr>
          <w:rFonts w:ascii="Arial" w:hAnsi="Arial" w:cs="Arial"/>
        </w:rPr>
      </w:pPr>
    </w:p>
    <w:p w14:paraId="257FA5D8" w14:textId="77777777" w:rsidR="00D732C8" w:rsidRPr="00594323" w:rsidRDefault="00F14F91" w:rsidP="00152D91">
      <w:pPr>
        <w:spacing w:line="480" w:lineRule="auto"/>
        <w:rPr>
          <w:rFonts w:ascii="Arial" w:hAnsi="Arial" w:cs="Arial"/>
          <w:b/>
          <w:bCs/>
          <w:szCs w:val="21"/>
        </w:rPr>
      </w:pPr>
      <w:r w:rsidRPr="00594323">
        <w:rPr>
          <w:rFonts w:ascii="Arial" w:hAnsi="Arial" w:cs="Arial"/>
          <w:b/>
          <w:bCs/>
          <w:szCs w:val="21"/>
        </w:rPr>
        <w:lastRenderedPageBreak/>
        <w:t>HEMORR2:</w:t>
      </w:r>
    </w:p>
    <w:p w14:paraId="2D0A1BE6" w14:textId="77777777" w:rsidR="00D732C8" w:rsidRPr="00594323" w:rsidRDefault="00F14F91" w:rsidP="00152D91">
      <w:pPr>
        <w:pStyle w:val="a3"/>
        <w:spacing w:line="480" w:lineRule="auto"/>
        <w:rPr>
          <w:rFonts w:ascii="Arial" w:hAnsi="Arial" w:cs="Arial"/>
          <w:kern w:val="2"/>
          <w:sz w:val="18"/>
          <w:szCs w:val="18"/>
        </w:rPr>
      </w:pPr>
      <w:r w:rsidRPr="00594323">
        <w:rPr>
          <w:rFonts w:ascii="Arial" w:hAnsi="Arial" w:cs="Arial"/>
          <w:kern w:val="2"/>
          <w:sz w:val="18"/>
          <w:szCs w:val="18"/>
        </w:rPr>
        <w:t>Gage BF, et </w:t>
      </w:r>
      <w:proofErr w:type="spellStart"/>
      <w:r w:rsidRPr="00594323">
        <w:rPr>
          <w:rFonts w:ascii="Arial" w:hAnsi="Arial" w:cs="Arial"/>
          <w:kern w:val="2"/>
          <w:sz w:val="18"/>
          <w:szCs w:val="18"/>
        </w:rPr>
        <w:t>al.</w:t>
      </w:r>
      <w:hyperlink r:id="rId74" w:history="1">
        <w:r w:rsidRPr="00594323">
          <w:rPr>
            <w:rFonts w:ascii="Arial" w:hAnsi="Arial" w:cs="Arial"/>
            <w:kern w:val="2"/>
            <w:sz w:val="18"/>
            <w:szCs w:val="18"/>
          </w:rPr>
          <w:t>Clinical</w:t>
        </w:r>
        <w:proofErr w:type="spellEnd"/>
        <w:r w:rsidRPr="00594323">
          <w:rPr>
            <w:rFonts w:ascii="Arial" w:hAnsi="Arial" w:cs="Arial"/>
            <w:kern w:val="2"/>
            <w:sz w:val="18"/>
            <w:szCs w:val="18"/>
          </w:rPr>
          <w:t xml:space="preserve"> classification schemes for predicting hemorrhage: results from the National Registry of Atrial Fibrillation (NRAF).</w:t>
        </w:r>
      </w:hyperlink>
      <w:r w:rsidRPr="00594323">
        <w:rPr>
          <w:rFonts w:ascii="Arial" w:hAnsi="Arial" w:cs="Arial"/>
          <w:kern w:val="2"/>
          <w:sz w:val="18"/>
          <w:szCs w:val="18"/>
        </w:rPr>
        <w:t>Am Heart J. 2006 Mar;151(3):713-9.</w:t>
      </w:r>
    </w:p>
    <w:p w14:paraId="77DD0484" w14:textId="77777777" w:rsidR="00D732C8" w:rsidRPr="00594323" w:rsidRDefault="00F14F91" w:rsidP="00152D91">
      <w:pPr>
        <w:spacing w:line="480" w:lineRule="auto"/>
        <w:rPr>
          <w:rFonts w:ascii="Arial" w:hAnsi="Arial" w:cs="Arial"/>
        </w:rPr>
      </w:pPr>
      <w:r w:rsidRPr="00594323">
        <w:rPr>
          <w:rFonts w:ascii="Arial" w:hAnsi="Arial" w:cs="Arial"/>
          <w:noProof/>
        </w:rPr>
        <w:drawing>
          <wp:inline distT="0" distB="0" distL="114300" distR="114300" wp14:anchorId="2194C648" wp14:editId="63876A95">
            <wp:extent cx="5579745" cy="2610485"/>
            <wp:effectExtent l="0" t="0" r="1905" b="184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5"/>
                    <a:stretch>
                      <a:fillRect/>
                    </a:stretch>
                  </pic:blipFill>
                  <pic:spPr>
                    <a:xfrm>
                      <a:off x="0" y="0"/>
                      <a:ext cx="5579745" cy="2610485"/>
                    </a:xfrm>
                    <a:prstGeom prst="rect">
                      <a:avLst/>
                    </a:prstGeom>
                    <a:noFill/>
                    <a:ln w="9525">
                      <a:noFill/>
                    </a:ln>
                  </pic:spPr>
                </pic:pic>
              </a:graphicData>
            </a:graphic>
          </wp:inline>
        </w:drawing>
      </w:r>
    </w:p>
    <w:p w14:paraId="75034478" w14:textId="77777777" w:rsidR="00D732C8" w:rsidRPr="00594323" w:rsidRDefault="00D732C8" w:rsidP="00152D91">
      <w:pPr>
        <w:spacing w:line="480" w:lineRule="auto"/>
        <w:rPr>
          <w:rFonts w:ascii="Arial" w:hAnsi="Arial" w:cs="Arial"/>
        </w:rPr>
      </w:pPr>
    </w:p>
    <w:p w14:paraId="1966AE00" w14:textId="77777777" w:rsidR="00D732C8" w:rsidRPr="00594323" w:rsidRDefault="009C32E4" w:rsidP="00152D91">
      <w:pPr>
        <w:spacing w:line="480" w:lineRule="auto"/>
        <w:rPr>
          <w:rFonts w:ascii="Arial" w:hAnsi="Arial" w:cs="Arial"/>
          <w:b/>
          <w:bCs/>
          <w:szCs w:val="21"/>
        </w:rPr>
      </w:pPr>
      <w:r w:rsidRPr="00594323">
        <w:rPr>
          <w:rFonts w:ascii="Arial" w:hAnsi="Arial" w:cs="Arial"/>
          <w:b/>
          <w:bCs/>
          <w:szCs w:val="21"/>
        </w:rPr>
        <w:t>B</w:t>
      </w:r>
      <w:r w:rsidR="00F14F91" w:rsidRPr="00594323">
        <w:rPr>
          <w:rFonts w:ascii="Arial" w:hAnsi="Arial" w:cs="Arial"/>
          <w:b/>
          <w:bCs/>
          <w:szCs w:val="21"/>
        </w:rPr>
        <w:t>leeding class:</w:t>
      </w:r>
    </w:p>
    <w:p w14:paraId="132DF9F7" w14:textId="77777777" w:rsidR="00D732C8" w:rsidRPr="00594323" w:rsidRDefault="00F14F91" w:rsidP="00152D91">
      <w:pPr>
        <w:pStyle w:val="a3"/>
        <w:spacing w:line="480" w:lineRule="auto"/>
        <w:rPr>
          <w:rFonts w:ascii="Arial" w:hAnsi="Arial" w:cs="Arial"/>
          <w:kern w:val="2"/>
          <w:sz w:val="18"/>
          <w:szCs w:val="18"/>
        </w:rPr>
      </w:pPr>
      <w:r w:rsidRPr="00594323">
        <w:rPr>
          <w:rFonts w:ascii="Arial" w:hAnsi="Arial" w:cs="Arial"/>
          <w:kern w:val="2"/>
          <w:sz w:val="18"/>
          <w:szCs w:val="18"/>
        </w:rPr>
        <w:t xml:space="preserve">Stanworth </w:t>
      </w:r>
      <w:proofErr w:type="spellStart"/>
      <w:r w:rsidRPr="00594323">
        <w:rPr>
          <w:rFonts w:ascii="Arial" w:hAnsi="Arial" w:cs="Arial"/>
          <w:kern w:val="2"/>
          <w:sz w:val="18"/>
          <w:szCs w:val="18"/>
        </w:rPr>
        <w:t>SJ,et</w:t>
      </w:r>
      <w:proofErr w:type="spellEnd"/>
      <w:r w:rsidRPr="00594323">
        <w:rPr>
          <w:rFonts w:ascii="Arial" w:hAnsi="Arial" w:cs="Arial"/>
          <w:kern w:val="2"/>
          <w:sz w:val="18"/>
          <w:szCs w:val="18"/>
        </w:rPr>
        <w:t xml:space="preserve"> al. </w:t>
      </w:r>
      <w:hyperlink r:id="rId76" w:history="1">
        <w:r w:rsidRPr="00594323">
          <w:rPr>
            <w:rFonts w:ascii="Arial" w:hAnsi="Arial" w:cs="Arial"/>
            <w:kern w:val="2"/>
            <w:sz w:val="18"/>
            <w:szCs w:val="18"/>
          </w:rPr>
          <w:t>A no-prophylaxis platelet-transfusion strategy for hematologic cancers.</w:t>
        </w:r>
      </w:hyperlink>
      <w:r w:rsidRPr="00594323">
        <w:rPr>
          <w:rFonts w:ascii="Arial" w:hAnsi="Arial" w:cs="Arial"/>
          <w:kern w:val="2"/>
          <w:sz w:val="18"/>
          <w:szCs w:val="18"/>
        </w:rPr>
        <w:t xml:space="preserve"> N </w:t>
      </w:r>
      <w:proofErr w:type="spellStart"/>
      <w:r w:rsidRPr="00594323">
        <w:rPr>
          <w:rFonts w:ascii="Arial" w:hAnsi="Arial" w:cs="Arial"/>
          <w:kern w:val="2"/>
          <w:sz w:val="18"/>
          <w:szCs w:val="18"/>
        </w:rPr>
        <w:t>Engl</w:t>
      </w:r>
      <w:proofErr w:type="spellEnd"/>
      <w:r w:rsidRPr="00594323">
        <w:rPr>
          <w:rFonts w:ascii="Arial" w:hAnsi="Arial" w:cs="Arial"/>
          <w:kern w:val="2"/>
          <w:sz w:val="18"/>
          <w:szCs w:val="18"/>
        </w:rPr>
        <w:t xml:space="preserve"> J Med. 2013 May 9;368(19):1771-80.</w:t>
      </w:r>
    </w:p>
    <w:p w14:paraId="65DB228A" w14:textId="77777777" w:rsidR="00D732C8" w:rsidRPr="00594323" w:rsidRDefault="00F14F91" w:rsidP="00152D91">
      <w:pPr>
        <w:pStyle w:val="a3"/>
        <w:spacing w:line="480" w:lineRule="auto"/>
        <w:rPr>
          <w:rFonts w:ascii="Arial" w:hAnsi="Arial" w:cs="Arial"/>
          <w:color w:val="000000"/>
          <w:sz w:val="19"/>
          <w:szCs w:val="19"/>
          <w:shd w:val="clear" w:color="auto" w:fill="FFFFFF"/>
        </w:rPr>
      </w:pPr>
      <w:r w:rsidRPr="00594323">
        <w:rPr>
          <w:rFonts w:ascii="Arial" w:hAnsi="Arial" w:cs="Arial"/>
          <w:noProof/>
        </w:rPr>
        <w:lastRenderedPageBreak/>
        <w:drawing>
          <wp:inline distT="0" distB="0" distL="114300" distR="114300" wp14:anchorId="5D10B955" wp14:editId="65A2DE99">
            <wp:extent cx="5470525" cy="3665855"/>
            <wp:effectExtent l="0" t="0" r="15875"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7"/>
                    <a:stretch>
                      <a:fillRect/>
                    </a:stretch>
                  </pic:blipFill>
                  <pic:spPr>
                    <a:xfrm>
                      <a:off x="0" y="0"/>
                      <a:ext cx="5470525" cy="3665855"/>
                    </a:xfrm>
                    <a:prstGeom prst="rect">
                      <a:avLst/>
                    </a:prstGeom>
                    <a:noFill/>
                    <a:ln w="9525">
                      <a:noFill/>
                    </a:ln>
                  </pic:spPr>
                </pic:pic>
              </a:graphicData>
            </a:graphic>
          </wp:inline>
        </w:drawing>
      </w:r>
    </w:p>
    <w:p w14:paraId="22C8EF9C" w14:textId="77777777" w:rsidR="00D732C8" w:rsidRPr="00594323" w:rsidRDefault="00D732C8" w:rsidP="00152D91">
      <w:pPr>
        <w:spacing w:line="480" w:lineRule="auto"/>
        <w:rPr>
          <w:rFonts w:ascii="Arial" w:hAnsi="Arial" w:cs="Arial"/>
          <w:b/>
          <w:bCs/>
          <w:szCs w:val="21"/>
        </w:rPr>
      </w:pPr>
    </w:p>
    <w:sectPr w:rsidR="00D732C8" w:rsidRPr="00594323" w:rsidSect="00594323">
      <w:pgSz w:w="15840" w:h="12240" w:orient="landscape"/>
      <w:pgMar w:top="1800" w:right="1440" w:bottom="180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1613E0" w14:textId="77777777" w:rsidR="00787B20" w:rsidRDefault="00787B20" w:rsidP="008722B6">
      <w:r>
        <w:separator/>
      </w:r>
    </w:p>
  </w:endnote>
  <w:endnote w:type="continuationSeparator" w:id="0">
    <w:p w14:paraId="032CCE47" w14:textId="77777777" w:rsidR="00787B20" w:rsidRDefault="00787B20" w:rsidP="00872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0B3F67" w14:textId="77777777" w:rsidR="00787B20" w:rsidRDefault="00787B20" w:rsidP="008722B6">
      <w:r>
        <w:separator/>
      </w:r>
    </w:p>
  </w:footnote>
  <w:footnote w:type="continuationSeparator" w:id="0">
    <w:p w14:paraId="06EC163C" w14:textId="77777777" w:rsidR="00787B20" w:rsidRDefault="00787B20" w:rsidP="008722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embedSystemFonts/>
  <w:bordersDoNotSurroundHeader/>
  <w:bordersDoNotSurroundFooter/>
  <w:proofState w:spelling="clean" w:grammar="clean"/>
  <w:defaultTabStop w:val="420"/>
  <w:drawingGridHorizontalSpacing w:val="120"/>
  <w:drawingGridVerticalSpacing w:val="163"/>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C565441"/>
    <w:rsid w:val="0011532B"/>
    <w:rsid w:val="0014525F"/>
    <w:rsid w:val="00152D91"/>
    <w:rsid w:val="001D6AA0"/>
    <w:rsid w:val="001E156B"/>
    <w:rsid w:val="00206D2A"/>
    <w:rsid w:val="004941B2"/>
    <w:rsid w:val="00523CF1"/>
    <w:rsid w:val="00594323"/>
    <w:rsid w:val="00787B20"/>
    <w:rsid w:val="007D496E"/>
    <w:rsid w:val="008028AE"/>
    <w:rsid w:val="008722B6"/>
    <w:rsid w:val="00941911"/>
    <w:rsid w:val="00950913"/>
    <w:rsid w:val="009C32E4"/>
    <w:rsid w:val="00A9290E"/>
    <w:rsid w:val="00CE5006"/>
    <w:rsid w:val="00D70D15"/>
    <w:rsid w:val="00D732C8"/>
    <w:rsid w:val="00ED5F36"/>
    <w:rsid w:val="00F14F91"/>
    <w:rsid w:val="057B7CFB"/>
    <w:rsid w:val="09CC7854"/>
    <w:rsid w:val="0AA22DFB"/>
    <w:rsid w:val="0C164084"/>
    <w:rsid w:val="10DF4D6A"/>
    <w:rsid w:val="168E3E0A"/>
    <w:rsid w:val="18B65B17"/>
    <w:rsid w:val="18EA476F"/>
    <w:rsid w:val="19422ECF"/>
    <w:rsid w:val="1C014578"/>
    <w:rsid w:val="1E3001CA"/>
    <w:rsid w:val="20463701"/>
    <w:rsid w:val="20722C21"/>
    <w:rsid w:val="21591263"/>
    <w:rsid w:val="21D30B7E"/>
    <w:rsid w:val="2E867075"/>
    <w:rsid w:val="33245B50"/>
    <w:rsid w:val="3D082732"/>
    <w:rsid w:val="419F7B64"/>
    <w:rsid w:val="44137711"/>
    <w:rsid w:val="45564F10"/>
    <w:rsid w:val="45B90F78"/>
    <w:rsid w:val="49D57280"/>
    <w:rsid w:val="4A037B50"/>
    <w:rsid w:val="4C565441"/>
    <w:rsid w:val="50433366"/>
    <w:rsid w:val="504334E8"/>
    <w:rsid w:val="576B297E"/>
    <w:rsid w:val="5BEF7749"/>
    <w:rsid w:val="5D150291"/>
    <w:rsid w:val="663E7F51"/>
    <w:rsid w:val="6A1A63B9"/>
    <w:rsid w:val="6D66213D"/>
    <w:rsid w:val="6DDB22EE"/>
    <w:rsid w:val="720C2B7B"/>
    <w:rsid w:val="72AA0481"/>
    <w:rsid w:val="79997F14"/>
    <w:rsid w:val="7AD83485"/>
    <w:rsid w:val="7C8F0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5DA079"/>
  <w15:docId w15:val="{2C9AE3BA-BA00-3948-83A3-8D70F735F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Theme="minorHAnsi" w:eastAsiaTheme="minorEastAsia" w:hAnsiTheme="minorHAnsi"/>
      <w:sz w:val="24"/>
      <w:szCs w:val="24"/>
    </w:rPr>
  </w:style>
  <w:style w:type="paragraph" w:styleId="1">
    <w:name w:val="heading 1"/>
    <w:basedOn w:val="a"/>
    <w:next w:val="a"/>
    <w:qFormat/>
    <w:pPr>
      <w:spacing w:beforeAutospacing="1" w:afterAutospacing="1"/>
      <w:outlineLvl w:val="0"/>
    </w:pPr>
    <w:rPr>
      <w:rFonts w:ascii="宋体" w:eastAsia="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style>
  <w:style w:type="character" w:styleId="a4">
    <w:name w:val="Hyperlink"/>
    <w:basedOn w:val="a0"/>
    <w:qFormat/>
    <w:rPr>
      <w:color w:val="0000FF"/>
      <w:u w:val="single"/>
    </w:rPr>
  </w:style>
  <w:style w:type="paragraph" w:styleId="a5">
    <w:name w:val="header"/>
    <w:basedOn w:val="a"/>
    <w:link w:val="a6"/>
    <w:rsid w:val="008722B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8722B6"/>
    <w:rPr>
      <w:rFonts w:asciiTheme="minorHAnsi" w:eastAsiaTheme="minorEastAsia" w:hAnsiTheme="minorHAnsi"/>
      <w:sz w:val="18"/>
      <w:szCs w:val="18"/>
    </w:rPr>
  </w:style>
  <w:style w:type="paragraph" w:styleId="a7">
    <w:name w:val="footer"/>
    <w:basedOn w:val="a"/>
    <w:link w:val="a8"/>
    <w:rsid w:val="008722B6"/>
    <w:pPr>
      <w:tabs>
        <w:tab w:val="center" w:pos="4153"/>
        <w:tab w:val="right" w:pos="8306"/>
      </w:tabs>
      <w:snapToGrid w:val="0"/>
    </w:pPr>
    <w:rPr>
      <w:sz w:val="18"/>
      <w:szCs w:val="18"/>
    </w:rPr>
  </w:style>
  <w:style w:type="character" w:customStyle="1" w:styleId="a8">
    <w:name w:val="页脚 字符"/>
    <w:basedOn w:val="a0"/>
    <w:link w:val="a7"/>
    <w:rsid w:val="008722B6"/>
    <w:rPr>
      <w:rFonts w:asciiTheme="minorHAnsi" w:eastAsiaTheme="minorEastAsia" w:hAnsi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2106533">
      <w:bodyDiv w:val="1"/>
      <w:marLeft w:val="0"/>
      <w:marRight w:val="0"/>
      <w:marTop w:val="0"/>
      <w:marBottom w:val="0"/>
      <w:divBdr>
        <w:top w:val="none" w:sz="0" w:space="0" w:color="auto"/>
        <w:left w:val="none" w:sz="0" w:space="0" w:color="auto"/>
        <w:bottom w:val="none" w:sz="0" w:space="0" w:color="auto"/>
        <w:right w:val="none" w:sz="0" w:space="0" w:color="auto"/>
      </w:divBdr>
    </w:div>
    <w:div w:id="1391416315">
      <w:bodyDiv w:val="1"/>
      <w:marLeft w:val="0"/>
      <w:marRight w:val="0"/>
      <w:marTop w:val="0"/>
      <w:marBottom w:val="0"/>
      <w:divBdr>
        <w:top w:val="none" w:sz="0" w:space="0" w:color="auto"/>
        <w:left w:val="none" w:sz="0" w:space="0" w:color="auto"/>
        <w:bottom w:val="none" w:sz="0" w:space="0" w:color="auto"/>
        <w:right w:val="none" w:sz="0" w:space="0" w:color="auto"/>
      </w:divBdr>
    </w:div>
    <w:div w:id="1571113320">
      <w:bodyDiv w:val="1"/>
      <w:marLeft w:val="0"/>
      <w:marRight w:val="0"/>
      <w:marTop w:val="0"/>
      <w:marBottom w:val="0"/>
      <w:divBdr>
        <w:top w:val="none" w:sz="0" w:space="0" w:color="auto"/>
        <w:left w:val="none" w:sz="0" w:space="0" w:color="auto"/>
        <w:bottom w:val="none" w:sz="0" w:space="0" w:color="auto"/>
        <w:right w:val="none" w:sz="0" w:space="0" w:color="auto"/>
      </w:divBdr>
    </w:div>
    <w:div w:id="18873728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2.png"/><Relationship Id="rId68" Type="http://schemas.openxmlformats.org/officeDocument/2006/relationships/hyperlink" Target="https://www.ncbi.nlm.nih.gov/pubmed/?term=Consensus+of+Chinese+experts+on+diagnosis+of+disseminated+intravascular+coagulation+%EF%BC%88version+2017%EF%BC%89" TargetMode="External"/><Relationship Id="rId16" Type="http://schemas.openxmlformats.org/officeDocument/2006/relationships/image" Target="media/image10.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hyperlink" Target="https://www.ncbi.nlm.nih.gov/pubmed/28699668" TargetMode="External"/><Relationship Id="rId37" Type="http://schemas.openxmlformats.org/officeDocument/2006/relationships/hyperlink" Target="https://www.ncbi.nlm.nih.gov/pubmed/31080465" TargetMode="External"/><Relationship Id="rId40" Type="http://schemas.openxmlformats.org/officeDocument/2006/relationships/hyperlink" Target="https://www.ncbi.nlm.nih.gov/pubmed/28925994" TargetMode="External"/><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image" Target="media/image55.png"/><Relationship Id="rId74" Type="http://schemas.openxmlformats.org/officeDocument/2006/relationships/hyperlink" Target="https://www.ncbi.nlm.nih.gov/pubmed/16504638" TargetMode="External"/><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0.pn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7.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hyperlink" Target="https://www.ncbi.nlm.nih.gov/pubmed/11816725" TargetMode="External"/><Relationship Id="rId77" Type="http://schemas.openxmlformats.org/officeDocument/2006/relationships/image" Target="media/image59.png"/><Relationship Id="rId8" Type="http://schemas.openxmlformats.org/officeDocument/2006/relationships/image" Target="media/image2.emf"/><Relationship Id="rId51" Type="http://schemas.openxmlformats.org/officeDocument/2006/relationships/image" Target="media/image40.png"/><Relationship Id="rId72" Type="http://schemas.openxmlformats.org/officeDocument/2006/relationships/hyperlink" Target="https://www.ncbi.nlm.nih.gov/pubmed/20299623" TargetMode="Externa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6.png"/><Relationship Id="rId38" Type="http://schemas.openxmlformats.org/officeDocument/2006/relationships/image" Target="media/image28.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hyperlink" Target="https://www.ncbi.nlm.nih.gov/pubmed/26632625" TargetMode="External"/><Relationship Id="rId20" Type="http://schemas.openxmlformats.org/officeDocument/2006/relationships/image" Target="media/image14.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hyperlink" Target="https://www.ncbi.nlm.nih.gov/pubmed/9727814" TargetMode="External"/><Relationship Id="rId75" Type="http://schemas.openxmlformats.org/officeDocument/2006/relationships/image" Target="media/image58.pn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yperlink" Target="https://www.ncbi.nlm.nih.gov/pubmed/30109179" TargetMode="External"/><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image" Target="media/image4.emf"/><Relationship Id="rId31" Type="http://schemas.openxmlformats.org/officeDocument/2006/relationships/image" Target="media/image25.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57.png"/><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29.png"/><Relationship Id="rId34" Type="http://schemas.openxmlformats.org/officeDocument/2006/relationships/hyperlink" Target="https://www.ncbi.nlm.nih.gov/pubmed/?term=The+consensus+of+the+diagnosis+and+treatment+of+lymphoplasmacytic+lymphoma/Walderstr%C3%B6m+mac" TargetMode="External"/><Relationship Id="rId50" Type="http://schemas.openxmlformats.org/officeDocument/2006/relationships/image" Target="media/image39.png"/><Relationship Id="rId55" Type="http://schemas.openxmlformats.org/officeDocument/2006/relationships/image" Target="media/image44.png"/><Relationship Id="rId76" Type="http://schemas.openxmlformats.org/officeDocument/2006/relationships/hyperlink" Target="https://www.ncbi.nlm.nih.gov/pubmed/23656642" TargetMode="External"/><Relationship Id="rId7" Type="http://schemas.openxmlformats.org/officeDocument/2006/relationships/image" Target="media/image1.emf"/><Relationship Id="rId71" Type="http://schemas.openxmlformats.org/officeDocument/2006/relationships/image" Target="media/image56.png"/><Relationship Id="rId2" Type="http://schemas.openxmlformats.org/officeDocument/2006/relationships/styles" Target="styles.xml"/><Relationship Id="rId29" Type="http://schemas.openxmlformats.org/officeDocument/2006/relationships/image" Target="media/image2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527</TotalTime>
  <Pages>73</Pages>
  <Words>3020</Words>
  <Characters>17218</Characters>
  <Application>Microsoft Office Word</Application>
  <DocSecurity>0</DocSecurity>
  <Lines>143</Lines>
  <Paragraphs>40</Paragraphs>
  <ScaleCrop>false</ScaleCrop>
  <Company/>
  <LinksUpToDate>false</LinksUpToDate>
  <CharactersWithSpaces>20198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瑾〆小梨ゞ、</dc:creator>
  <cp:lastModifiedBy>Jiaqian Qi</cp:lastModifiedBy>
  <cp:revision>10</cp:revision>
  <dcterms:created xsi:type="dcterms:W3CDTF">2019-12-03T04:35:00Z</dcterms:created>
  <dcterms:modified xsi:type="dcterms:W3CDTF">2020-10-05T04:02:00Z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