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3D0E8">
      <w:pPr>
        <w:keepNext w:val="0"/>
        <w:keepLines w:val="0"/>
        <w:pageBreakBefore w:val="0"/>
        <w:widowControl/>
        <w:kinsoku/>
        <w:wordWrap/>
        <w:overflowPunct/>
        <w:topLinePunct w:val="0"/>
        <w:autoSpaceDE/>
        <w:autoSpaceDN/>
        <w:bidi w:val="0"/>
        <w:adjustRightInd/>
        <w:snapToGrid/>
        <w:spacing w:before="0" w:after="0" w:line="480" w:lineRule="auto"/>
        <w:ind w:left="0" w:right="0" w:firstLine="0"/>
        <w:jc w:val="center"/>
        <w:textAlignment w:val="auto"/>
        <w:rPr>
          <w:rFonts w:hint="default" w:ascii="Times New Roman" w:hAnsi="Times New Roman" w:eastAsia="宋体" w:cs="Times New Roman"/>
          <w:sz w:val="36"/>
          <w:szCs w:val="36"/>
          <w:lang w:val="en-US" w:eastAsia="zh-CN"/>
        </w:rPr>
      </w:pPr>
      <w:r>
        <w:rPr>
          <w:rFonts w:hint="default" w:ascii="Times New Roman" w:hAnsi="Times New Roman" w:eastAsia="Times New Roman" w:cs="Times New Roman"/>
          <w:b w:val="0"/>
          <w:sz w:val="32"/>
          <w:szCs w:val="36"/>
          <w:lang w:val="en-US" w:eastAsia="zh-CN"/>
        </w:rPr>
        <w:t>Supplementary Tables</w:t>
      </w:r>
    </w:p>
    <w:p w14:paraId="337B4FC3">
      <w:pPr>
        <w:keepNext w:val="0"/>
        <w:keepLines w:val="0"/>
        <w:pageBreakBefore w:val="0"/>
        <w:widowControl/>
        <w:kinsoku/>
        <w:wordWrap/>
        <w:overflowPunct/>
        <w:topLinePunct w:val="0"/>
        <w:autoSpaceDE/>
        <w:autoSpaceDN/>
        <w:bidi w:val="0"/>
        <w:adjustRightInd/>
        <w:snapToGrid/>
        <w:spacing w:before="60" w:after="60" w:line="240" w:lineRule="auto"/>
        <w:ind w:left="0" w:right="0" w:firstLine="0"/>
        <w:jc w:val="left"/>
        <w:textAlignment w:val="auto"/>
        <w:rPr>
          <w:rFonts w:hint="default" w:ascii="Times New Roman" w:hAnsi="Times New Roman" w:eastAsia="宋体" w:cs="Times New Roman"/>
          <w:sz w:val="20"/>
          <w:szCs w:val="20"/>
        </w:rPr>
      </w:pPr>
      <w:r>
        <w:rPr>
          <w:rFonts w:hint="default" w:ascii="Times New Roman" w:hAnsi="Times New Roman" w:eastAsia="Times New Roman" w:cs="Times New Roman"/>
          <w:b/>
          <w:sz w:val="20"/>
          <w:szCs w:val="20"/>
        </w:rPr>
        <w:t>Supplementary Table S1. Ten preoperative objective measures included in the objective-extension model</w:t>
      </w:r>
    </w:p>
    <w:tbl>
      <w:tblPr>
        <w:tblStyle w:val="2"/>
        <w:tblW w:w="105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4"/>
        <w:gridCol w:w="2550"/>
        <w:gridCol w:w="1391"/>
        <w:gridCol w:w="1684"/>
        <w:gridCol w:w="3259"/>
      </w:tblGrid>
      <w:tr w14:paraId="4488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blHeader/>
        </w:trPr>
        <w:tc>
          <w:tcPr>
            <w:tcW w:w="1634" w:type="dxa"/>
            <w:tcBorders>
              <w:top w:val="single" w:color="auto" w:sz="12" w:space="0"/>
              <w:left w:val="nil"/>
              <w:bottom w:val="single" w:color="000000" w:sz="8" w:space="0"/>
              <w:right w:val="nil"/>
            </w:tcBorders>
          </w:tcPr>
          <w:p w14:paraId="2E02BDC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Functional domain</w:t>
            </w:r>
          </w:p>
        </w:tc>
        <w:tc>
          <w:tcPr>
            <w:tcW w:w="2550" w:type="dxa"/>
            <w:tcBorders>
              <w:top w:val="single" w:color="auto" w:sz="12" w:space="0"/>
              <w:left w:val="nil"/>
              <w:bottom w:val="single" w:color="000000" w:sz="8" w:space="0"/>
              <w:right w:val="nil"/>
            </w:tcBorders>
          </w:tcPr>
          <w:p w14:paraId="6E5E47B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Measure included in model</w:t>
            </w:r>
          </w:p>
        </w:tc>
        <w:tc>
          <w:tcPr>
            <w:tcW w:w="1391" w:type="dxa"/>
            <w:tcBorders>
              <w:top w:val="single" w:color="auto" w:sz="12" w:space="0"/>
              <w:left w:val="nil"/>
              <w:bottom w:val="single" w:color="000000" w:sz="8" w:space="0"/>
              <w:right w:val="nil"/>
            </w:tcBorders>
          </w:tcPr>
          <w:p w14:paraId="11AC32C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Original unit</w:t>
            </w:r>
          </w:p>
        </w:tc>
        <w:tc>
          <w:tcPr>
            <w:tcW w:w="1684" w:type="dxa"/>
            <w:tcBorders>
              <w:top w:val="single" w:color="auto" w:sz="12" w:space="0"/>
              <w:left w:val="nil"/>
              <w:bottom w:val="single" w:color="000000" w:sz="8" w:space="0"/>
              <w:right w:val="nil"/>
            </w:tcBorders>
          </w:tcPr>
          <w:p w14:paraId="66B5980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Model treatment</w:t>
            </w:r>
          </w:p>
        </w:tc>
        <w:tc>
          <w:tcPr>
            <w:tcW w:w="3259" w:type="dxa"/>
            <w:tcBorders>
              <w:top w:val="single" w:color="auto" w:sz="12" w:space="0"/>
              <w:left w:val="nil"/>
              <w:bottom w:val="single" w:color="000000" w:sz="8" w:space="0"/>
              <w:right w:val="nil"/>
            </w:tcBorders>
          </w:tcPr>
          <w:p w14:paraId="68401315">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Rationale for inclusion</w:t>
            </w:r>
          </w:p>
        </w:tc>
      </w:tr>
      <w:tr w14:paraId="105E5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single" w:color="000000" w:sz="8" w:space="0"/>
              <w:left w:val="nil"/>
              <w:bottom w:val="nil"/>
              <w:right w:val="nil"/>
            </w:tcBorders>
          </w:tcPr>
          <w:p w14:paraId="1D245E98">
            <w:pPr>
              <w:spacing w:before="0" w:after="0" w:line="240" w:lineRule="auto"/>
              <w:ind w:firstLine="0"/>
              <w:jc w:val="left"/>
              <w:rPr>
                <w:rFonts w:hint="default" w:ascii="Times New Roman" w:hAnsi="Times New Roman" w:cs="Times New Roman"/>
                <w:sz w:val="20"/>
                <w:szCs w:val="20"/>
              </w:rPr>
            </w:pPr>
            <w:bookmarkStart w:id="0" w:name="_GoBack" w:colFirst="0" w:colLast="4"/>
            <w:r>
              <w:rPr>
                <w:rFonts w:hint="default" w:ascii="Times New Roman" w:hAnsi="Times New Roman" w:eastAsia="Times New Roman" w:cs="Times New Roman"/>
                <w:b w:val="0"/>
                <w:sz w:val="20"/>
                <w:szCs w:val="20"/>
              </w:rPr>
              <w:t>Balance</w:t>
            </w:r>
          </w:p>
        </w:tc>
        <w:tc>
          <w:tcPr>
            <w:tcW w:w="2550" w:type="dxa"/>
            <w:tcBorders>
              <w:top w:val="single" w:color="000000" w:sz="8" w:space="0"/>
              <w:left w:val="nil"/>
              <w:bottom w:val="nil"/>
              <w:right w:val="nil"/>
            </w:tcBorders>
          </w:tcPr>
          <w:p w14:paraId="5EA72E54">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sway area per unit time</w:t>
            </w:r>
          </w:p>
        </w:tc>
        <w:tc>
          <w:tcPr>
            <w:tcW w:w="1391" w:type="dxa"/>
            <w:tcBorders>
              <w:top w:val="single" w:color="000000" w:sz="8" w:space="0"/>
              <w:left w:val="nil"/>
              <w:bottom w:val="nil"/>
              <w:right w:val="nil"/>
            </w:tcBorders>
          </w:tcPr>
          <w:p w14:paraId="7B13B64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cm²/s</w:t>
            </w:r>
          </w:p>
        </w:tc>
        <w:tc>
          <w:tcPr>
            <w:tcW w:w="1684" w:type="dxa"/>
            <w:tcBorders>
              <w:top w:val="single" w:color="000000" w:sz="8" w:space="0"/>
              <w:left w:val="nil"/>
              <w:bottom w:val="nil"/>
              <w:right w:val="nil"/>
            </w:tcBorders>
          </w:tcPr>
          <w:p w14:paraId="750ABE8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ln(raw value)</w:t>
            </w:r>
          </w:p>
        </w:tc>
        <w:tc>
          <w:tcPr>
            <w:tcW w:w="3259" w:type="dxa"/>
            <w:tcBorders>
              <w:top w:val="single" w:color="000000" w:sz="8" w:space="0"/>
              <w:left w:val="nil"/>
              <w:bottom w:val="nil"/>
              <w:right w:val="nil"/>
            </w:tcBorders>
          </w:tcPr>
          <w:p w14:paraId="6C73D69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overall COP sway area</w:t>
            </w:r>
          </w:p>
        </w:tc>
      </w:tr>
      <w:tr w14:paraId="768DF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249C161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Gait</w:t>
            </w:r>
          </w:p>
        </w:tc>
        <w:tc>
          <w:tcPr>
            <w:tcW w:w="2550" w:type="dxa"/>
            <w:tcBorders>
              <w:top w:val="nil"/>
              <w:left w:val="nil"/>
              <w:bottom w:val="nil"/>
              <w:right w:val="nil"/>
            </w:tcBorders>
          </w:tcPr>
          <w:p w14:paraId="4294D6C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Dimensionless walking speed</w:t>
            </w:r>
          </w:p>
        </w:tc>
        <w:tc>
          <w:tcPr>
            <w:tcW w:w="1391" w:type="dxa"/>
            <w:tcBorders>
              <w:top w:val="nil"/>
              <w:left w:val="nil"/>
              <w:bottom w:val="nil"/>
              <w:right w:val="nil"/>
            </w:tcBorders>
          </w:tcPr>
          <w:p w14:paraId="324C0C0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Unitless</w:t>
            </w:r>
          </w:p>
        </w:tc>
        <w:tc>
          <w:tcPr>
            <w:tcW w:w="1684" w:type="dxa"/>
            <w:tcBorders>
              <w:top w:val="nil"/>
              <w:left w:val="nil"/>
              <w:bottom w:val="nil"/>
              <w:right w:val="nil"/>
            </w:tcBorders>
          </w:tcPr>
          <w:p w14:paraId="3799B3CC">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v/√(gL)</w:t>
            </w:r>
          </w:p>
        </w:tc>
        <w:tc>
          <w:tcPr>
            <w:tcW w:w="3259" w:type="dxa"/>
            <w:tcBorders>
              <w:top w:val="nil"/>
              <w:left w:val="nil"/>
              <w:bottom w:val="nil"/>
              <w:right w:val="nil"/>
            </w:tcBorders>
          </w:tcPr>
          <w:p w14:paraId="1E2BE3F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Reduces scaling effects of leg length</w:t>
            </w:r>
          </w:p>
        </w:tc>
      </w:tr>
      <w:tr w14:paraId="67471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71688295">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Gait</w:t>
            </w:r>
          </w:p>
        </w:tc>
        <w:tc>
          <w:tcPr>
            <w:tcW w:w="2550" w:type="dxa"/>
            <w:tcBorders>
              <w:top w:val="nil"/>
              <w:left w:val="nil"/>
              <w:bottom w:val="nil"/>
              <w:right w:val="nil"/>
            </w:tcBorders>
          </w:tcPr>
          <w:p w14:paraId="2C26B93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Step width/leg length</w:t>
            </w:r>
          </w:p>
        </w:tc>
        <w:tc>
          <w:tcPr>
            <w:tcW w:w="1391" w:type="dxa"/>
            <w:tcBorders>
              <w:top w:val="nil"/>
              <w:left w:val="nil"/>
              <w:bottom w:val="nil"/>
              <w:right w:val="nil"/>
            </w:tcBorders>
          </w:tcPr>
          <w:p w14:paraId="40558F6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Unitless</w:t>
            </w:r>
          </w:p>
        </w:tc>
        <w:tc>
          <w:tcPr>
            <w:tcW w:w="1684" w:type="dxa"/>
            <w:tcBorders>
              <w:top w:val="nil"/>
              <w:left w:val="nil"/>
              <w:bottom w:val="nil"/>
              <w:right w:val="nil"/>
            </w:tcBorders>
          </w:tcPr>
          <w:p w14:paraId="4C1F03C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Raw ratio</w:t>
            </w:r>
          </w:p>
        </w:tc>
        <w:tc>
          <w:tcPr>
            <w:tcW w:w="3259" w:type="dxa"/>
            <w:tcBorders>
              <w:top w:val="nil"/>
              <w:left w:val="nil"/>
              <w:bottom w:val="nil"/>
              <w:right w:val="nil"/>
            </w:tcBorders>
          </w:tcPr>
          <w:p w14:paraId="131C0E4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the mediolateral base of support</w:t>
            </w:r>
          </w:p>
        </w:tc>
      </w:tr>
      <w:tr w14:paraId="175ED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0026B2A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Gait</w:t>
            </w:r>
          </w:p>
        </w:tc>
        <w:tc>
          <w:tcPr>
            <w:tcW w:w="2550" w:type="dxa"/>
            <w:tcBorders>
              <w:top w:val="nil"/>
              <w:left w:val="nil"/>
              <w:bottom w:val="nil"/>
              <w:right w:val="nil"/>
            </w:tcBorders>
          </w:tcPr>
          <w:p w14:paraId="4533A679">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foot progression angle</w:t>
            </w:r>
          </w:p>
        </w:tc>
        <w:tc>
          <w:tcPr>
            <w:tcW w:w="1391" w:type="dxa"/>
            <w:tcBorders>
              <w:top w:val="nil"/>
              <w:left w:val="nil"/>
              <w:bottom w:val="nil"/>
              <w:right w:val="nil"/>
            </w:tcBorders>
          </w:tcPr>
          <w:p w14:paraId="2B1C9542">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w:t>
            </w:r>
          </w:p>
        </w:tc>
        <w:tc>
          <w:tcPr>
            <w:tcW w:w="1684" w:type="dxa"/>
            <w:tcBorders>
              <w:top w:val="nil"/>
              <w:left w:val="nil"/>
              <w:bottom w:val="nil"/>
              <w:right w:val="nil"/>
            </w:tcBorders>
          </w:tcPr>
          <w:p w14:paraId="0E367AA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Raw value</w:t>
            </w:r>
          </w:p>
        </w:tc>
        <w:tc>
          <w:tcPr>
            <w:tcW w:w="3259" w:type="dxa"/>
            <w:tcBorders>
              <w:top w:val="nil"/>
              <w:left w:val="nil"/>
              <w:bottom w:val="nil"/>
              <w:right w:val="nil"/>
            </w:tcBorders>
          </w:tcPr>
          <w:p w14:paraId="59D805F7">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foot progression direction</w:t>
            </w:r>
          </w:p>
        </w:tc>
      </w:tr>
      <w:tr w14:paraId="2C58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01575409">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Plantar pressure</w:t>
            </w:r>
          </w:p>
        </w:tc>
        <w:tc>
          <w:tcPr>
            <w:tcW w:w="2550" w:type="dxa"/>
            <w:tcBorders>
              <w:top w:val="nil"/>
              <w:left w:val="nil"/>
              <w:bottom w:val="nil"/>
              <w:right w:val="nil"/>
            </w:tcBorders>
          </w:tcPr>
          <w:p w14:paraId="66D7875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maximum peak plantar pressure</w:t>
            </w:r>
          </w:p>
        </w:tc>
        <w:tc>
          <w:tcPr>
            <w:tcW w:w="1391" w:type="dxa"/>
            <w:tcBorders>
              <w:top w:val="nil"/>
              <w:left w:val="nil"/>
              <w:bottom w:val="nil"/>
              <w:right w:val="nil"/>
            </w:tcBorders>
          </w:tcPr>
          <w:p w14:paraId="56ADCE42">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kg/cm²</w:t>
            </w:r>
          </w:p>
        </w:tc>
        <w:tc>
          <w:tcPr>
            <w:tcW w:w="1684" w:type="dxa"/>
            <w:tcBorders>
              <w:top w:val="nil"/>
              <w:left w:val="nil"/>
              <w:bottom w:val="nil"/>
              <w:right w:val="nil"/>
            </w:tcBorders>
          </w:tcPr>
          <w:p w14:paraId="48F1560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ln(raw value)</w:t>
            </w:r>
          </w:p>
        </w:tc>
        <w:tc>
          <w:tcPr>
            <w:tcW w:w="3259" w:type="dxa"/>
            <w:tcBorders>
              <w:top w:val="nil"/>
              <w:left w:val="nil"/>
              <w:bottom w:val="nil"/>
              <w:right w:val="nil"/>
            </w:tcBorders>
          </w:tcPr>
          <w:p w14:paraId="1F5137AA">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local peak loading</w:t>
            </w:r>
          </w:p>
        </w:tc>
      </w:tr>
      <w:tr w14:paraId="793AF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312DE7F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Hip strength</w:t>
            </w:r>
          </w:p>
        </w:tc>
        <w:tc>
          <w:tcPr>
            <w:tcW w:w="2550" w:type="dxa"/>
            <w:tcBorders>
              <w:top w:val="nil"/>
              <w:left w:val="nil"/>
              <w:bottom w:val="nil"/>
              <w:right w:val="nil"/>
            </w:tcBorders>
          </w:tcPr>
          <w:p w14:paraId="0532BA5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hip-abduction peak torque</w:t>
            </w:r>
          </w:p>
        </w:tc>
        <w:tc>
          <w:tcPr>
            <w:tcW w:w="1391" w:type="dxa"/>
            <w:tcBorders>
              <w:top w:val="nil"/>
              <w:left w:val="nil"/>
              <w:bottom w:val="nil"/>
              <w:right w:val="nil"/>
            </w:tcBorders>
          </w:tcPr>
          <w:p w14:paraId="41E6469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N·m/kg</w:t>
            </w:r>
          </w:p>
        </w:tc>
        <w:tc>
          <w:tcPr>
            <w:tcW w:w="1684" w:type="dxa"/>
            <w:tcBorders>
              <w:top w:val="nil"/>
              <w:left w:val="nil"/>
              <w:bottom w:val="nil"/>
              <w:right w:val="nil"/>
            </w:tcBorders>
          </w:tcPr>
          <w:p w14:paraId="4CE6A65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Body-mass normalized</w:t>
            </w:r>
          </w:p>
        </w:tc>
        <w:tc>
          <w:tcPr>
            <w:tcW w:w="3259" w:type="dxa"/>
            <w:tcBorders>
              <w:top w:val="nil"/>
              <w:left w:val="nil"/>
              <w:bottom w:val="nil"/>
              <w:right w:val="nil"/>
            </w:tcBorders>
          </w:tcPr>
          <w:p w14:paraId="2754612A">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frontal-plane abduction function</w:t>
            </w:r>
          </w:p>
        </w:tc>
      </w:tr>
      <w:tr w14:paraId="456D2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74018E8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Hip strength</w:t>
            </w:r>
          </w:p>
        </w:tc>
        <w:tc>
          <w:tcPr>
            <w:tcW w:w="2550" w:type="dxa"/>
            <w:tcBorders>
              <w:top w:val="nil"/>
              <w:left w:val="nil"/>
              <w:bottom w:val="nil"/>
              <w:right w:val="nil"/>
            </w:tcBorders>
          </w:tcPr>
          <w:p w14:paraId="0DD7F21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hip-adduction peak torque</w:t>
            </w:r>
          </w:p>
        </w:tc>
        <w:tc>
          <w:tcPr>
            <w:tcW w:w="1391" w:type="dxa"/>
            <w:tcBorders>
              <w:top w:val="nil"/>
              <w:left w:val="nil"/>
              <w:bottom w:val="nil"/>
              <w:right w:val="nil"/>
            </w:tcBorders>
          </w:tcPr>
          <w:p w14:paraId="2E323F24">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N·m/kg</w:t>
            </w:r>
          </w:p>
        </w:tc>
        <w:tc>
          <w:tcPr>
            <w:tcW w:w="1684" w:type="dxa"/>
            <w:tcBorders>
              <w:top w:val="nil"/>
              <w:left w:val="nil"/>
              <w:bottom w:val="nil"/>
              <w:right w:val="nil"/>
            </w:tcBorders>
          </w:tcPr>
          <w:p w14:paraId="1E63994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Body-mass normalized</w:t>
            </w:r>
          </w:p>
        </w:tc>
        <w:tc>
          <w:tcPr>
            <w:tcW w:w="3259" w:type="dxa"/>
            <w:tcBorders>
              <w:top w:val="nil"/>
              <w:left w:val="nil"/>
              <w:bottom w:val="nil"/>
              <w:right w:val="nil"/>
            </w:tcBorders>
          </w:tcPr>
          <w:p w14:paraId="1897798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frontal-plane adduction function</w:t>
            </w:r>
          </w:p>
        </w:tc>
      </w:tr>
      <w:tr w14:paraId="4EC9F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066175A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Hip strength</w:t>
            </w:r>
          </w:p>
        </w:tc>
        <w:tc>
          <w:tcPr>
            <w:tcW w:w="2550" w:type="dxa"/>
            <w:tcBorders>
              <w:top w:val="nil"/>
              <w:left w:val="nil"/>
              <w:bottom w:val="nil"/>
              <w:right w:val="nil"/>
            </w:tcBorders>
          </w:tcPr>
          <w:p w14:paraId="2A9B3A9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hip-flexion peak torque</w:t>
            </w:r>
          </w:p>
        </w:tc>
        <w:tc>
          <w:tcPr>
            <w:tcW w:w="1391" w:type="dxa"/>
            <w:tcBorders>
              <w:top w:val="nil"/>
              <w:left w:val="nil"/>
              <w:bottom w:val="nil"/>
              <w:right w:val="nil"/>
            </w:tcBorders>
          </w:tcPr>
          <w:p w14:paraId="7EA63554">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N·m/kg</w:t>
            </w:r>
          </w:p>
        </w:tc>
        <w:tc>
          <w:tcPr>
            <w:tcW w:w="1684" w:type="dxa"/>
            <w:tcBorders>
              <w:top w:val="nil"/>
              <w:left w:val="nil"/>
              <w:bottom w:val="nil"/>
              <w:right w:val="nil"/>
            </w:tcBorders>
          </w:tcPr>
          <w:p w14:paraId="06767762">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Body-mass normalized</w:t>
            </w:r>
          </w:p>
        </w:tc>
        <w:tc>
          <w:tcPr>
            <w:tcW w:w="3259" w:type="dxa"/>
            <w:tcBorders>
              <w:top w:val="nil"/>
              <w:left w:val="nil"/>
              <w:bottom w:val="nil"/>
              <w:right w:val="nil"/>
            </w:tcBorders>
          </w:tcPr>
          <w:p w14:paraId="6320FC9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sagittal-plane flexion function</w:t>
            </w:r>
          </w:p>
        </w:tc>
      </w:tr>
      <w:tr w14:paraId="1B39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nil"/>
              <w:right w:val="nil"/>
            </w:tcBorders>
          </w:tcPr>
          <w:p w14:paraId="1F08A925">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Hip strength</w:t>
            </w:r>
          </w:p>
        </w:tc>
        <w:tc>
          <w:tcPr>
            <w:tcW w:w="2550" w:type="dxa"/>
            <w:tcBorders>
              <w:top w:val="nil"/>
              <w:left w:val="nil"/>
              <w:bottom w:val="nil"/>
              <w:right w:val="nil"/>
            </w:tcBorders>
          </w:tcPr>
          <w:p w14:paraId="54924945">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hip-extension peak torque</w:t>
            </w:r>
          </w:p>
        </w:tc>
        <w:tc>
          <w:tcPr>
            <w:tcW w:w="1391" w:type="dxa"/>
            <w:tcBorders>
              <w:top w:val="nil"/>
              <w:left w:val="nil"/>
              <w:bottom w:val="nil"/>
              <w:right w:val="nil"/>
            </w:tcBorders>
          </w:tcPr>
          <w:p w14:paraId="0953F8C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N·m/kg</w:t>
            </w:r>
          </w:p>
        </w:tc>
        <w:tc>
          <w:tcPr>
            <w:tcW w:w="1684" w:type="dxa"/>
            <w:tcBorders>
              <w:top w:val="nil"/>
              <w:left w:val="nil"/>
              <w:bottom w:val="nil"/>
              <w:right w:val="nil"/>
            </w:tcBorders>
          </w:tcPr>
          <w:p w14:paraId="003D0C9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Body-mass normalized</w:t>
            </w:r>
          </w:p>
        </w:tc>
        <w:tc>
          <w:tcPr>
            <w:tcW w:w="3259" w:type="dxa"/>
            <w:tcBorders>
              <w:top w:val="nil"/>
              <w:left w:val="nil"/>
              <w:bottom w:val="nil"/>
              <w:right w:val="nil"/>
            </w:tcBorders>
          </w:tcPr>
          <w:p w14:paraId="1D911DB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Represents sagittal-plane extension function</w:t>
            </w:r>
          </w:p>
        </w:tc>
      </w:tr>
      <w:tr w14:paraId="324A1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634" w:type="dxa"/>
            <w:tcBorders>
              <w:top w:val="nil"/>
              <w:left w:val="nil"/>
              <w:bottom w:val="single" w:color="auto" w:sz="12" w:space="0"/>
              <w:right w:val="nil"/>
            </w:tcBorders>
          </w:tcPr>
          <w:p w14:paraId="5D5C7B4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Knee strength</w:t>
            </w:r>
          </w:p>
        </w:tc>
        <w:tc>
          <w:tcPr>
            <w:tcW w:w="2550" w:type="dxa"/>
            <w:tcBorders>
              <w:top w:val="nil"/>
              <w:left w:val="nil"/>
              <w:bottom w:val="single" w:color="auto" w:sz="12" w:space="0"/>
              <w:right w:val="nil"/>
            </w:tcBorders>
          </w:tcPr>
          <w:p w14:paraId="440BA6A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Affected-side knee-flexion peak torque</w:t>
            </w:r>
          </w:p>
        </w:tc>
        <w:tc>
          <w:tcPr>
            <w:tcW w:w="1391" w:type="dxa"/>
            <w:tcBorders>
              <w:top w:val="nil"/>
              <w:left w:val="nil"/>
              <w:bottom w:val="single" w:color="auto" w:sz="12" w:space="0"/>
              <w:right w:val="nil"/>
            </w:tcBorders>
          </w:tcPr>
          <w:p w14:paraId="08C854C9">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N·m/kg</w:t>
            </w:r>
          </w:p>
        </w:tc>
        <w:tc>
          <w:tcPr>
            <w:tcW w:w="1684" w:type="dxa"/>
            <w:tcBorders>
              <w:top w:val="nil"/>
              <w:left w:val="nil"/>
              <w:bottom w:val="single" w:color="auto" w:sz="12" w:space="0"/>
              <w:right w:val="nil"/>
            </w:tcBorders>
          </w:tcPr>
          <w:p w14:paraId="6313D6B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Body-mass normalized</w:t>
            </w:r>
          </w:p>
        </w:tc>
        <w:tc>
          <w:tcPr>
            <w:tcW w:w="3259" w:type="dxa"/>
            <w:tcBorders>
              <w:top w:val="nil"/>
              <w:left w:val="nil"/>
              <w:bottom w:val="single" w:color="auto" w:sz="12" w:space="0"/>
              <w:right w:val="nil"/>
            </w:tcBorders>
          </w:tcPr>
          <w:p w14:paraId="48882DD5">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Knee extension was already included in M1, avoiding duplication</w:t>
            </w:r>
          </w:p>
        </w:tc>
      </w:tr>
      <w:bookmarkEnd w:id="0"/>
    </w:tbl>
    <w:p w14:paraId="058CFB52">
      <w:pPr>
        <w:keepNext w:val="0"/>
        <w:keepLines w:val="0"/>
        <w:pageBreakBefore w:val="0"/>
        <w:widowControl/>
        <w:kinsoku/>
        <w:wordWrap/>
        <w:overflowPunct/>
        <w:topLinePunct w:val="0"/>
        <w:autoSpaceDE/>
        <w:autoSpaceDN/>
        <w:bidi w:val="0"/>
        <w:adjustRightInd/>
        <w:snapToGrid/>
        <w:spacing w:before="60" w:after="60" w:line="240" w:lineRule="auto"/>
        <w:ind w:left="0" w:right="0" w:firstLine="0"/>
        <w:jc w:val="left"/>
        <w:textAlignment w:val="auto"/>
        <w:rPr>
          <w:rFonts w:hint="default" w:ascii="Times New Roman" w:hAnsi="Times New Roman" w:eastAsia="宋体" w:cs="Times New Roman"/>
          <w:sz w:val="20"/>
          <w:szCs w:val="20"/>
        </w:rPr>
      </w:pPr>
      <w:r>
        <w:rPr>
          <w:rFonts w:hint="default" w:ascii="Times New Roman" w:hAnsi="Times New Roman" w:eastAsia="Times New Roman" w:cs="Times New Roman"/>
          <w:b w:val="0"/>
          <w:sz w:val="20"/>
          <w:szCs w:val="20"/>
        </w:rPr>
        <w:t>Note: The 10 measures were selected to cover distinct functional domains, retain clinical interpretability, and avoid duplication with M1. All continuous variables were additionally z-standardized before model entry. COP, center of pressure; g, gravitational acceleration (9.81 m/s²); L, leg length (m); ln, natural logarithm; M1, Model 1; v, walking speed (m/s).</w:t>
      </w:r>
    </w:p>
    <w:p w14:paraId="42741ED7">
      <w:pPr>
        <w:keepNext w:val="0"/>
        <w:keepLines w:val="0"/>
        <w:pageBreakBefore w:val="0"/>
        <w:widowControl/>
        <w:kinsoku/>
        <w:wordWrap/>
        <w:overflowPunct/>
        <w:topLinePunct w:val="0"/>
        <w:autoSpaceDE/>
        <w:autoSpaceDN/>
        <w:bidi w:val="0"/>
        <w:adjustRightInd/>
        <w:snapToGrid/>
        <w:spacing w:before="60" w:after="60" w:line="240" w:lineRule="auto"/>
        <w:ind w:left="0" w:right="0" w:firstLine="0"/>
        <w:jc w:val="left"/>
        <w:textAlignment w:val="auto"/>
        <w:rPr>
          <w:rFonts w:hint="default" w:ascii="Times New Roman" w:hAnsi="Times New Roman" w:eastAsia="宋体" w:cs="Times New Roman"/>
          <w:sz w:val="20"/>
          <w:szCs w:val="20"/>
        </w:rPr>
      </w:pPr>
      <w:r>
        <w:rPr>
          <w:rFonts w:hint="default" w:ascii="Times New Roman" w:hAnsi="Times New Roman" w:eastAsia="Times New Roman" w:cs="Times New Roman"/>
          <w:b/>
          <w:sz w:val="20"/>
          <w:szCs w:val="20"/>
        </w:rPr>
        <w:t>Supplementary Table S2. Comparison of preoperative baseline characteristics between patients with and without 6-month 17-item Tampa Scale for Kinesiophobia (TSK-17) outcome data</w:t>
      </w:r>
    </w:p>
    <w:tbl>
      <w:tblPr>
        <w:tblStyle w:val="2"/>
        <w:tblW w:w="101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8"/>
        <w:gridCol w:w="2448"/>
        <w:gridCol w:w="2333"/>
        <w:gridCol w:w="1340"/>
        <w:gridCol w:w="1189"/>
      </w:tblGrid>
      <w:tr w14:paraId="024FE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2848" w:type="dxa"/>
            <w:tcBorders>
              <w:top w:val="single" w:color="auto" w:sz="12" w:space="0"/>
              <w:left w:val="nil"/>
              <w:bottom w:val="single" w:color="000000" w:sz="8" w:space="0"/>
              <w:right w:val="nil"/>
            </w:tcBorders>
            <w:tcMar>
              <w:top w:w="60" w:type="dxa"/>
              <w:left w:w="70" w:type="dxa"/>
              <w:bottom w:w="60" w:type="dxa"/>
              <w:right w:w="70" w:type="dxa"/>
            </w:tcMar>
            <w:vAlign w:val="center"/>
          </w:tcPr>
          <w:p w14:paraId="64F8653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Variable</w:t>
            </w:r>
          </w:p>
        </w:tc>
        <w:tc>
          <w:tcPr>
            <w:tcW w:w="2448" w:type="dxa"/>
            <w:tcBorders>
              <w:top w:val="single" w:color="auto" w:sz="12" w:space="0"/>
              <w:left w:val="nil"/>
              <w:bottom w:val="single" w:color="000000" w:sz="8" w:space="0"/>
              <w:right w:val="nil"/>
            </w:tcBorders>
            <w:tcMar>
              <w:top w:w="60" w:type="dxa"/>
              <w:left w:w="70" w:type="dxa"/>
              <w:bottom w:w="60" w:type="dxa"/>
              <w:right w:w="70" w:type="dxa"/>
            </w:tcMar>
            <w:vAlign w:val="center"/>
          </w:tcPr>
          <w:p w14:paraId="00684ADC">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6-month TSK-17 available (n=177)</w:t>
            </w:r>
          </w:p>
        </w:tc>
        <w:tc>
          <w:tcPr>
            <w:tcW w:w="2333" w:type="dxa"/>
            <w:tcBorders>
              <w:top w:val="single" w:color="auto" w:sz="12" w:space="0"/>
              <w:left w:val="nil"/>
              <w:bottom w:val="single" w:color="000000" w:sz="8" w:space="0"/>
              <w:right w:val="nil"/>
            </w:tcBorders>
            <w:tcMar>
              <w:top w:w="60" w:type="dxa"/>
              <w:left w:w="70" w:type="dxa"/>
              <w:bottom w:w="60" w:type="dxa"/>
              <w:right w:w="70" w:type="dxa"/>
            </w:tcMar>
            <w:vAlign w:val="center"/>
          </w:tcPr>
          <w:p w14:paraId="68C3D88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6-month TSK-17 missing (n=32)</w:t>
            </w:r>
          </w:p>
        </w:tc>
        <w:tc>
          <w:tcPr>
            <w:tcW w:w="1340" w:type="dxa"/>
            <w:tcBorders>
              <w:top w:val="single" w:color="auto" w:sz="12" w:space="0"/>
              <w:left w:val="nil"/>
              <w:bottom w:val="single" w:color="000000" w:sz="8" w:space="0"/>
              <w:right w:val="nil"/>
            </w:tcBorders>
            <w:tcMar>
              <w:top w:w="60" w:type="dxa"/>
              <w:left w:w="70" w:type="dxa"/>
              <w:bottom w:w="60" w:type="dxa"/>
              <w:right w:w="70" w:type="dxa"/>
            </w:tcMar>
            <w:vAlign w:val="center"/>
          </w:tcPr>
          <w:p w14:paraId="58C07832">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SMD</w:t>
            </w:r>
          </w:p>
        </w:tc>
        <w:tc>
          <w:tcPr>
            <w:tcW w:w="1189" w:type="dxa"/>
            <w:tcBorders>
              <w:top w:val="single" w:color="auto" w:sz="12" w:space="0"/>
              <w:left w:val="nil"/>
              <w:bottom w:val="single" w:color="000000" w:sz="8" w:space="0"/>
              <w:right w:val="nil"/>
            </w:tcBorders>
            <w:tcMar>
              <w:top w:w="60" w:type="dxa"/>
              <w:left w:w="70" w:type="dxa"/>
              <w:bottom w:w="60" w:type="dxa"/>
              <w:right w:w="70" w:type="dxa"/>
            </w:tcMar>
            <w:vAlign w:val="center"/>
          </w:tcPr>
          <w:p w14:paraId="7076C3B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sz w:val="20"/>
                <w:szCs w:val="20"/>
              </w:rPr>
              <w:t>P value</w:t>
            </w:r>
          </w:p>
        </w:tc>
      </w:tr>
      <w:tr w14:paraId="28796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single" w:color="000000" w:sz="8" w:space="0"/>
              <w:left w:val="nil"/>
              <w:bottom w:val="nil"/>
              <w:right w:val="nil"/>
            </w:tcBorders>
            <w:tcMar>
              <w:top w:w="60" w:type="dxa"/>
              <w:left w:w="70" w:type="dxa"/>
              <w:bottom w:w="60" w:type="dxa"/>
              <w:right w:w="70" w:type="dxa"/>
            </w:tcMar>
            <w:vAlign w:val="center"/>
          </w:tcPr>
          <w:p w14:paraId="2C05FDB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Age, years</w:t>
            </w:r>
          </w:p>
        </w:tc>
        <w:tc>
          <w:tcPr>
            <w:tcW w:w="2448" w:type="dxa"/>
            <w:tcBorders>
              <w:top w:val="single" w:color="000000" w:sz="8" w:space="0"/>
              <w:left w:val="nil"/>
              <w:bottom w:val="nil"/>
              <w:right w:val="nil"/>
            </w:tcBorders>
            <w:tcMar>
              <w:top w:w="60" w:type="dxa"/>
              <w:left w:w="70" w:type="dxa"/>
              <w:bottom w:w="60" w:type="dxa"/>
              <w:right w:w="70" w:type="dxa"/>
            </w:tcMar>
            <w:vAlign w:val="center"/>
          </w:tcPr>
          <w:p w14:paraId="0E80549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30.00 ± 7.51</w:t>
            </w:r>
          </w:p>
        </w:tc>
        <w:tc>
          <w:tcPr>
            <w:tcW w:w="2333" w:type="dxa"/>
            <w:tcBorders>
              <w:top w:val="single" w:color="000000" w:sz="8" w:space="0"/>
              <w:left w:val="nil"/>
              <w:bottom w:val="nil"/>
              <w:right w:val="nil"/>
            </w:tcBorders>
            <w:tcMar>
              <w:top w:w="60" w:type="dxa"/>
              <w:left w:w="70" w:type="dxa"/>
              <w:bottom w:w="60" w:type="dxa"/>
              <w:right w:w="70" w:type="dxa"/>
            </w:tcMar>
            <w:vAlign w:val="center"/>
          </w:tcPr>
          <w:p w14:paraId="24C9DBF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31.41 ± 8.23</w:t>
            </w:r>
          </w:p>
        </w:tc>
        <w:tc>
          <w:tcPr>
            <w:tcW w:w="1340" w:type="dxa"/>
            <w:tcBorders>
              <w:top w:val="single" w:color="000000" w:sz="8" w:space="0"/>
              <w:left w:val="nil"/>
              <w:bottom w:val="nil"/>
              <w:right w:val="nil"/>
            </w:tcBorders>
            <w:tcMar>
              <w:top w:w="60" w:type="dxa"/>
              <w:left w:w="70" w:type="dxa"/>
              <w:bottom w:w="60" w:type="dxa"/>
              <w:right w:w="70" w:type="dxa"/>
            </w:tcMar>
            <w:vAlign w:val="center"/>
          </w:tcPr>
          <w:p w14:paraId="3346515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-0.184</w:t>
            </w:r>
          </w:p>
        </w:tc>
        <w:tc>
          <w:tcPr>
            <w:tcW w:w="1189" w:type="dxa"/>
            <w:tcBorders>
              <w:top w:val="single" w:color="000000" w:sz="8" w:space="0"/>
              <w:left w:val="nil"/>
              <w:bottom w:val="nil"/>
              <w:right w:val="nil"/>
            </w:tcBorders>
            <w:tcMar>
              <w:top w:w="60" w:type="dxa"/>
              <w:left w:w="70" w:type="dxa"/>
              <w:bottom w:w="60" w:type="dxa"/>
              <w:right w:w="70" w:type="dxa"/>
            </w:tcMar>
            <w:vAlign w:val="center"/>
          </w:tcPr>
          <w:p w14:paraId="28B1C73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0.340</w:t>
            </w:r>
          </w:p>
        </w:tc>
      </w:tr>
      <w:tr w14:paraId="52A2D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4E1C4DE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BMI, kg/m²</w:t>
            </w:r>
          </w:p>
        </w:tc>
        <w:tc>
          <w:tcPr>
            <w:tcW w:w="2448" w:type="dxa"/>
            <w:tcBorders>
              <w:top w:val="nil"/>
              <w:left w:val="nil"/>
              <w:bottom w:val="nil"/>
              <w:right w:val="nil"/>
            </w:tcBorders>
            <w:tcMar>
              <w:top w:w="60" w:type="dxa"/>
              <w:left w:w="70" w:type="dxa"/>
              <w:bottom w:w="60" w:type="dxa"/>
              <w:right w:w="70" w:type="dxa"/>
            </w:tcMar>
            <w:vAlign w:val="center"/>
          </w:tcPr>
          <w:p w14:paraId="50EF722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24.82 ± 3.65</w:t>
            </w:r>
          </w:p>
        </w:tc>
        <w:tc>
          <w:tcPr>
            <w:tcW w:w="2333" w:type="dxa"/>
            <w:tcBorders>
              <w:top w:val="nil"/>
              <w:left w:val="nil"/>
              <w:bottom w:val="nil"/>
              <w:right w:val="nil"/>
            </w:tcBorders>
            <w:tcMar>
              <w:top w:w="60" w:type="dxa"/>
              <w:left w:w="70" w:type="dxa"/>
              <w:bottom w:w="60" w:type="dxa"/>
              <w:right w:w="70" w:type="dxa"/>
            </w:tcMar>
            <w:vAlign w:val="center"/>
          </w:tcPr>
          <w:p w14:paraId="7ADFE699">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25.33 ± 3.36</w:t>
            </w:r>
          </w:p>
        </w:tc>
        <w:tc>
          <w:tcPr>
            <w:tcW w:w="1340" w:type="dxa"/>
            <w:tcBorders>
              <w:top w:val="nil"/>
              <w:left w:val="nil"/>
              <w:bottom w:val="nil"/>
              <w:right w:val="nil"/>
            </w:tcBorders>
            <w:tcMar>
              <w:top w:w="60" w:type="dxa"/>
              <w:left w:w="70" w:type="dxa"/>
              <w:bottom w:w="60" w:type="dxa"/>
              <w:right w:w="70" w:type="dxa"/>
            </w:tcMar>
            <w:vAlign w:val="center"/>
          </w:tcPr>
          <w:p w14:paraId="79DC7AC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-0.139</w:t>
            </w:r>
          </w:p>
        </w:tc>
        <w:tc>
          <w:tcPr>
            <w:tcW w:w="1189" w:type="dxa"/>
            <w:tcBorders>
              <w:top w:val="nil"/>
              <w:left w:val="nil"/>
              <w:bottom w:val="nil"/>
              <w:right w:val="nil"/>
            </w:tcBorders>
            <w:tcMar>
              <w:top w:w="60" w:type="dxa"/>
              <w:left w:w="70" w:type="dxa"/>
              <w:bottom w:w="60" w:type="dxa"/>
              <w:right w:w="70" w:type="dxa"/>
            </w:tcMar>
            <w:vAlign w:val="center"/>
          </w:tcPr>
          <w:p w14:paraId="77E94ED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0.467</w:t>
            </w:r>
          </w:p>
        </w:tc>
      </w:tr>
      <w:tr w14:paraId="67837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1508505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Men, n (%)</w:t>
            </w:r>
          </w:p>
        </w:tc>
        <w:tc>
          <w:tcPr>
            <w:tcW w:w="2448" w:type="dxa"/>
            <w:tcBorders>
              <w:top w:val="nil"/>
              <w:left w:val="nil"/>
              <w:bottom w:val="nil"/>
              <w:right w:val="nil"/>
            </w:tcBorders>
            <w:tcMar>
              <w:top w:w="60" w:type="dxa"/>
              <w:left w:w="70" w:type="dxa"/>
              <w:bottom w:w="60" w:type="dxa"/>
              <w:right w:w="70" w:type="dxa"/>
            </w:tcMar>
            <w:vAlign w:val="center"/>
          </w:tcPr>
          <w:p w14:paraId="7F85F780">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122 (68.9)</w:t>
            </w:r>
          </w:p>
        </w:tc>
        <w:tc>
          <w:tcPr>
            <w:tcW w:w="2333" w:type="dxa"/>
            <w:tcBorders>
              <w:top w:val="nil"/>
              <w:left w:val="nil"/>
              <w:bottom w:val="nil"/>
              <w:right w:val="nil"/>
            </w:tcBorders>
            <w:tcMar>
              <w:top w:w="60" w:type="dxa"/>
              <w:left w:w="70" w:type="dxa"/>
              <w:bottom w:w="60" w:type="dxa"/>
              <w:right w:w="70" w:type="dxa"/>
            </w:tcMar>
            <w:vAlign w:val="center"/>
          </w:tcPr>
          <w:p w14:paraId="3DABC20C">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25 (78.1)</w:t>
            </w:r>
          </w:p>
        </w:tc>
        <w:tc>
          <w:tcPr>
            <w:tcW w:w="1340" w:type="dxa"/>
            <w:tcBorders>
              <w:top w:val="nil"/>
              <w:left w:val="nil"/>
              <w:bottom w:val="nil"/>
              <w:right w:val="nil"/>
            </w:tcBorders>
            <w:tcMar>
              <w:top w:w="60" w:type="dxa"/>
              <w:left w:w="70" w:type="dxa"/>
              <w:bottom w:w="60" w:type="dxa"/>
              <w:right w:w="70" w:type="dxa"/>
            </w:tcMar>
            <w:vAlign w:val="center"/>
          </w:tcPr>
          <w:p w14:paraId="471B26F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-0.210</w:t>
            </w:r>
          </w:p>
        </w:tc>
        <w:tc>
          <w:tcPr>
            <w:tcW w:w="1189" w:type="dxa"/>
            <w:tcBorders>
              <w:top w:val="nil"/>
              <w:left w:val="nil"/>
              <w:bottom w:val="nil"/>
              <w:right w:val="nil"/>
            </w:tcBorders>
            <w:tcMar>
              <w:top w:w="60" w:type="dxa"/>
              <w:left w:w="70" w:type="dxa"/>
              <w:bottom w:w="60" w:type="dxa"/>
              <w:right w:w="70" w:type="dxa"/>
            </w:tcMar>
            <w:vAlign w:val="center"/>
          </w:tcPr>
          <w:p w14:paraId="5FC0B42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0.401</w:t>
            </w:r>
          </w:p>
        </w:tc>
      </w:tr>
      <w:tr w14:paraId="3FC26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5208BF0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Preoperative TSK-17, points</w:t>
            </w:r>
          </w:p>
        </w:tc>
        <w:tc>
          <w:tcPr>
            <w:tcW w:w="2448" w:type="dxa"/>
            <w:tcBorders>
              <w:top w:val="nil"/>
              <w:left w:val="nil"/>
              <w:bottom w:val="nil"/>
              <w:right w:val="nil"/>
            </w:tcBorders>
            <w:tcMar>
              <w:top w:w="60" w:type="dxa"/>
              <w:left w:w="70" w:type="dxa"/>
              <w:bottom w:w="60" w:type="dxa"/>
              <w:right w:w="70" w:type="dxa"/>
            </w:tcMar>
            <w:vAlign w:val="center"/>
          </w:tcPr>
          <w:p w14:paraId="03E9F3B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43.02 ± 5.37</w:t>
            </w:r>
          </w:p>
        </w:tc>
        <w:tc>
          <w:tcPr>
            <w:tcW w:w="2333" w:type="dxa"/>
            <w:tcBorders>
              <w:top w:val="nil"/>
              <w:left w:val="nil"/>
              <w:bottom w:val="nil"/>
              <w:right w:val="nil"/>
            </w:tcBorders>
            <w:tcMar>
              <w:top w:w="60" w:type="dxa"/>
              <w:left w:w="70" w:type="dxa"/>
              <w:bottom w:w="60" w:type="dxa"/>
              <w:right w:w="70" w:type="dxa"/>
            </w:tcMar>
            <w:vAlign w:val="center"/>
          </w:tcPr>
          <w:p w14:paraId="7FF8B1A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42.35 ± 5.51</w:t>
            </w:r>
          </w:p>
        </w:tc>
        <w:tc>
          <w:tcPr>
            <w:tcW w:w="1340" w:type="dxa"/>
            <w:tcBorders>
              <w:top w:val="nil"/>
              <w:left w:val="nil"/>
              <w:bottom w:val="nil"/>
              <w:right w:val="nil"/>
            </w:tcBorders>
            <w:tcMar>
              <w:top w:w="60" w:type="dxa"/>
              <w:left w:w="70" w:type="dxa"/>
              <w:bottom w:w="60" w:type="dxa"/>
              <w:right w:w="70" w:type="dxa"/>
            </w:tcMar>
            <w:vAlign w:val="center"/>
          </w:tcPr>
          <w:p w14:paraId="223C6157">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0.123</w:t>
            </w:r>
          </w:p>
        </w:tc>
        <w:tc>
          <w:tcPr>
            <w:tcW w:w="1189" w:type="dxa"/>
            <w:tcBorders>
              <w:top w:val="nil"/>
              <w:left w:val="nil"/>
              <w:bottom w:val="nil"/>
              <w:right w:val="nil"/>
            </w:tcBorders>
            <w:tcMar>
              <w:top w:w="60" w:type="dxa"/>
              <w:left w:w="70" w:type="dxa"/>
              <w:bottom w:w="60" w:type="dxa"/>
              <w:right w:w="70" w:type="dxa"/>
            </w:tcMar>
            <w:vAlign w:val="center"/>
          </w:tcPr>
          <w:p w14:paraId="08F84A2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0.541</w:t>
            </w:r>
          </w:p>
        </w:tc>
      </w:tr>
      <w:tr w14:paraId="1C2DF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4A4D861D">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Preoperative ACL-RSI, points</w:t>
            </w:r>
          </w:p>
        </w:tc>
        <w:tc>
          <w:tcPr>
            <w:tcW w:w="2448" w:type="dxa"/>
            <w:tcBorders>
              <w:top w:val="nil"/>
              <w:left w:val="nil"/>
              <w:bottom w:val="nil"/>
              <w:right w:val="nil"/>
            </w:tcBorders>
            <w:tcMar>
              <w:top w:w="60" w:type="dxa"/>
              <w:left w:w="70" w:type="dxa"/>
              <w:bottom w:w="60" w:type="dxa"/>
              <w:right w:w="70" w:type="dxa"/>
            </w:tcMar>
            <w:vAlign w:val="center"/>
          </w:tcPr>
          <w:p w14:paraId="285A280A">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58.83 ± 17.49</w:t>
            </w:r>
          </w:p>
        </w:tc>
        <w:tc>
          <w:tcPr>
            <w:tcW w:w="2333" w:type="dxa"/>
            <w:tcBorders>
              <w:top w:val="nil"/>
              <w:left w:val="nil"/>
              <w:bottom w:val="nil"/>
              <w:right w:val="nil"/>
            </w:tcBorders>
            <w:tcMar>
              <w:top w:w="60" w:type="dxa"/>
              <w:left w:w="70" w:type="dxa"/>
              <w:bottom w:w="60" w:type="dxa"/>
              <w:right w:w="70" w:type="dxa"/>
            </w:tcMar>
            <w:vAlign w:val="center"/>
          </w:tcPr>
          <w:p w14:paraId="4EF089C5">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61.99 ± 18.36</w:t>
            </w:r>
          </w:p>
        </w:tc>
        <w:tc>
          <w:tcPr>
            <w:tcW w:w="1340" w:type="dxa"/>
            <w:tcBorders>
              <w:top w:val="nil"/>
              <w:left w:val="nil"/>
              <w:bottom w:val="nil"/>
              <w:right w:val="nil"/>
            </w:tcBorders>
            <w:tcMar>
              <w:top w:w="60" w:type="dxa"/>
              <w:left w:w="70" w:type="dxa"/>
              <w:bottom w:w="60" w:type="dxa"/>
              <w:right w:w="70" w:type="dxa"/>
            </w:tcMar>
            <w:vAlign w:val="center"/>
          </w:tcPr>
          <w:p w14:paraId="1CBEF7B2">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-0.180</w:t>
            </w:r>
          </w:p>
        </w:tc>
        <w:tc>
          <w:tcPr>
            <w:tcW w:w="1189" w:type="dxa"/>
            <w:tcBorders>
              <w:top w:val="nil"/>
              <w:left w:val="nil"/>
              <w:bottom w:val="nil"/>
              <w:right w:val="nil"/>
            </w:tcBorders>
            <w:tcMar>
              <w:top w:w="60" w:type="dxa"/>
              <w:left w:w="70" w:type="dxa"/>
              <w:bottom w:w="60" w:type="dxa"/>
              <w:right w:w="70" w:type="dxa"/>
            </w:tcMar>
            <w:vAlign w:val="center"/>
          </w:tcPr>
          <w:p w14:paraId="3466A6B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0.354</w:t>
            </w:r>
          </w:p>
        </w:tc>
      </w:tr>
      <w:tr w14:paraId="7BCA7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4F10B80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Preoperative K-SES, points</w:t>
            </w:r>
          </w:p>
        </w:tc>
        <w:tc>
          <w:tcPr>
            <w:tcW w:w="2448" w:type="dxa"/>
            <w:tcBorders>
              <w:top w:val="nil"/>
              <w:left w:val="nil"/>
              <w:bottom w:val="nil"/>
              <w:right w:val="nil"/>
            </w:tcBorders>
            <w:tcMar>
              <w:top w:w="60" w:type="dxa"/>
              <w:left w:w="70" w:type="dxa"/>
              <w:bottom w:w="60" w:type="dxa"/>
              <w:right w:w="70" w:type="dxa"/>
            </w:tcMar>
            <w:vAlign w:val="center"/>
          </w:tcPr>
          <w:p w14:paraId="7836A043">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55.86 ± 21.87</w:t>
            </w:r>
          </w:p>
        </w:tc>
        <w:tc>
          <w:tcPr>
            <w:tcW w:w="2333" w:type="dxa"/>
            <w:tcBorders>
              <w:top w:val="nil"/>
              <w:left w:val="nil"/>
              <w:bottom w:val="nil"/>
              <w:right w:val="nil"/>
            </w:tcBorders>
            <w:tcMar>
              <w:top w:w="60" w:type="dxa"/>
              <w:left w:w="70" w:type="dxa"/>
              <w:bottom w:w="60" w:type="dxa"/>
              <w:right w:w="70" w:type="dxa"/>
            </w:tcMar>
            <w:vAlign w:val="center"/>
          </w:tcPr>
          <w:p w14:paraId="56EA364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64.77 ± 24.69</w:t>
            </w:r>
          </w:p>
        </w:tc>
        <w:tc>
          <w:tcPr>
            <w:tcW w:w="1340" w:type="dxa"/>
            <w:tcBorders>
              <w:top w:val="nil"/>
              <w:left w:val="nil"/>
              <w:bottom w:val="nil"/>
              <w:right w:val="nil"/>
            </w:tcBorders>
            <w:tcMar>
              <w:top w:w="60" w:type="dxa"/>
              <w:left w:w="70" w:type="dxa"/>
              <w:bottom w:w="60" w:type="dxa"/>
              <w:right w:w="70" w:type="dxa"/>
            </w:tcMar>
            <w:vAlign w:val="center"/>
          </w:tcPr>
          <w:p w14:paraId="64615B3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-0.399</w:t>
            </w:r>
          </w:p>
        </w:tc>
        <w:tc>
          <w:tcPr>
            <w:tcW w:w="1189" w:type="dxa"/>
            <w:tcBorders>
              <w:top w:val="nil"/>
              <w:left w:val="nil"/>
              <w:bottom w:val="nil"/>
              <w:right w:val="nil"/>
            </w:tcBorders>
            <w:tcMar>
              <w:top w:w="60" w:type="dxa"/>
              <w:left w:w="70" w:type="dxa"/>
              <w:bottom w:w="60" w:type="dxa"/>
              <w:right w:w="70" w:type="dxa"/>
            </w:tcMar>
            <w:vAlign w:val="center"/>
          </w:tcPr>
          <w:p w14:paraId="039B917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0.042</w:t>
            </w:r>
          </w:p>
        </w:tc>
      </w:tr>
      <w:tr w14:paraId="47D0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559549C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Preoperative HADS-A, points</w:t>
            </w:r>
          </w:p>
        </w:tc>
        <w:tc>
          <w:tcPr>
            <w:tcW w:w="2448" w:type="dxa"/>
            <w:tcBorders>
              <w:top w:val="nil"/>
              <w:left w:val="nil"/>
              <w:bottom w:val="nil"/>
              <w:right w:val="nil"/>
            </w:tcBorders>
            <w:tcMar>
              <w:top w:w="60" w:type="dxa"/>
              <w:left w:w="70" w:type="dxa"/>
              <w:bottom w:w="60" w:type="dxa"/>
              <w:right w:w="70" w:type="dxa"/>
            </w:tcMar>
            <w:vAlign w:val="center"/>
          </w:tcPr>
          <w:p w14:paraId="54BE499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3.87 ± 3.03</w:t>
            </w:r>
          </w:p>
        </w:tc>
        <w:tc>
          <w:tcPr>
            <w:tcW w:w="2333" w:type="dxa"/>
            <w:tcBorders>
              <w:top w:val="nil"/>
              <w:left w:val="nil"/>
              <w:bottom w:val="nil"/>
              <w:right w:val="nil"/>
            </w:tcBorders>
            <w:tcMar>
              <w:top w:w="60" w:type="dxa"/>
              <w:left w:w="70" w:type="dxa"/>
              <w:bottom w:w="60" w:type="dxa"/>
              <w:right w:w="70" w:type="dxa"/>
            </w:tcMar>
            <w:vAlign w:val="center"/>
          </w:tcPr>
          <w:p w14:paraId="37047677">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3.90 ± 2.96</w:t>
            </w:r>
          </w:p>
        </w:tc>
        <w:tc>
          <w:tcPr>
            <w:tcW w:w="1340" w:type="dxa"/>
            <w:tcBorders>
              <w:top w:val="nil"/>
              <w:left w:val="nil"/>
              <w:bottom w:val="nil"/>
              <w:right w:val="nil"/>
            </w:tcBorders>
            <w:tcMar>
              <w:top w:w="60" w:type="dxa"/>
              <w:left w:w="70" w:type="dxa"/>
              <w:bottom w:w="60" w:type="dxa"/>
              <w:right w:w="70" w:type="dxa"/>
            </w:tcMar>
            <w:vAlign w:val="center"/>
          </w:tcPr>
          <w:p w14:paraId="1A0538B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-0.011</w:t>
            </w:r>
          </w:p>
        </w:tc>
        <w:tc>
          <w:tcPr>
            <w:tcW w:w="1189" w:type="dxa"/>
            <w:tcBorders>
              <w:top w:val="nil"/>
              <w:left w:val="nil"/>
              <w:bottom w:val="nil"/>
              <w:right w:val="nil"/>
            </w:tcBorders>
            <w:tcMar>
              <w:top w:w="60" w:type="dxa"/>
              <w:left w:w="70" w:type="dxa"/>
              <w:bottom w:w="60" w:type="dxa"/>
              <w:right w:w="70" w:type="dxa"/>
            </w:tcMar>
            <w:vAlign w:val="center"/>
          </w:tcPr>
          <w:p w14:paraId="13883AD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0.975</w:t>
            </w:r>
          </w:p>
        </w:tc>
      </w:tr>
      <w:tr w14:paraId="1A3AE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nil"/>
              <w:right w:val="nil"/>
            </w:tcBorders>
            <w:tcMar>
              <w:top w:w="60" w:type="dxa"/>
              <w:left w:w="70" w:type="dxa"/>
              <w:bottom w:w="60" w:type="dxa"/>
              <w:right w:w="70" w:type="dxa"/>
            </w:tcMar>
            <w:vAlign w:val="center"/>
          </w:tcPr>
          <w:p w14:paraId="4D68D7BF">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Preoperative KOOS Pain, points</w:t>
            </w:r>
          </w:p>
        </w:tc>
        <w:tc>
          <w:tcPr>
            <w:tcW w:w="2448" w:type="dxa"/>
            <w:tcBorders>
              <w:top w:val="nil"/>
              <w:left w:val="nil"/>
              <w:bottom w:val="nil"/>
              <w:right w:val="nil"/>
            </w:tcBorders>
            <w:tcMar>
              <w:top w:w="60" w:type="dxa"/>
              <w:left w:w="70" w:type="dxa"/>
              <w:bottom w:w="60" w:type="dxa"/>
              <w:right w:w="70" w:type="dxa"/>
            </w:tcMar>
            <w:vAlign w:val="center"/>
          </w:tcPr>
          <w:p w14:paraId="38657A41">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77.06 ± 15.08</w:t>
            </w:r>
          </w:p>
        </w:tc>
        <w:tc>
          <w:tcPr>
            <w:tcW w:w="2333" w:type="dxa"/>
            <w:tcBorders>
              <w:top w:val="nil"/>
              <w:left w:val="nil"/>
              <w:bottom w:val="nil"/>
              <w:right w:val="nil"/>
            </w:tcBorders>
            <w:tcMar>
              <w:top w:w="60" w:type="dxa"/>
              <w:left w:w="70" w:type="dxa"/>
              <w:bottom w:w="60" w:type="dxa"/>
              <w:right w:w="70" w:type="dxa"/>
            </w:tcMar>
            <w:vAlign w:val="center"/>
          </w:tcPr>
          <w:p w14:paraId="33B2E5E7">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70.25 ± 18.62</w:t>
            </w:r>
          </w:p>
        </w:tc>
        <w:tc>
          <w:tcPr>
            <w:tcW w:w="1340" w:type="dxa"/>
            <w:tcBorders>
              <w:top w:val="nil"/>
              <w:left w:val="nil"/>
              <w:bottom w:val="nil"/>
              <w:right w:val="nil"/>
            </w:tcBorders>
            <w:tcMar>
              <w:top w:w="60" w:type="dxa"/>
              <w:left w:w="70" w:type="dxa"/>
              <w:bottom w:w="60" w:type="dxa"/>
              <w:right w:w="70" w:type="dxa"/>
            </w:tcMar>
            <w:vAlign w:val="center"/>
          </w:tcPr>
          <w:p w14:paraId="362F0358">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0.435</w:t>
            </w:r>
          </w:p>
        </w:tc>
        <w:tc>
          <w:tcPr>
            <w:tcW w:w="1189" w:type="dxa"/>
            <w:tcBorders>
              <w:top w:val="nil"/>
              <w:left w:val="nil"/>
              <w:bottom w:val="nil"/>
              <w:right w:val="nil"/>
            </w:tcBorders>
            <w:tcMar>
              <w:top w:w="60" w:type="dxa"/>
              <w:left w:w="70" w:type="dxa"/>
              <w:bottom w:w="60" w:type="dxa"/>
              <w:right w:w="70" w:type="dxa"/>
            </w:tcMar>
            <w:vAlign w:val="center"/>
          </w:tcPr>
          <w:p w14:paraId="4BC3F39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0.026</w:t>
            </w:r>
          </w:p>
        </w:tc>
      </w:tr>
      <w:tr w14:paraId="42312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48" w:type="dxa"/>
            <w:tcBorders>
              <w:top w:val="nil"/>
              <w:left w:val="nil"/>
              <w:bottom w:val="single" w:color="auto" w:sz="12" w:space="0"/>
              <w:right w:val="nil"/>
            </w:tcBorders>
            <w:tcMar>
              <w:top w:w="60" w:type="dxa"/>
              <w:left w:w="70" w:type="dxa"/>
              <w:bottom w:w="60" w:type="dxa"/>
              <w:right w:w="70" w:type="dxa"/>
            </w:tcMar>
            <w:vAlign w:val="center"/>
          </w:tcPr>
          <w:p w14:paraId="50319246">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Preoperative IKDC, points</w:t>
            </w:r>
          </w:p>
        </w:tc>
        <w:tc>
          <w:tcPr>
            <w:tcW w:w="2448" w:type="dxa"/>
            <w:tcBorders>
              <w:top w:val="nil"/>
              <w:left w:val="nil"/>
              <w:bottom w:val="single" w:color="auto" w:sz="12" w:space="0"/>
              <w:right w:val="nil"/>
            </w:tcBorders>
            <w:tcMar>
              <w:top w:w="60" w:type="dxa"/>
              <w:left w:w="70" w:type="dxa"/>
              <w:bottom w:w="60" w:type="dxa"/>
              <w:right w:w="70" w:type="dxa"/>
            </w:tcMar>
            <w:vAlign w:val="center"/>
          </w:tcPr>
          <w:p w14:paraId="7A8A24EE">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60.84 ± 17.42</w:t>
            </w:r>
          </w:p>
        </w:tc>
        <w:tc>
          <w:tcPr>
            <w:tcW w:w="2333" w:type="dxa"/>
            <w:tcBorders>
              <w:top w:val="nil"/>
              <w:left w:val="nil"/>
              <w:bottom w:val="single" w:color="auto" w:sz="12" w:space="0"/>
              <w:right w:val="nil"/>
            </w:tcBorders>
            <w:tcMar>
              <w:top w:w="60" w:type="dxa"/>
              <w:left w:w="70" w:type="dxa"/>
              <w:bottom w:w="60" w:type="dxa"/>
              <w:right w:w="70" w:type="dxa"/>
            </w:tcMar>
            <w:vAlign w:val="center"/>
          </w:tcPr>
          <w:p w14:paraId="66F4D56B">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54.95 ± 18.29</w:t>
            </w:r>
          </w:p>
        </w:tc>
        <w:tc>
          <w:tcPr>
            <w:tcW w:w="1340" w:type="dxa"/>
            <w:tcBorders>
              <w:top w:val="nil"/>
              <w:left w:val="nil"/>
              <w:bottom w:val="single" w:color="auto" w:sz="12" w:space="0"/>
              <w:right w:val="nil"/>
            </w:tcBorders>
            <w:tcMar>
              <w:top w:w="60" w:type="dxa"/>
              <w:left w:w="70" w:type="dxa"/>
              <w:bottom w:w="60" w:type="dxa"/>
              <w:right w:w="70" w:type="dxa"/>
            </w:tcMar>
            <w:vAlign w:val="center"/>
          </w:tcPr>
          <w:p w14:paraId="1027D619">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0.336</w:t>
            </w:r>
          </w:p>
        </w:tc>
        <w:tc>
          <w:tcPr>
            <w:tcW w:w="1189" w:type="dxa"/>
            <w:tcBorders>
              <w:top w:val="nil"/>
              <w:left w:val="nil"/>
              <w:bottom w:val="single" w:color="auto" w:sz="12" w:space="0"/>
              <w:right w:val="nil"/>
            </w:tcBorders>
            <w:tcMar>
              <w:top w:w="60" w:type="dxa"/>
              <w:left w:w="70" w:type="dxa"/>
              <w:bottom w:w="60" w:type="dxa"/>
              <w:right w:w="70" w:type="dxa"/>
            </w:tcMar>
            <w:vAlign w:val="center"/>
          </w:tcPr>
          <w:p w14:paraId="7FA003C0">
            <w:pPr>
              <w:spacing w:before="0" w:after="0" w:line="240" w:lineRule="auto"/>
              <w:ind w:firstLine="0"/>
              <w:jc w:val="left"/>
              <w:rPr>
                <w:rFonts w:hint="default" w:ascii="Times New Roman" w:hAnsi="Times New Roman" w:cs="Times New Roman"/>
                <w:sz w:val="20"/>
                <w:szCs w:val="20"/>
              </w:rPr>
            </w:pPr>
            <w:r>
              <w:rPr>
                <w:rFonts w:hint="default" w:ascii="Times New Roman" w:hAnsi="Times New Roman" w:eastAsia="Times New Roman" w:cs="Times New Roman"/>
                <w:b w:val="0"/>
                <w:sz w:val="20"/>
                <w:szCs w:val="20"/>
              </w:rPr>
              <w:t>0.087</w:t>
            </w:r>
          </w:p>
        </w:tc>
      </w:tr>
    </w:tbl>
    <w:p w14:paraId="4E6470AA">
      <w:pPr>
        <w:keepNext w:val="0"/>
        <w:keepLines w:val="0"/>
        <w:pageBreakBefore w:val="0"/>
        <w:widowControl/>
        <w:kinsoku/>
        <w:wordWrap/>
        <w:overflowPunct/>
        <w:topLinePunct w:val="0"/>
        <w:autoSpaceDE/>
        <w:autoSpaceDN/>
        <w:bidi w:val="0"/>
        <w:adjustRightInd/>
        <w:snapToGrid/>
        <w:spacing w:before="60" w:after="60" w:line="240" w:lineRule="auto"/>
        <w:ind w:left="0" w:right="0" w:firstLine="0"/>
        <w:jc w:val="left"/>
        <w:textAlignment w:val="auto"/>
        <w:rPr>
          <w:rFonts w:hint="default" w:ascii="Times New Roman" w:hAnsi="Times New Roman" w:eastAsia="宋体" w:cs="Times New Roman"/>
          <w:sz w:val="20"/>
          <w:szCs w:val="20"/>
        </w:rPr>
      </w:pPr>
      <w:r>
        <w:rPr>
          <w:rFonts w:hint="default" w:ascii="Times New Roman" w:hAnsi="Times New Roman" w:eastAsia="Times New Roman" w:cs="Times New Roman"/>
          <w:b w:val="0"/>
          <w:sz w:val="20"/>
          <w:szCs w:val="20"/>
        </w:rPr>
        <w:t>Note: Continuous variables are presented as mean ± standard deviation and sex as n (%). SMDs were calculated as the group with outcome data minus the group with missing outcome data. P values for continuous variables were obtained from 50,000-permutation tests, and sex was compared using Fisher's exact test. Except for age, BMI, and sex, the valid sample size for scale variables in the group with missing outcomes was 31. ACL-RSI, Anterior Cruciate Ligament Return to Sport after Injury scale; BMI, body mass index; HADS-A, Hospital Anxiety and Depression Scale anxiety subscale; IKDC, International Knee Documentation Committee Subjective Knee Form; K-SES, Knee Self-Efficacy Scale; KOOS, Knee injury and Osteoarthritis Outcome Score; SMD, standardized mean difference; TSK-17, 17-item Tampa Scale for Kinesiophobia.</w:t>
      </w:r>
    </w:p>
    <w:sectPr>
      <w:pgSz w:w="12240" w:h="15840"/>
      <w:pgMar w:top="1440" w:right="1440" w:bottom="144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964F8D"/>
    <w:rsid w:val="07964F8D"/>
    <w:rsid w:val="41797979"/>
    <w:rsid w:val="55872B83"/>
    <w:rsid w:val="71186F66"/>
    <w:rsid w:val="72AE5A41"/>
    <w:rsid w:val="72DB37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18"/>
      <w:szCs w:val="22"/>
      <w:lang w:val="en-US" w:eastAsia="en-US"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465</Words>
  <Characters>2878</Characters>
  <Lines>0</Lines>
  <Paragraphs>0</Paragraphs>
  <TotalTime>7</TotalTime>
  <ScaleCrop>false</ScaleCrop>
  <LinksUpToDate>false</LinksUpToDate>
  <CharactersWithSpaces>3233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2026-08-26T03:11:00Z</dcterms:created>
  <dc:creator>xujie</dc:creator>
  <cp:lastModifiedBy>xujie</cp:lastModifiedBy>
  <dcterms:modified xsi:type="dcterms:W3CDTF">2026-08-26T08:09:09Z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1E2F79CB9B7B4762A1BBD105D48F0938_13</vt:lpwstr>
  </property>
  <property fmtid="{D5CDD505-2E9C-101B-9397-08002B2CF9AE}" pid="4" name="KSOTemplateDocerSaveRecord">
    <vt:lpwstr>eyJoZGlkIjoiZDgyYWE3MmIwZDgxOWVkYWE1OGE3ZTQ2NzllNGE3ZTEiLCJ1c2VySWQiOiI0OTQxMDY1MDgifQ==</vt:lpwstr>
  </property>
</Properties>
</file>