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2. Clinical characteristics of 5 clusters identified by K-means clustering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Style w:val="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203"/>
        <w:gridCol w:w="1203"/>
        <w:gridCol w:w="1203"/>
        <w:gridCol w:w="1203"/>
        <w:gridCol w:w="1207"/>
        <w:gridCol w:w="702"/>
      </w:tblGrid>
      <w:tr w14:paraId="69EBFFA9">
        <w:trPr>
          <w:trHeight w:val="280" w:hRule="atLeast"/>
        </w:trPr>
        <w:tc>
          <w:tcPr>
            <w:tcW w:w="1056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5743EAE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Variable</w:t>
            </w:r>
          </w:p>
        </w:tc>
        <w:tc>
          <w:tcPr>
            <w:tcW w:w="70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72B0CF7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C0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=16)</w:t>
            </w:r>
          </w:p>
        </w:tc>
        <w:tc>
          <w:tcPr>
            <w:tcW w:w="70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4DC0B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C1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=45)</w:t>
            </w:r>
          </w:p>
        </w:tc>
        <w:tc>
          <w:tcPr>
            <w:tcW w:w="70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0D8EBBA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C2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=4)</w:t>
            </w:r>
          </w:p>
        </w:tc>
        <w:tc>
          <w:tcPr>
            <w:tcW w:w="70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607C8C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C3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=29)</w:t>
            </w:r>
          </w:p>
        </w:tc>
        <w:tc>
          <w:tcPr>
            <w:tcW w:w="707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09F475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C4 (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=9)</w:t>
            </w:r>
          </w:p>
        </w:tc>
        <w:tc>
          <w:tcPr>
            <w:tcW w:w="41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45298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  <w:i/>
              </w:rPr>
              <w:t xml:space="preserve"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value</w:t>
            </w:r>
          </w:p>
        </w:tc>
      </w:tr>
      <w:tr w14:paraId="2D02B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F71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Demographics</w:t>
            </w:r>
          </w:p>
        </w:tc>
        <w:tc>
          <w:tcPr>
            <w:tcW w:w="70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2869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6AC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91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92A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F07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5C6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14:paraId="49E2F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D76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Age (years)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61.88 ± 8.34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58.69 ± 6.51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43.25 ± 8.26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71.66 ± 6.73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70.11 ± 6.21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9FB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6E949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3BA7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Female gender,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23BDA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4(25%)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C76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9(20%)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863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0(0%)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EBF8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6(21%)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ADDD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4(44%)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693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0.414</w:t>
            </w:r>
          </w:p>
        </w:tc>
      </w:tr>
      <w:tr w14:paraId="1530D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6142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BMI (kg/m²)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26.62 ± 3.28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26.17 ± 3.06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26.77 ± 2.17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24.72 ± 4.43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24.66 ± 3.40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9A83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0.271</w:t>
            </w:r>
          </w:p>
        </w:tc>
      </w:tr>
      <w:tr w14:paraId="0C3E0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FDB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AF characteristics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8B1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954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2A2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8C2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1271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7227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14:paraId="12D5F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C8C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AF duration (months)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46.66 ± 53.58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40.88 ± 62.21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71.50 ± 88.23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26.49 ± 41.87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33.39 ± 51.83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24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0.525</w:t>
            </w:r>
          </w:p>
        </w:tc>
      </w:tr>
      <w:tr w14:paraId="12D5F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C8C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EHRA score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2.00 ± 1.46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1.73 ± 1.18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3.75 ± 0.50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2.00 ± 1.28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2.44 ± 1.33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5242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0.033</w:t>
            </w:r>
          </w:p>
        </w:tc>
      </w:tr>
      <w:tr w14:paraId="2C747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1DC3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PRD parameters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545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CE4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2205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D20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413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EDB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14:paraId="32140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3A12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PRD (bpm)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17.19 ± 8.54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5.60 ± 3.75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22.00 ± 14.76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5.07 ± 4.54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7.33 ± 4.58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CDB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6380F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5EF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Heart rate (bpm)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102.06 ± 7.50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81.31 ± 9.05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103.75 ± 4.79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74.21 ± 7.80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104.11 ± 8.77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27E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6ACF1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1F7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Pulse rate (bpm)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87.38 ± 10.98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76.51 ± 8.43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81.75 ± 13.07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72.72 ± 8.23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101.22 ± 13.61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8FD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0F634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A2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Echocardiography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5FE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A5C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41E3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67E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7A7A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4D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14:paraId="3A0D4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LAD (mm)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44.38 ± 3.34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43.64 ± 3.16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46.00 ± 2.45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44.66 ± 3.64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45.22 ± 4.79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ED7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0.480</w:t>
            </w:r>
          </w:p>
        </w:tc>
      </w:tr>
      <w:tr w14:paraId="467AC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LVEDD (mm)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48.06 ± 2.84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48.60 ± 3.11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56.25 ± 7.09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47.86 ± 3.81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46.78 ± 3.23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C31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467AC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LVDs (mm)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31.88 ± 2.28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32.69 ± 2.91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45.60 ± 7.76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32.66 ± 4.02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31.89 ± 2.98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C31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744C1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455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LVEF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62.30 ± 3.80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61.05 ± 3.93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38.92 ± 8.08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59.70 ± 6.08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60.00 ± 4.21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AB86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5BE30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074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Clinical scores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4670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F52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55C2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F89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1302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0499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</w:tr>
      <w:tr w14:paraId="17A0B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644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CHA₂DS₂-VASc score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2.31 ± 1.89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1.51 ± 1.34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1.50 ± 0.58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3.24 ± 1.70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3.44 ± 1.74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64B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5C1A7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15DF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APPLE score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2.19 ± 0.91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1.86 ± 0.73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2.25 ± 0.50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3.14 ± 0.92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3.67 ± 0.71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187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4D570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4DA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>Laboratory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66B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5883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B554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D910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DB7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A389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 w14:paraId="7A71F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AA70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NT-proBNP (pg/ml)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561.73 ± 264.12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507.68 ± 282.40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531.77 ± 341.56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946.51 ± 506.72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2249.22 ± 1102.5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5E9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34EB5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62D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eGFR (ml/min/1.73m²)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85.25 ± 14.25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94.76 ± 10.38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106.25 ± 10.40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75.48 ± 11.39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65.00 ± 21.82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8D48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5B271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FAA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WBC (×10⁹/L)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6.59 ± 1.38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5.64 ± 1.52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6.82 ± 2.07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5.54 ± 1.33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5.60 ± 0.90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B7AB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0.077</w:t>
            </w:r>
          </w:p>
        </w:tc>
      </w:tr>
      <w:tr w14:paraId="07254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7AE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Neutrophils (×10⁹/L)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3.93 ± 1.06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3.14 ± 0.99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4.18 ± 2.18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3.26 ± 0.95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3.27 ± 0.64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69BD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0.048</w:t>
            </w:r>
          </w:p>
        </w:tc>
      </w:tr>
      <w:tr w14:paraId="35EFF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52C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Hemoglobin (g/L)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152.38 ± 14.38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147.51 ± 13.32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146.00 ± 14.81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145.07 ± 14.81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122.56 ± 23.59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6421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&lt;0.001</w:t>
            </w:r>
          </w:p>
        </w:tc>
      </w:tr>
      <w:tr w14:paraId="7C2EB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3F0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Platelet count (×10⁹/L)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195.69 ± 48.25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180.04 ± 57.30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168.00 ± 19.51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154.90 ± 41.36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190.89 ± 70.80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4C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0.098</w:t>
            </w:r>
          </w:p>
        </w:tc>
      </w:tr>
      <w:tr w14:paraId="48CD1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E18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Comorbidities,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sz w:val="16"/>
                <w:szCs w:val="16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7A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3AE5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D506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5F3D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769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C14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</w:tr>
      <w:tr w14:paraId="512DA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BD66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Heart failure,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7ACA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6(37.5%)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E61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9(20%)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0A48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4(100%)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2BF5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10(34%)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389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3(33%)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D4DB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0.018</w:t>
            </w:r>
          </w:p>
        </w:tc>
      </w:tr>
      <w:tr w14:paraId="7EF0E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5FF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Hypertension,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46E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12(75%)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E004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24(53%)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BE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1(25%)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CA5E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16(55%)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D2C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6(67%)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E7EC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0.352</w:t>
            </w:r>
          </w:p>
        </w:tc>
      </w:tr>
      <w:tr w14:paraId="6E957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E7AE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Diabetes mellitus,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480C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2(12%)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D4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5(11%)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2C77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0(0%)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764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5(17%)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241FE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2(22%)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AEC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0.776</w:t>
            </w:r>
          </w:p>
        </w:tc>
      </w:tr>
      <w:tr w14:paraId="1D6D2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r>
              <w:t>Prior stroke/TIA/thromboembolism, n (%)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0FA4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1(6%)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18C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5(11%)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A8E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0(0%)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8FB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7(24%)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AE4B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2(22%)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669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0.335</w:t>
            </w:r>
          </w:p>
        </w:tc>
      </w:tr>
      <w:tr w14:paraId="6D29E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D6448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Coronary artery disease or peripheral vascular disease,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  <w:i/>
              </w:rPr>
              <w:t xml:space="preserve">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 xml:space="preserve"> (%)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9BE28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4(25%)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DF9C96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4(9%)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37E752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1(25%)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1CBFC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7(24%)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1B71C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3(33%)</w:t>
            </w:r>
          </w:p>
        </w:tc>
        <w:tc>
          <w:tcPr>
            <w:tcW w:w="41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CC8C6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  <w:lang w:bidi="ar"/>
              </w:rPr>
              <w:t>0.262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