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02BF9" w14:textId="77777777" w:rsidR="0019649F" w:rsidRPr="00347487" w:rsidRDefault="0019649F" w:rsidP="0019649F">
      <w:pPr>
        <w:spacing w:line="360" w:lineRule="auto"/>
        <w:jc w:val="center"/>
        <w:rPr>
          <w:rFonts w:ascii="Times New Roman" w:eastAsia="SimSun" w:hAnsi="Times New Roman" w:cs="Times New Roman"/>
          <w:b/>
          <w:bCs/>
          <w:sz w:val="28"/>
          <w:szCs w:val="36"/>
        </w:rPr>
      </w:pPr>
      <w:bookmarkStart w:id="0" w:name="OLE_LINK1"/>
      <w:r w:rsidRPr="00347487">
        <w:rPr>
          <w:rFonts w:ascii="Times New Roman" w:eastAsia="SimSun" w:hAnsi="Times New Roman" w:cs="Times New Roman"/>
          <w:b/>
          <w:bCs/>
          <w:sz w:val="28"/>
          <w:szCs w:val="36"/>
        </w:rPr>
        <w:t>Reality-anchored generative gating enables robust morphological classification and metacognitive triage of leukemia</w:t>
      </w:r>
      <w:bookmarkEnd w:id="0"/>
    </w:p>
    <w:p w14:paraId="505006BA" w14:textId="70D58F9B" w:rsidR="00E07A1D" w:rsidRPr="0040626B" w:rsidRDefault="00E07A1D" w:rsidP="00E07A1D">
      <w:pPr>
        <w:spacing w:after="0" w:line="360" w:lineRule="auto"/>
        <w:jc w:val="left"/>
        <w:rPr>
          <w:rFonts w:ascii="Times New Roman" w:eastAsia="SimSun" w:hAnsi="Times New Roman" w:cs="Times New Roman"/>
          <w:bCs/>
          <w:sz w:val="24"/>
          <w:szCs w:val="24"/>
        </w:rPr>
      </w:pPr>
      <w:r w:rsidRPr="0040626B">
        <w:rPr>
          <w:rFonts w:ascii="Times New Roman" w:hAnsi="Times New Roman" w:cs="Times New Roman"/>
          <w:i/>
          <w:iCs/>
          <w:sz w:val="21"/>
          <w:szCs w:val="21"/>
        </w:rPr>
        <w:t>Shah Faisal</w:t>
      </w:r>
      <w:r w:rsidRPr="0040626B">
        <w:rPr>
          <w:rFonts w:ascii="Times New Roman" w:hAnsi="Times New Roman" w:cs="Times New Roman"/>
          <w:i/>
          <w:iCs/>
          <w:sz w:val="21"/>
          <w:szCs w:val="21"/>
          <w:vertAlign w:val="superscript"/>
        </w:rPr>
        <w:t>1, #</w:t>
      </w:r>
      <w:r w:rsidRPr="0040626B">
        <w:rPr>
          <w:rFonts w:ascii="Times New Roman" w:hAnsi="Times New Roman" w:cs="Times New Roman"/>
          <w:i/>
          <w:iCs/>
          <w:sz w:val="21"/>
          <w:szCs w:val="21"/>
        </w:rPr>
        <w:t>, Hui Zhao</w:t>
      </w:r>
      <w:r w:rsidRPr="0040626B">
        <w:rPr>
          <w:rFonts w:ascii="Times New Roman" w:hAnsi="Times New Roman" w:cs="Times New Roman"/>
          <w:i/>
          <w:iCs/>
          <w:sz w:val="21"/>
          <w:szCs w:val="21"/>
          <w:vertAlign w:val="superscript"/>
        </w:rPr>
        <w:t>2, #</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Zhangyue</w:t>
      </w:r>
      <w:proofErr w:type="spellEnd"/>
      <w:r w:rsidRPr="0040626B">
        <w:rPr>
          <w:rFonts w:ascii="Times New Roman" w:hAnsi="Times New Roman" w:cs="Times New Roman"/>
          <w:i/>
          <w:iCs/>
          <w:sz w:val="21"/>
          <w:szCs w:val="21"/>
        </w:rPr>
        <w:t xml:space="preserve"> Wu</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Shiqing</w:t>
      </w:r>
      <w:proofErr w:type="spellEnd"/>
      <w:r w:rsidRPr="0040626B">
        <w:rPr>
          <w:rFonts w:ascii="Times New Roman" w:hAnsi="Times New Roman" w:cs="Times New Roman"/>
          <w:i/>
          <w:iCs/>
          <w:sz w:val="21"/>
          <w:szCs w:val="21"/>
        </w:rPr>
        <w:t xml:space="preserve"> Zhang</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Jia Liu</w:t>
      </w:r>
      <w:r w:rsidRPr="0040626B">
        <w:rPr>
          <w:rFonts w:ascii="Times New Roman" w:hAnsi="Times New Roman" w:cs="Times New Roman"/>
          <w:i/>
          <w:iCs/>
          <w:sz w:val="21"/>
          <w:szCs w:val="21"/>
          <w:vertAlign w:val="superscript"/>
        </w:rPr>
        <w:t>4</w:t>
      </w:r>
      <w:r w:rsidRPr="0040626B">
        <w:rPr>
          <w:rFonts w:ascii="Times New Roman" w:eastAsia="SimSun" w:hAnsi="Times New Roman" w:cs="Times New Roman"/>
          <w:bCs/>
          <w:sz w:val="24"/>
          <w:szCs w:val="24"/>
        </w:rPr>
        <w:t>,</w:t>
      </w:r>
      <w:r w:rsidRPr="0040626B">
        <w:rPr>
          <w:rFonts w:ascii="Times New Roman" w:hAnsi="Times New Roman" w:cs="Times New Roman"/>
          <w:i/>
          <w:iCs/>
          <w:sz w:val="21"/>
          <w:szCs w:val="21"/>
        </w:rPr>
        <w:t xml:space="preserve"> Yi Zou</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r w:rsidRPr="00E85439">
        <w:rPr>
          <w:rFonts w:ascii="Times New Roman" w:hAnsi="Times New Roman" w:cs="Times New Roman"/>
          <w:i/>
          <w:iCs/>
          <w:sz w:val="21"/>
          <w:szCs w:val="21"/>
        </w:rPr>
        <w:t>Yi Ye</w:t>
      </w:r>
      <w:r w:rsidR="00E85439">
        <w:rPr>
          <w:rFonts w:ascii="Times New Roman" w:hAnsi="Times New Roman" w:cs="Times New Roman"/>
          <w:i/>
          <w:iCs/>
          <w:sz w:val="21"/>
          <w:szCs w:val="21"/>
          <w:vertAlign w:val="superscript"/>
        </w:rPr>
        <w:t>3</w:t>
      </w:r>
      <w:r>
        <w:rPr>
          <w:rFonts w:ascii="Times New Roman" w:eastAsia="SimSun" w:hAnsi="Times New Roman" w:cs="Times New Roman"/>
          <w:bCs/>
          <w:sz w:val="24"/>
          <w:szCs w:val="24"/>
        </w:rPr>
        <w:t>,</w:t>
      </w:r>
      <w:r>
        <w:rPr>
          <w:rFonts w:ascii="Times New Roman" w:eastAsia="SimSun" w:hAnsi="Times New Roman" w:cs="Times New Roman"/>
          <w:bCs/>
          <w:sz w:val="24"/>
          <w:szCs w:val="24"/>
          <w:vertAlign w:val="superscript"/>
        </w:rPr>
        <w:t xml:space="preserve"> </w:t>
      </w:r>
      <w:r w:rsidRPr="0040626B">
        <w:rPr>
          <w:rFonts w:ascii="Times New Roman" w:hAnsi="Times New Roman" w:cs="Times New Roman"/>
          <w:i/>
          <w:iCs/>
          <w:sz w:val="21"/>
          <w:szCs w:val="21"/>
        </w:rPr>
        <w:t>Ziyan Zhang</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Zhihui</w:t>
      </w:r>
      <w:proofErr w:type="spellEnd"/>
      <w:r w:rsidRPr="0040626B">
        <w:rPr>
          <w:rFonts w:ascii="Times New Roman" w:hAnsi="Times New Roman" w:cs="Times New Roman"/>
          <w:i/>
          <w:iCs/>
          <w:sz w:val="21"/>
          <w:szCs w:val="21"/>
        </w:rPr>
        <w:t xml:space="preserve"> Huang</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Kaiwen Yang</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Meishi</w:t>
      </w:r>
      <w:proofErr w:type="spellEnd"/>
      <w:r w:rsidRPr="0040626B">
        <w:rPr>
          <w:rFonts w:ascii="Times New Roman" w:hAnsi="Times New Roman" w:cs="Times New Roman"/>
          <w:i/>
          <w:iCs/>
          <w:sz w:val="21"/>
          <w:szCs w:val="21"/>
        </w:rPr>
        <w:t xml:space="preserve"> Wu</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Qingyun Ye</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Wenxuan</w:t>
      </w:r>
      <w:proofErr w:type="spellEnd"/>
      <w:r w:rsidRPr="0040626B">
        <w:rPr>
          <w:rFonts w:ascii="Times New Roman" w:hAnsi="Times New Roman" w:cs="Times New Roman"/>
          <w:i/>
          <w:iCs/>
          <w:sz w:val="21"/>
          <w:szCs w:val="21"/>
        </w:rPr>
        <w:t xml:space="preserve"> Ye</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Yizhe</w:t>
      </w:r>
      <w:proofErr w:type="spellEnd"/>
      <w:r w:rsidRPr="0040626B">
        <w:rPr>
          <w:rFonts w:ascii="Times New Roman" w:hAnsi="Times New Roman" w:cs="Times New Roman"/>
          <w:i/>
          <w:iCs/>
          <w:sz w:val="21"/>
          <w:szCs w:val="21"/>
        </w:rPr>
        <w:t xml:space="preserve"> Wang</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Abdulkadir Zaheer Abdulkadir</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Jiarong</w:t>
      </w:r>
      <w:proofErr w:type="spellEnd"/>
      <w:r w:rsidRPr="0040626B">
        <w:rPr>
          <w:rFonts w:ascii="Times New Roman" w:hAnsi="Times New Roman" w:cs="Times New Roman"/>
          <w:i/>
          <w:iCs/>
          <w:sz w:val="21"/>
          <w:szCs w:val="21"/>
        </w:rPr>
        <w:t xml:space="preserve"> Lian</w:t>
      </w:r>
      <w:r w:rsidRPr="0040626B">
        <w:rPr>
          <w:rFonts w:ascii="Times New Roman" w:hAnsi="Times New Roman" w:cs="Times New Roman"/>
          <w:i/>
          <w:iCs/>
          <w:sz w:val="21"/>
          <w:szCs w:val="21"/>
          <w:vertAlign w:val="superscript"/>
        </w:rPr>
        <w:t>1</w:t>
      </w:r>
      <w:r w:rsidRPr="0040626B">
        <w:rPr>
          <w:rFonts w:ascii="Times New Roman" w:hAnsi="Times New Roman" w:cs="Times New Roman"/>
          <w:i/>
          <w:iCs/>
          <w:sz w:val="21"/>
          <w:szCs w:val="21"/>
        </w:rPr>
        <w:t xml:space="preserve">, </w:t>
      </w:r>
      <w:proofErr w:type="spellStart"/>
      <w:r w:rsidRPr="0040626B">
        <w:rPr>
          <w:rFonts w:ascii="Times New Roman" w:hAnsi="Times New Roman" w:cs="Times New Roman"/>
          <w:i/>
          <w:iCs/>
          <w:sz w:val="21"/>
          <w:szCs w:val="21"/>
        </w:rPr>
        <w:t>Gengwen</w:t>
      </w:r>
      <w:proofErr w:type="spellEnd"/>
      <w:r w:rsidRPr="0040626B">
        <w:rPr>
          <w:rFonts w:ascii="Times New Roman" w:hAnsi="Times New Roman" w:cs="Times New Roman"/>
          <w:i/>
          <w:iCs/>
          <w:sz w:val="21"/>
          <w:szCs w:val="21"/>
        </w:rPr>
        <w:t xml:space="preserve"> Chen</w:t>
      </w:r>
      <w:r w:rsidRPr="0040626B">
        <w:rPr>
          <w:rFonts w:ascii="Times New Roman" w:hAnsi="Times New Roman" w:cs="Times New Roman"/>
          <w:i/>
          <w:iCs/>
          <w:sz w:val="21"/>
          <w:szCs w:val="21"/>
          <w:vertAlign w:val="superscript"/>
        </w:rPr>
        <w:t xml:space="preserve">3, </w:t>
      </w:r>
      <w:r w:rsidRPr="0040626B">
        <w:rPr>
          <w:rFonts w:ascii="Times New Roman" w:hAnsi="Times New Roman" w:cs="Times New Roman"/>
          <w:i/>
          <w:iCs/>
          <w:sz w:val="21"/>
          <w:szCs w:val="21"/>
        </w:rPr>
        <w:t>*, and Zhigang Yang</w:t>
      </w:r>
      <w:r w:rsidRPr="0040626B">
        <w:rPr>
          <w:rFonts w:ascii="Times New Roman" w:hAnsi="Times New Roman" w:cs="Times New Roman"/>
          <w:i/>
          <w:iCs/>
          <w:sz w:val="21"/>
          <w:szCs w:val="21"/>
          <w:vertAlign w:val="superscript"/>
        </w:rPr>
        <w:t xml:space="preserve">1, </w:t>
      </w:r>
      <w:r w:rsidRPr="0040626B">
        <w:rPr>
          <w:rFonts w:ascii="Times New Roman" w:hAnsi="Times New Roman" w:cs="Times New Roman"/>
          <w:i/>
          <w:iCs/>
          <w:sz w:val="21"/>
          <w:szCs w:val="21"/>
        </w:rPr>
        <w:t>*</w:t>
      </w:r>
    </w:p>
    <w:p w14:paraId="291EFDD1" w14:textId="77777777" w:rsidR="00E07A1D" w:rsidRPr="00347487" w:rsidRDefault="00E07A1D" w:rsidP="00E07A1D">
      <w:pPr>
        <w:spacing w:after="0" w:line="360" w:lineRule="auto"/>
        <w:rPr>
          <w:rFonts w:ascii="Times New Roman" w:eastAsia="SimSun" w:hAnsi="Times New Roman" w:cs="Times New Roman"/>
          <w:bCs/>
          <w:i/>
          <w:sz w:val="21"/>
          <w:szCs w:val="21"/>
        </w:rPr>
      </w:pPr>
      <w:r w:rsidRPr="00347487">
        <w:rPr>
          <w:rFonts w:ascii="Times New Roman" w:hAnsi="Times New Roman" w:cs="Times New Roman"/>
          <w:bCs/>
          <w:i/>
          <w:iCs/>
          <w:sz w:val="21"/>
          <w:szCs w:val="32"/>
          <w:vertAlign w:val="superscript"/>
        </w:rPr>
        <w:t xml:space="preserve">1 </w:t>
      </w:r>
      <w:r w:rsidRPr="00347487">
        <w:rPr>
          <w:rFonts w:ascii="Times New Roman" w:eastAsia="SimSun" w:hAnsi="Times New Roman" w:cs="Times New Roman"/>
          <w:bCs/>
          <w:i/>
          <w:sz w:val="21"/>
          <w:szCs w:val="21"/>
        </w:rPr>
        <w:t>Key Laboratory of Optoelectronic Devices and Systems of Ministry of Education and Guangdong Province, College of Physics and Optoelectronic Engineering, Shenzhen University, Shenzhen, 518060, China</w:t>
      </w:r>
    </w:p>
    <w:p w14:paraId="24FBF226" w14:textId="77777777" w:rsidR="00E07A1D" w:rsidRPr="00347487" w:rsidRDefault="00E07A1D" w:rsidP="00E07A1D">
      <w:pPr>
        <w:spacing w:after="0" w:line="360" w:lineRule="auto"/>
        <w:rPr>
          <w:rFonts w:ascii="Times New Roman" w:eastAsia="SimSun" w:hAnsi="Times New Roman" w:cs="Times New Roman"/>
          <w:bCs/>
          <w:i/>
          <w:sz w:val="21"/>
          <w:szCs w:val="21"/>
        </w:rPr>
      </w:pPr>
      <w:r w:rsidRPr="00347487">
        <w:rPr>
          <w:rFonts w:ascii="Times New Roman" w:eastAsia="SimSun" w:hAnsi="Times New Roman" w:cs="Times New Roman"/>
          <w:bCs/>
          <w:i/>
          <w:sz w:val="21"/>
          <w:szCs w:val="21"/>
          <w:vertAlign w:val="superscript"/>
        </w:rPr>
        <w:t xml:space="preserve">2 </w:t>
      </w:r>
      <w:r w:rsidRPr="00AF22B5">
        <w:rPr>
          <w:rFonts w:ascii="Times New Roman" w:eastAsia="SimSun" w:hAnsi="Times New Roman" w:cs="Times New Roman"/>
          <w:bCs/>
          <w:i/>
          <w:sz w:val="21"/>
          <w:szCs w:val="21"/>
        </w:rPr>
        <w:t xml:space="preserve">Department of Hematology, South China Hospital, Medical school, Shenzhen </w:t>
      </w:r>
      <w:r>
        <w:rPr>
          <w:rFonts w:ascii="Times New Roman" w:eastAsia="SimSun" w:hAnsi="Times New Roman" w:cs="Times New Roman"/>
          <w:bCs/>
          <w:i/>
          <w:sz w:val="21"/>
          <w:szCs w:val="21"/>
        </w:rPr>
        <w:t>University, Shenzhen, 518116,</w:t>
      </w:r>
      <w:r w:rsidRPr="00AF22B5">
        <w:rPr>
          <w:rFonts w:ascii="Times New Roman" w:eastAsia="SimSun" w:hAnsi="Times New Roman" w:cs="Times New Roman"/>
          <w:bCs/>
          <w:i/>
          <w:sz w:val="21"/>
          <w:szCs w:val="21"/>
        </w:rPr>
        <w:t xml:space="preserve"> China</w:t>
      </w:r>
    </w:p>
    <w:p w14:paraId="7085709F" w14:textId="77777777" w:rsidR="00E07A1D" w:rsidRDefault="00E07A1D" w:rsidP="00E07A1D">
      <w:pPr>
        <w:spacing w:after="0" w:line="360" w:lineRule="auto"/>
        <w:rPr>
          <w:rFonts w:ascii="Times New Roman" w:eastAsia="SimSun" w:hAnsi="Times New Roman" w:cs="Times New Roman"/>
          <w:bCs/>
          <w:i/>
          <w:sz w:val="21"/>
          <w:szCs w:val="21"/>
        </w:rPr>
      </w:pPr>
      <w:r w:rsidRPr="00347487">
        <w:rPr>
          <w:rFonts w:ascii="Times New Roman" w:eastAsia="SimSun" w:hAnsi="Times New Roman" w:cs="Times New Roman"/>
          <w:bCs/>
          <w:i/>
          <w:sz w:val="21"/>
          <w:szCs w:val="21"/>
          <w:vertAlign w:val="superscript"/>
        </w:rPr>
        <w:t>3</w:t>
      </w:r>
      <w:r w:rsidRPr="00347487">
        <w:rPr>
          <w:rFonts w:ascii="Times New Roman" w:eastAsia="SimSun" w:hAnsi="Times New Roman" w:cs="Times New Roman"/>
          <w:bCs/>
          <w:i/>
          <w:sz w:val="21"/>
          <w:szCs w:val="21"/>
        </w:rPr>
        <w:t>Hematology Product Development Department, Shenzhen Mindray Bio-Medical Electronics Co. Ltd.</w:t>
      </w:r>
      <w:r>
        <w:rPr>
          <w:rFonts w:ascii="Times New Roman" w:eastAsia="SimSun" w:hAnsi="Times New Roman" w:cs="Times New Roman"/>
          <w:bCs/>
          <w:i/>
          <w:sz w:val="21"/>
          <w:szCs w:val="21"/>
        </w:rPr>
        <w:t>, Shenzhen, Guangdong 518055,</w:t>
      </w:r>
      <w:r w:rsidRPr="00347487">
        <w:rPr>
          <w:rFonts w:ascii="Times New Roman" w:eastAsia="SimSun" w:hAnsi="Times New Roman" w:cs="Times New Roman"/>
          <w:bCs/>
          <w:i/>
          <w:sz w:val="21"/>
          <w:szCs w:val="21"/>
        </w:rPr>
        <w:t xml:space="preserve"> China</w:t>
      </w:r>
    </w:p>
    <w:p w14:paraId="4A3E7547" w14:textId="77777777" w:rsidR="00E07A1D" w:rsidRPr="0040626B" w:rsidRDefault="00E07A1D" w:rsidP="00E07A1D">
      <w:pPr>
        <w:spacing w:line="360" w:lineRule="auto"/>
        <w:jc w:val="left"/>
        <w:rPr>
          <w:rFonts w:ascii="Times New Roman" w:eastAsia="SimSun" w:hAnsi="Times New Roman" w:cs="Times New Roman"/>
          <w:bCs/>
          <w:i/>
        </w:rPr>
      </w:pPr>
      <w:r>
        <w:rPr>
          <w:rFonts w:ascii="Times New Roman" w:eastAsia="SimSun" w:hAnsi="Times New Roman" w:cs="Times New Roman"/>
          <w:bCs/>
          <w:i/>
          <w:vertAlign w:val="superscript"/>
        </w:rPr>
        <w:t>4</w:t>
      </w:r>
      <w:r w:rsidRPr="001526B4">
        <w:rPr>
          <w:rFonts w:ascii="Times New Roman" w:eastAsia="SimSun" w:hAnsi="Times New Roman" w:cs="Times New Roman"/>
          <w:bCs/>
          <w:i/>
        </w:rPr>
        <w:t>Department of Laboratory Medicine, Jiangxi Maternal and Child Health Hospital, Nanchang, 330108</w:t>
      </w:r>
      <w:r>
        <w:rPr>
          <w:rFonts w:ascii="Times New Roman" w:eastAsia="SimSun" w:hAnsi="Times New Roman" w:cs="Times New Roman"/>
          <w:bCs/>
          <w:i/>
        </w:rPr>
        <w:t xml:space="preserve">, </w:t>
      </w:r>
      <w:r w:rsidRPr="001526B4">
        <w:rPr>
          <w:rFonts w:ascii="Times New Roman" w:eastAsia="SimSun" w:hAnsi="Times New Roman" w:cs="Times New Roman"/>
          <w:bCs/>
          <w:i/>
        </w:rPr>
        <w:t>China</w:t>
      </w:r>
    </w:p>
    <w:p w14:paraId="48DA0923" w14:textId="77777777" w:rsidR="0019649F" w:rsidRPr="00347487" w:rsidRDefault="0019649F" w:rsidP="0019649F">
      <w:pPr>
        <w:spacing w:after="0" w:line="360" w:lineRule="auto"/>
        <w:rPr>
          <w:rFonts w:ascii="Times New Roman" w:eastAsia="SimSun" w:hAnsi="Times New Roman" w:cs="Times New Roman"/>
          <w:bCs/>
          <w:i/>
          <w:sz w:val="21"/>
          <w:szCs w:val="21"/>
        </w:rPr>
      </w:pPr>
      <w:r w:rsidRPr="00347487">
        <w:rPr>
          <w:rFonts w:ascii="Times New Roman" w:eastAsia="SimSun" w:hAnsi="Times New Roman" w:cs="Times New Roman"/>
          <w:bCs/>
          <w:i/>
          <w:sz w:val="21"/>
          <w:szCs w:val="21"/>
          <w:vertAlign w:val="superscript"/>
        </w:rPr>
        <w:t>#</w:t>
      </w:r>
      <w:r w:rsidRPr="00347487">
        <w:rPr>
          <w:rFonts w:ascii="Times New Roman" w:eastAsia="SimSun" w:hAnsi="Times New Roman" w:cs="Times New Roman"/>
          <w:bCs/>
          <w:i/>
          <w:sz w:val="21"/>
          <w:szCs w:val="21"/>
        </w:rPr>
        <w:t>These authors contributed equally to this work.</w:t>
      </w:r>
    </w:p>
    <w:p w14:paraId="6F9D51DD" w14:textId="77777777" w:rsidR="0019649F" w:rsidRPr="004C4BCA" w:rsidRDefault="0019649F" w:rsidP="0019649F">
      <w:pPr>
        <w:spacing w:line="360" w:lineRule="auto"/>
        <w:rPr>
          <w:rFonts w:ascii="Times New Roman" w:hAnsi="Times New Roman" w:cs="Times New Roman"/>
          <w:i/>
          <w:sz w:val="18"/>
          <w:szCs w:val="24"/>
        </w:rPr>
      </w:pPr>
      <w:r>
        <w:rPr>
          <w:rFonts w:ascii="Times New Roman" w:eastAsia="SimSun" w:hAnsi="Times New Roman" w:cs="Times New Roman" w:hint="eastAsia"/>
          <w:bCs/>
          <w:i/>
          <w:sz w:val="21"/>
          <w:szCs w:val="21"/>
        </w:rPr>
        <w:t>*</w:t>
      </w:r>
      <w:r w:rsidRPr="00347487">
        <w:rPr>
          <w:rFonts w:ascii="Times New Roman" w:eastAsia="SimSun" w:hAnsi="Times New Roman" w:cs="Times New Roman"/>
          <w:bCs/>
          <w:i/>
          <w:sz w:val="21"/>
          <w:szCs w:val="21"/>
        </w:rPr>
        <w:t xml:space="preserve">Corresponding Email: </w:t>
      </w:r>
      <w:r>
        <w:rPr>
          <w:rFonts w:ascii="Times New Roman" w:eastAsia="SimSun" w:hAnsi="Times New Roman" w:cs="Times New Roman" w:hint="eastAsia"/>
          <w:bCs/>
          <w:i/>
          <w:sz w:val="21"/>
          <w:szCs w:val="21"/>
        </w:rPr>
        <w:t xml:space="preserve">chengengwen@mindray.com; </w:t>
      </w:r>
      <w:r w:rsidRPr="00347487">
        <w:rPr>
          <w:rFonts w:ascii="Times New Roman" w:eastAsia="SimSun" w:hAnsi="Times New Roman" w:cs="Times New Roman"/>
          <w:bCs/>
          <w:i/>
          <w:sz w:val="21"/>
          <w:szCs w:val="21"/>
        </w:rPr>
        <w:t>zhgyang@szu.edu.cn</w:t>
      </w:r>
    </w:p>
    <w:p w14:paraId="02DF3C1C" w14:textId="015A7670" w:rsidR="0019649F" w:rsidRDefault="0019649F">
      <w:pPr>
        <w:widowControl/>
        <w:jc w:val="left"/>
      </w:pPr>
      <w:r>
        <w:br w:type="page"/>
      </w:r>
    </w:p>
    <w:p w14:paraId="69E43E49" w14:textId="7E849FA3" w:rsidR="003D4A03" w:rsidRPr="00B76DE7" w:rsidRDefault="00C235BF" w:rsidP="000B3C97">
      <w:pPr>
        <w:pStyle w:val="ListParagraph"/>
        <w:numPr>
          <w:ilvl w:val="0"/>
          <w:numId w:val="3"/>
        </w:numPr>
        <w:rPr>
          <w:rFonts w:ascii="Times New Roman" w:hAnsi="Times New Roman" w:cs="Times New Roman"/>
          <w:b/>
          <w:bCs/>
          <w:sz w:val="28"/>
          <w:szCs w:val="24"/>
        </w:rPr>
      </w:pPr>
      <w:r w:rsidRPr="00B76DE7">
        <w:rPr>
          <w:rFonts w:ascii="Times New Roman" w:hAnsi="Times New Roman" w:cs="Times New Roman"/>
          <w:b/>
          <w:bCs/>
          <w:sz w:val="28"/>
          <w:szCs w:val="24"/>
        </w:rPr>
        <w:lastRenderedPageBreak/>
        <w:t>Sample Collection, Staining, and Image Acquisition</w:t>
      </w:r>
    </w:p>
    <w:p w14:paraId="1D63F8D5" w14:textId="77777777" w:rsidR="001D21D4" w:rsidRPr="00B76DE7" w:rsidRDefault="001D21D4" w:rsidP="001D21D4">
      <w:pPr>
        <w:rPr>
          <w:rFonts w:ascii="Times New Roman" w:hAnsi="Times New Roman" w:cs="Times New Roman"/>
          <w:b/>
          <w:bCs/>
          <w:sz w:val="24"/>
          <w:szCs w:val="20"/>
        </w:rPr>
      </w:pPr>
      <w:r w:rsidRPr="00B76DE7">
        <w:rPr>
          <w:rFonts w:ascii="Times New Roman" w:hAnsi="Times New Roman" w:cs="Times New Roman"/>
          <w:b/>
          <w:bCs/>
          <w:sz w:val="24"/>
          <w:szCs w:val="20"/>
        </w:rPr>
        <w:t>Supplementary Note 1: Extended Clinical and Data Acquisition Protocols</w:t>
      </w:r>
    </w:p>
    <w:p w14:paraId="1F4DCE62" w14:textId="77777777" w:rsidR="001D21D4" w:rsidRPr="00B76DE7" w:rsidRDefault="001D21D4" w:rsidP="001D21D4">
      <w:pPr>
        <w:rPr>
          <w:rFonts w:ascii="Times New Roman" w:hAnsi="Times New Roman" w:cs="Times New Roman"/>
          <w:sz w:val="24"/>
          <w:szCs w:val="20"/>
        </w:rPr>
      </w:pPr>
      <w:r w:rsidRPr="00B76DE7">
        <w:rPr>
          <w:rFonts w:ascii="Times New Roman" w:hAnsi="Times New Roman" w:cs="Times New Roman"/>
          <w:b/>
          <w:bCs/>
          <w:sz w:val="24"/>
          <w:szCs w:val="20"/>
        </w:rPr>
        <w:t>Sample Collection and Preparation</w:t>
      </w:r>
    </w:p>
    <w:p w14:paraId="06F358A0" w14:textId="17F782BF"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This prospective study was conducted under the ethical approval of the Institutional Review Board of South China Hospital, Shenzhen, adhering to the principles of the Declaration of Helsinki</w:t>
      </w:r>
      <w:r w:rsidR="00EE0AAD">
        <w:rPr>
          <w:rFonts w:ascii="Times New Roman" w:hAnsi="Times New Roman" w:cs="Times New Roman"/>
          <w:sz w:val="20"/>
          <w:szCs w:val="20"/>
        </w:rPr>
        <w:fldChar w:fldCharType="begin"/>
      </w:r>
      <w:r w:rsidR="00EE0AAD">
        <w:rPr>
          <w:rFonts w:ascii="Times New Roman" w:hAnsi="Times New Roman" w:cs="Times New Roman"/>
          <w:sz w:val="20"/>
          <w:szCs w:val="20"/>
        </w:rPr>
        <w:instrText xml:space="preserve"> ADDIN EN.CITE &lt;EndNote&gt;&lt;Cite&gt;&lt;Author&gt;Association&lt;/Author&gt;&lt;Year&gt;2013&lt;/Year&gt;&lt;RecNum&gt;576&lt;/RecNum&gt;&lt;DisplayText&gt;&lt;style face="superscript"&gt;1&lt;/style&gt;&lt;/DisplayText&gt;&lt;record&gt;&lt;rec-number&gt;576&lt;/rec-number&gt;&lt;foreign-keys&gt;&lt;key app="EN" db-id="0azeet5dsvd0fiedwfqvwt2jp9d5stfsrwvw" timestamp="1784029830"&gt;576&lt;/key&gt;&lt;/foreign-keys&gt;&lt;ref-type name="Journal Article"&gt;17&lt;/ref-type&gt;&lt;contributors&gt;&lt;authors&gt;&lt;author&gt;World Medical Association&lt;/author&gt;&lt;/authors&gt;&lt;/contributors&gt;&lt;titles&gt;&lt;title&gt;World Medical Association Declaration of Helsinki: ethical principles for medical research involving human subjects&lt;/title&gt;&lt;secondary-title&gt;Jama&lt;/secondary-title&gt;&lt;/titles&gt;&lt;periodical&gt;&lt;full-title&gt;Jama&lt;/full-title&gt;&lt;/periodical&gt;&lt;pages&gt;2191-2194&lt;/pages&gt;&lt;volume&gt;310&lt;/volume&gt;&lt;number&gt;20&lt;/number&gt;&lt;dates&gt;&lt;year&gt;2013&lt;/year&gt;&lt;/dates&gt;&lt;isbn&gt;0098-7484&lt;/isbn&gt;&lt;urls&gt;&lt;/urls&gt;&lt;/record&gt;&lt;/Cite&gt;&lt;/EndNote&gt;</w:instrText>
      </w:r>
      <w:r w:rsidR="00EE0AAD">
        <w:rPr>
          <w:rFonts w:ascii="Times New Roman" w:hAnsi="Times New Roman" w:cs="Times New Roman"/>
          <w:sz w:val="20"/>
          <w:szCs w:val="20"/>
        </w:rPr>
        <w:fldChar w:fldCharType="separate"/>
      </w:r>
      <w:r w:rsidR="00EE0AAD" w:rsidRPr="00EE0AAD">
        <w:rPr>
          <w:rFonts w:ascii="Times New Roman" w:hAnsi="Times New Roman" w:cs="Times New Roman"/>
          <w:noProof/>
          <w:sz w:val="20"/>
          <w:szCs w:val="20"/>
          <w:vertAlign w:val="superscript"/>
        </w:rPr>
        <w:t>1</w:t>
      </w:r>
      <w:r w:rsidR="00EE0AAD">
        <w:rPr>
          <w:rFonts w:ascii="Times New Roman" w:hAnsi="Times New Roman" w:cs="Times New Roman"/>
          <w:sz w:val="20"/>
          <w:szCs w:val="20"/>
        </w:rPr>
        <w:fldChar w:fldCharType="end"/>
      </w:r>
      <w:r w:rsidRPr="001D21D4">
        <w:rPr>
          <w:rFonts w:ascii="Times New Roman" w:hAnsi="Times New Roman" w:cs="Times New Roman"/>
          <w:sz w:val="20"/>
          <w:szCs w:val="20"/>
        </w:rPr>
        <w:t>. Written informed consent was obtained from all participants. Venous blood samples</w:t>
      </w:r>
      <w:r w:rsidR="002F1949">
        <w:rPr>
          <w:rFonts w:ascii="Times New Roman" w:hAnsi="Times New Roman" w:cs="Times New Roman"/>
          <w:sz w:val="20"/>
          <w:szCs w:val="20"/>
        </w:rPr>
        <w:t>, (approximately 2 mL),</w:t>
      </w:r>
      <w:r w:rsidR="002F1949" w:rsidRPr="00B923BC">
        <w:rPr>
          <w:rFonts w:ascii="Times New Roman" w:hAnsi="Times New Roman" w:cs="Times New Roman"/>
          <w:sz w:val="20"/>
          <w:szCs w:val="20"/>
        </w:rPr>
        <w:t xml:space="preserve"> </w:t>
      </w:r>
      <w:r w:rsidRPr="001D21D4">
        <w:rPr>
          <w:rFonts w:ascii="Times New Roman" w:hAnsi="Times New Roman" w:cs="Times New Roman"/>
          <w:sz w:val="20"/>
          <w:szCs w:val="20"/>
        </w:rPr>
        <w:t>were collected into EDTA-K₂ anticoagulant tubes (1.5–2.2 mg/mL) and processed strictly within four hours of acquisition to prevent morphological degradation. Peripheral blood smears were prepared using a standardized thin-film methodology</w:t>
      </w:r>
      <w:r w:rsidR="00DA5AB3">
        <w:rPr>
          <w:rFonts w:ascii="Times New Roman" w:hAnsi="Times New Roman" w:cs="Times New Roman"/>
          <w:sz w:val="20"/>
          <w:szCs w:val="20"/>
        </w:rPr>
        <w:fldChar w:fldCharType="begin"/>
      </w:r>
      <w:r w:rsidR="00DA5AB3">
        <w:rPr>
          <w:rFonts w:ascii="Times New Roman" w:hAnsi="Times New Roman" w:cs="Times New Roman"/>
          <w:sz w:val="20"/>
          <w:szCs w:val="20"/>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DA5AB3">
        <w:rPr>
          <w:rFonts w:ascii="Times New Roman" w:hAnsi="Times New Roman" w:cs="Times New Roman"/>
          <w:sz w:val="20"/>
          <w:szCs w:val="20"/>
        </w:rPr>
        <w:fldChar w:fldCharType="separate"/>
      </w:r>
      <w:r w:rsidR="00DA5AB3" w:rsidRPr="00DA5AB3">
        <w:rPr>
          <w:rFonts w:ascii="Times New Roman" w:hAnsi="Times New Roman" w:cs="Times New Roman"/>
          <w:noProof/>
          <w:sz w:val="20"/>
          <w:szCs w:val="20"/>
          <w:vertAlign w:val="superscript"/>
        </w:rPr>
        <w:t>2</w:t>
      </w:r>
      <w:r w:rsidR="00DA5AB3">
        <w:rPr>
          <w:rFonts w:ascii="Times New Roman" w:hAnsi="Times New Roman" w:cs="Times New Roman"/>
          <w:sz w:val="20"/>
          <w:szCs w:val="20"/>
        </w:rPr>
        <w:fldChar w:fldCharType="end"/>
      </w:r>
      <w:r w:rsidRPr="001D21D4">
        <w:rPr>
          <w:rFonts w:ascii="Times New Roman" w:hAnsi="Times New Roman" w:cs="Times New Roman"/>
          <w:sz w:val="20"/>
          <w:szCs w:val="20"/>
        </w:rPr>
        <w:t xml:space="preserve"> and subjected to immediate air-drying to mitigate artifactual distortion prior to staining.</w:t>
      </w:r>
    </w:p>
    <w:p w14:paraId="409BAF7E" w14:textId="77777777"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b/>
          <w:bCs/>
          <w:sz w:val="20"/>
          <w:szCs w:val="20"/>
        </w:rPr>
        <w:t>Staining and Optical Standardization</w:t>
      </w:r>
    </w:p>
    <w:p w14:paraId="2FA8458C" w14:textId="098AFE49"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Cellular visualization was achieved utilizing a standardized Wright-Giemsa protocol</w:t>
      </w:r>
      <w:r w:rsidR="00DA5AB3">
        <w:rPr>
          <w:rFonts w:ascii="Times New Roman" w:hAnsi="Times New Roman" w:cs="Times New Roman"/>
          <w:sz w:val="20"/>
          <w:szCs w:val="20"/>
        </w:rPr>
        <w:fldChar w:fldCharType="begin"/>
      </w:r>
      <w:r w:rsidR="00DA5AB3">
        <w:rPr>
          <w:rFonts w:ascii="Times New Roman" w:hAnsi="Times New Roman" w:cs="Times New Roman"/>
          <w:sz w:val="20"/>
          <w:szCs w:val="20"/>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DA5AB3">
        <w:rPr>
          <w:rFonts w:ascii="Times New Roman" w:hAnsi="Times New Roman" w:cs="Times New Roman"/>
          <w:sz w:val="20"/>
          <w:szCs w:val="20"/>
        </w:rPr>
        <w:fldChar w:fldCharType="separate"/>
      </w:r>
      <w:r w:rsidR="00DA5AB3" w:rsidRPr="00DA5AB3">
        <w:rPr>
          <w:rFonts w:ascii="Times New Roman" w:hAnsi="Times New Roman" w:cs="Times New Roman"/>
          <w:noProof/>
          <w:sz w:val="20"/>
          <w:szCs w:val="20"/>
          <w:vertAlign w:val="superscript"/>
        </w:rPr>
        <w:t>2</w:t>
      </w:r>
      <w:r w:rsidR="00DA5AB3">
        <w:rPr>
          <w:rFonts w:ascii="Times New Roman" w:hAnsi="Times New Roman" w:cs="Times New Roman"/>
          <w:sz w:val="20"/>
          <w:szCs w:val="20"/>
        </w:rPr>
        <w:fldChar w:fldCharType="end"/>
      </w:r>
      <w:r w:rsidRPr="001D21D4">
        <w:rPr>
          <w:rFonts w:ascii="Times New Roman" w:hAnsi="Times New Roman" w:cs="Times New Roman"/>
          <w:sz w:val="20"/>
          <w:szCs w:val="20"/>
        </w:rPr>
        <w:t xml:space="preserve"> (Zhuhai </w:t>
      </w:r>
      <w:proofErr w:type="spellStart"/>
      <w:r w:rsidRPr="001D21D4">
        <w:rPr>
          <w:rFonts w:ascii="Times New Roman" w:hAnsi="Times New Roman" w:cs="Times New Roman"/>
          <w:sz w:val="20"/>
          <w:szCs w:val="20"/>
        </w:rPr>
        <w:t>Baisuo</w:t>
      </w:r>
      <w:proofErr w:type="spellEnd"/>
      <w:r w:rsidRPr="001D21D4">
        <w:rPr>
          <w:rFonts w:ascii="Times New Roman" w:hAnsi="Times New Roman" w:cs="Times New Roman"/>
          <w:sz w:val="20"/>
          <w:szCs w:val="20"/>
        </w:rPr>
        <w:t>, China). To ensure optimal chromosomal and cytoplasmic differentiation</w:t>
      </w:r>
      <w:r w:rsidR="002F1949">
        <w:rPr>
          <w:rFonts w:ascii="Times New Roman" w:hAnsi="Times New Roman" w:cs="Times New Roman"/>
          <w:sz w:val="20"/>
          <w:szCs w:val="20"/>
        </w:rPr>
        <w:t xml:space="preserve">, </w:t>
      </w:r>
      <w:r w:rsidRPr="001D21D4">
        <w:rPr>
          <w:rFonts w:ascii="Times New Roman" w:hAnsi="Times New Roman" w:cs="Times New Roman"/>
          <w:sz w:val="20"/>
          <w:szCs w:val="20"/>
        </w:rPr>
        <w:t>a critical prerequisite for downstream computational analysis</w:t>
      </w:r>
      <w:r w:rsidR="002F1949">
        <w:rPr>
          <w:rFonts w:ascii="Times New Roman" w:hAnsi="Times New Roman" w:cs="Times New Roman"/>
          <w:sz w:val="20"/>
          <w:szCs w:val="20"/>
        </w:rPr>
        <w:t xml:space="preserve">, </w:t>
      </w:r>
      <w:r w:rsidRPr="001D21D4">
        <w:rPr>
          <w:rFonts w:ascii="Times New Roman" w:hAnsi="Times New Roman" w:cs="Times New Roman"/>
          <w:sz w:val="20"/>
          <w:szCs w:val="20"/>
        </w:rPr>
        <w:t>peripheral smears were incubated for 10–15 minutes, while bone marrow preparations underwent an extended 30-minute reaction period utilizing a pH 6.8 phosphate buffer.</w:t>
      </w:r>
    </w:p>
    <w:p w14:paraId="6580DE5A" w14:textId="2FE79E3C" w:rsid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 xml:space="preserve">Digital image acquisition was executed using a Leica DM750 biological microscope equipped with a </w:t>
      </w:r>
      <w:r w:rsidR="00BC60C3">
        <w:rPr>
          <w:rFonts w:ascii="Times New Roman" w:hAnsi="Times New Roman" w:cs="Times New Roman" w:hint="eastAsia"/>
          <w:color w:val="000000"/>
        </w:rPr>
        <w:t>100</w:t>
      </w:r>
      <w:r w:rsidR="00BC60C3">
        <w:rPr>
          <w:rFonts w:ascii="Times New Roman" w:hAnsi="Times New Roman" w:cs="Times New Roman" w:hint="eastAsia"/>
          <w:color w:val="000000"/>
        </w:rPr>
        <w:t>×</w:t>
      </w:r>
      <w:r w:rsidR="00BC60C3">
        <w:rPr>
          <w:rFonts w:ascii="Times New Roman" w:hAnsi="Times New Roman" w:cs="Times New Roman"/>
          <w:color w:val="000000"/>
        </w:rPr>
        <w:t>10 oil</w:t>
      </w:r>
      <w:r w:rsidRPr="001D21D4">
        <w:rPr>
          <w:rFonts w:ascii="Times New Roman" w:hAnsi="Times New Roman" w:cs="Times New Roman"/>
          <w:sz w:val="20"/>
          <w:szCs w:val="20"/>
        </w:rPr>
        <w:t xml:space="preserve"> immersion objective. To guarantee longitudinal consistency for the deep learning pipeline, image capture was localized within a standardized optical environment managed by the </w:t>
      </w:r>
      <w:proofErr w:type="spellStart"/>
      <w:r w:rsidRPr="001D21D4">
        <w:rPr>
          <w:rFonts w:ascii="Times New Roman" w:hAnsi="Times New Roman" w:cs="Times New Roman"/>
          <w:sz w:val="20"/>
          <w:szCs w:val="20"/>
        </w:rPr>
        <w:t>Beion</w:t>
      </w:r>
      <w:proofErr w:type="spellEnd"/>
      <w:r w:rsidRPr="001D21D4">
        <w:rPr>
          <w:rFonts w:ascii="Times New Roman" w:hAnsi="Times New Roman" w:cs="Times New Roman"/>
          <w:sz w:val="20"/>
          <w:szCs w:val="20"/>
        </w:rPr>
        <w:t xml:space="preserve"> V4.90 professional medical imaging system. The microscope diaphragm and exposure parameters were rigidly calibrated against baseline staining intensity to ensure uniform chromatic fidelity across all samples (</w:t>
      </w:r>
      <w:r w:rsidRPr="001D21D4">
        <w:rPr>
          <w:rFonts w:ascii="Times New Roman" w:hAnsi="Times New Roman" w:cs="Times New Roman"/>
          <w:b/>
          <w:bCs/>
          <w:sz w:val="20"/>
          <w:szCs w:val="20"/>
        </w:rPr>
        <w:t>Supplementary Figure S1</w:t>
      </w:r>
      <w:r w:rsidRPr="001D21D4">
        <w:rPr>
          <w:rFonts w:ascii="Times New Roman" w:hAnsi="Times New Roman" w:cs="Times New Roman"/>
          <w:sz w:val="20"/>
          <w:szCs w:val="20"/>
        </w:rPr>
        <w:t>). Multiple non-overlapping microscopic fields were recorded per slide to capture a representative distribution of the leukocyte population. All microscopic scans were exported in</w:t>
      </w:r>
      <w:r w:rsidR="00BC60C3">
        <w:rPr>
          <w:rFonts w:ascii="Times New Roman" w:hAnsi="Times New Roman" w:cs="Times New Roman"/>
          <w:sz w:val="20"/>
          <w:szCs w:val="20"/>
        </w:rPr>
        <w:t>to</w:t>
      </w:r>
      <w:r w:rsidRPr="001D21D4">
        <w:rPr>
          <w:rFonts w:ascii="Times New Roman" w:hAnsi="Times New Roman" w:cs="Times New Roman"/>
          <w:sz w:val="20"/>
          <w:szCs w:val="20"/>
        </w:rPr>
        <w:t xml:space="preserve"> high-resolution PNG format, explicitly preserving the high-frequency structural details</w:t>
      </w:r>
      <w:r w:rsidR="00ED72AB">
        <w:rPr>
          <w:rFonts w:ascii="Times New Roman" w:hAnsi="Times New Roman" w:cs="Times New Roman"/>
          <w:sz w:val="20"/>
          <w:szCs w:val="20"/>
        </w:rPr>
        <w:t xml:space="preserve"> </w:t>
      </w:r>
      <w:r w:rsidRPr="001D21D4">
        <w:rPr>
          <w:rFonts w:ascii="Times New Roman" w:hAnsi="Times New Roman" w:cs="Times New Roman"/>
          <w:sz w:val="20"/>
          <w:szCs w:val="20"/>
        </w:rPr>
        <w:t>such as complex nuclear contours, chromatin density, and delicate cytoplasmic granularity</w:t>
      </w:r>
      <w:r w:rsidR="00ED72AB">
        <w:rPr>
          <w:rFonts w:ascii="Times New Roman" w:hAnsi="Times New Roman" w:cs="Times New Roman"/>
          <w:sz w:val="20"/>
          <w:szCs w:val="20"/>
        </w:rPr>
        <w:t xml:space="preserve"> </w:t>
      </w:r>
      <w:r w:rsidRPr="001D21D4">
        <w:rPr>
          <w:rFonts w:ascii="Times New Roman" w:hAnsi="Times New Roman" w:cs="Times New Roman"/>
          <w:sz w:val="20"/>
          <w:szCs w:val="20"/>
        </w:rPr>
        <w:t>required for robust latent space encoding.</w:t>
      </w:r>
    </w:p>
    <w:p w14:paraId="44509302" w14:textId="43338538" w:rsidR="00503A50" w:rsidRPr="001D21D4" w:rsidRDefault="00EC37EE" w:rsidP="00B50815">
      <w:pPr>
        <w:rPr>
          <w:rFonts w:ascii="Times New Roman" w:hAnsi="Times New Roman" w:cs="Times New Roman"/>
          <w:sz w:val="20"/>
          <w:szCs w:val="20"/>
        </w:rPr>
      </w:pPr>
      <w:r w:rsidRPr="00B50815">
        <w:rPr>
          <w:rFonts w:ascii="Times New Roman" w:hAnsi="Times New Roman" w:cs="Times New Roman"/>
          <w:noProof/>
          <w:sz w:val="20"/>
          <w:szCs w:val="20"/>
          <w:bdr w:val="single" w:sz="12" w:space="0" w:color="auto"/>
        </w:rPr>
        <w:lastRenderedPageBreak/>
        <w:drawing>
          <wp:inline distT="0" distB="0" distL="0" distR="0" wp14:anchorId="15B259B0" wp14:editId="3761DB5E">
            <wp:extent cx="5682925" cy="4902200"/>
            <wp:effectExtent l="0" t="0" r="0" b="0"/>
            <wp:docPr id="945643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43549" name="Picture 9456435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4768" cy="4903790"/>
                    </a:xfrm>
                    <a:prstGeom prst="rect">
                      <a:avLst/>
                    </a:prstGeom>
                  </pic:spPr>
                </pic:pic>
              </a:graphicData>
            </a:graphic>
          </wp:inline>
        </w:drawing>
      </w:r>
      <w:r w:rsidR="00503A50" w:rsidRPr="00503A50">
        <w:rPr>
          <w:rFonts w:ascii="Times New Roman" w:hAnsi="Times New Roman" w:cs="Times New Roman"/>
          <w:b/>
          <w:bCs/>
          <w:sz w:val="20"/>
          <w:szCs w:val="20"/>
        </w:rPr>
        <w:t>Supplementary Figure S1: Optical Standardization and Data Preprocessing Pipeline.</w:t>
      </w:r>
      <w:r w:rsidR="00503A50" w:rsidRPr="00503A50">
        <w:rPr>
          <w:rFonts w:ascii="Times New Roman" w:hAnsi="Times New Roman" w:cs="Times New Roman"/>
          <w:sz w:val="20"/>
          <w:szCs w:val="20"/>
        </w:rPr>
        <w:t xml:space="preserve"> </w:t>
      </w:r>
      <w:r w:rsidR="00503A50" w:rsidRPr="00503A50">
        <w:rPr>
          <w:rFonts w:ascii="Times New Roman" w:hAnsi="Times New Roman" w:cs="Times New Roman"/>
          <w:b/>
          <w:bCs/>
          <w:sz w:val="20"/>
          <w:szCs w:val="20"/>
        </w:rPr>
        <w:t>(a)</w:t>
      </w:r>
      <w:r w:rsidR="00503A50" w:rsidRPr="00503A50">
        <w:rPr>
          <w:rFonts w:ascii="Times New Roman" w:hAnsi="Times New Roman" w:cs="Times New Roman"/>
          <w:sz w:val="20"/>
          <w:szCs w:val="20"/>
        </w:rPr>
        <w:t xml:space="preserve"> Raw, uncropped microscopic fields of </w:t>
      </w:r>
      <w:r w:rsidR="00503A50">
        <w:rPr>
          <w:rFonts w:ascii="Times New Roman" w:hAnsi="Times New Roman" w:cs="Times New Roman"/>
          <w:sz w:val="20"/>
          <w:szCs w:val="20"/>
        </w:rPr>
        <w:t>Wright-Giemsa-stained</w:t>
      </w:r>
      <w:r w:rsidR="00503A50" w:rsidRPr="00503A50">
        <w:rPr>
          <w:rFonts w:ascii="Times New Roman" w:hAnsi="Times New Roman" w:cs="Times New Roman"/>
          <w:sz w:val="20"/>
          <w:szCs w:val="20"/>
        </w:rPr>
        <w:t xml:space="preserve"> peripheral blood smears acquired at 1000x magnification. These initial captures demonstrate the natural clinical variance in illumination, staining intensity, and erythrocyte density inherent to real-world hematology workflows. </w:t>
      </w:r>
      <w:r w:rsidR="00503A50" w:rsidRPr="00503A50">
        <w:rPr>
          <w:rFonts w:ascii="Times New Roman" w:hAnsi="Times New Roman" w:cs="Times New Roman"/>
          <w:b/>
          <w:bCs/>
          <w:sz w:val="20"/>
          <w:szCs w:val="20"/>
        </w:rPr>
        <w:t>(b)</w:t>
      </w:r>
      <w:r w:rsidR="00503A50" w:rsidRPr="00503A50">
        <w:rPr>
          <w:rFonts w:ascii="Times New Roman" w:hAnsi="Times New Roman" w:cs="Times New Roman"/>
          <w:sz w:val="20"/>
          <w:szCs w:val="20"/>
        </w:rPr>
        <w:t xml:space="preserve"> Automated cell segmentation and localization masks. This intermediate processing step precisely isolates the target normal and malignant leukocytes from the background and surrounding red blood cells, ensuring the diagnostic network does not overfit to spurious contextual optical artifacts. </w:t>
      </w:r>
      <w:r w:rsidR="00503A50" w:rsidRPr="00503A50">
        <w:rPr>
          <w:rFonts w:ascii="Times New Roman" w:hAnsi="Times New Roman" w:cs="Times New Roman"/>
          <w:b/>
          <w:bCs/>
          <w:sz w:val="20"/>
          <w:szCs w:val="20"/>
        </w:rPr>
        <w:t>(c)</w:t>
      </w:r>
      <w:r w:rsidR="00503A50" w:rsidRPr="00503A50">
        <w:rPr>
          <w:rFonts w:ascii="Times New Roman" w:hAnsi="Times New Roman" w:cs="Times New Roman"/>
          <w:sz w:val="20"/>
          <w:szCs w:val="20"/>
        </w:rPr>
        <w:t xml:space="preserve"> Final, standardized single-cell crops extracted for model input. The localized cells are spatially centered and normalized to a uniform resolution, explicitly preserving the high-frequency cytological features</w:t>
      </w:r>
      <w:r w:rsidR="00503A50">
        <w:rPr>
          <w:rFonts w:ascii="Times New Roman" w:hAnsi="Times New Roman" w:cs="Times New Roman"/>
          <w:sz w:val="20"/>
          <w:szCs w:val="20"/>
        </w:rPr>
        <w:t xml:space="preserve">, </w:t>
      </w:r>
      <w:r w:rsidR="00503A50" w:rsidRPr="00503A50">
        <w:rPr>
          <w:rFonts w:ascii="Times New Roman" w:hAnsi="Times New Roman" w:cs="Times New Roman"/>
          <w:sz w:val="20"/>
          <w:szCs w:val="20"/>
        </w:rPr>
        <w:t>such as delicate cytoplasmic granularity, Auer rods, and complex nuclear chromatin contours</w:t>
      </w:r>
      <w:r w:rsidR="000E630F">
        <w:rPr>
          <w:rFonts w:ascii="Times New Roman" w:hAnsi="Times New Roman" w:cs="Times New Roman"/>
          <w:sz w:val="20"/>
          <w:szCs w:val="20"/>
        </w:rPr>
        <w:t xml:space="preserve"> </w:t>
      </w:r>
      <w:r w:rsidR="00503A50" w:rsidRPr="00503A50">
        <w:rPr>
          <w:rFonts w:ascii="Times New Roman" w:hAnsi="Times New Roman" w:cs="Times New Roman"/>
          <w:sz w:val="20"/>
          <w:szCs w:val="20"/>
        </w:rPr>
        <w:t>strictly required for robust multi-level feature fusion and generative latent space encoding.</w:t>
      </w:r>
    </w:p>
    <w:p w14:paraId="1BDF2260" w14:textId="77777777" w:rsidR="001D21D4" w:rsidRPr="00B76DE7" w:rsidRDefault="001D21D4" w:rsidP="00B76DE7">
      <w:pPr>
        <w:spacing w:before="240"/>
        <w:rPr>
          <w:rFonts w:ascii="Times New Roman" w:hAnsi="Times New Roman" w:cs="Times New Roman"/>
          <w:b/>
          <w:bCs/>
          <w:sz w:val="24"/>
          <w:szCs w:val="20"/>
        </w:rPr>
      </w:pPr>
      <w:r w:rsidRPr="00B76DE7">
        <w:rPr>
          <w:rFonts w:ascii="Times New Roman" w:hAnsi="Times New Roman" w:cs="Times New Roman"/>
          <w:b/>
          <w:bCs/>
          <w:sz w:val="24"/>
          <w:szCs w:val="20"/>
        </w:rPr>
        <w:t>Supplementary Note 2: Generative Augmentation Implementation Details</w:t>
      </w:r>
    </w:p>
    <w:p w14:paraId="5A368421" w14:textId="77777777" w:rsidR="001D21D4" w:rsidRPr="00B76DE7" w:rsidRDefault="001D21D4" w:rsidP="001D21D4">
      <w:pPr>
        <w:rPr>
          <w:rFonts w:ascii="Times New Roman" w:hAnsi="Times New Roman" w:cs="Times New Roman"/>
          <w:sz w:val="24"/>
          <w:szCs w:val="20"/>
        </w:rPr>
      </w:pPr>
      <w:proofErr w:type="spellStart"/>
      <w:r w:rsidRPr="00B76DE7">
        <w:rPr>
          <w:rFonts w:ascii="Times New Roman" w:hAnsi="Times New Roman" w:cs="Times New Roman"/>
          <w:b/>
          <w:bCs/>
          <w:sz w:val="24"/>
          <w:szCs w:val="20"/>
        </w:rPr>
        <w:t>LoRA</w:t>
      </w:r>
      <w:proofErr w:type="spellEnd"/>
      <w:r w:rsidRPr="00B76DE7">
        <w:rPr>
          <w:rFonts w:ascii="Times New Roman" w:hAnsi="Times New Roman" w:cs="Times New Roman"/>
          <w:b/>
          <w:bCs/>
          <w:sz w:val="24"/>
          <w:szCs w:val="20"/>
        </w:rPr>
        <w:t>-Conditioned Latent Diffusion Architecture</w:t>
      </w:r>
    </w:p>
    <w:p w14:paraId="7877DC39" w14:textId="61765B3A"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To address the extreme class imbalance of the clinical cohort without inducing traditional oversampling artifacts, the foundational dataset was systematically expanded using a highly controlled Latent Diffusion Model (LDM)</w:t>
      </w:r>
      <w:r w:rsidR="00B74880">
        <w:rPr>
          <w:rFonts w:ascii="Times New Roman" w:hAnsi="Times New Roman" w:cs="Times New Roman"/>
          <w:sz w:val="20"/>
          <w:szCs w:val="20"/>
        </w:rPr>
        <w:fldChar w:fldCharType="begin"/>
      </w:r>
      <w:r w:rsidR="00B74880">
        <w:rPr>
          <w:rFonts w:ascii="Times New Roman" w:hAnsi="Times New Roman" w:cs="Times New Roman"/>
          <w:sz w:val="20"/>
          <w:szCs w:val="20"/>
        </w:rPr>
        <w:instrText xml:space="preserve"> ADDIN EN.CITE &lt;EndNote&gt;&lt;Cite&gt;&lt;Author&gt;Rombach&lt;/Author&gt;&lt;Year&gt;2022&lt;/Year&gt;&lt;RecNum&gt;580&lt;/RecNum&gt;&lt;DisplayText&gt;&lt;style face="superscript"&gt;3&lt;/style&gt;&lt;/DisplayText&gt;&lt;record&gt;&lt;rec-number&gt;580&lt;/rec-number&gt;&lt;foreign-keys&gt;&lt;key app="EN" db-id="0azeet5dsvd0fiedwfqvwt2jp9d5stfsrwvw" timestamp="1784031314"&gt;580&lt;/key&gt;&lt;/foreign-keys&gt;&lt;ref-type name="Conference Proceedings"&gt;10&lt;/ref-type&gt;&lt;contributors&gt;&lt;authors&gt;&lt;author&gt;Rombach, Robin&lt;/author&gt;&lt;author&gt;Blattmann, Andreas&lt;/author&gt;&lt;author&gt;Lorenz, Dominik&lt;/author&gt;&lt;author&gt;Esser, Patrick&lt;/author&gt;&lt;author&gt;Ommer, Björn&lt;/author&gt;&lt;/authors&gt;&lt;/contributors&gt;&lt;titles&gt;&lt;title&gt;High-resolution image synthesis with latent diffusion models&lt;/title&gt;&lt;secondary-title&gt;Proceedings of the IEEE/CVF conference on computer vision and pattern recognition&lt;/secondary-title&gt;&lt;/titles&gt;&lt;pages&gt;10684-10695&lt;/pages&gt;&lt;dates&gt;&lt;year&gt;2022&lt;/year&gt;&lt;/dates&gt;&lt;urls&gt;&lt;/urls&gt;&lt;/record&gt;&lt;/Cite&gt;&lt;/EndNote&gt;</w:instrText>
      </w:r>
      <w:r w:rsidR="00B74880">
        <w:rPr>
          <w:rFonts w:ascii="Times New Roman" w:hAnsi="Times New Roman" w:cs="Times New Roman"/>
          <w:sz w:val="20"/>
          <w:szCs w:val="20"/>
        </w:rPr>
        <w:fldChar w:fldCharType="separate"/>
      </w:r>
      <w:r w:rsidR="00B74880" w:rsidRPr="00B74880">
        <w:rPr>
          <w:rFonts w:ascii="Times New Roman" w:hAnsi="Times New Roman" w:cs="Times New Roman"/>
          <w:noProof/>
          <w:sz w:val="20"/>
          <w:szCs w:val="20"/>
          <w:vertAlign w:val="superscript"/>
        </w:rPr>
        <w:t>3</w:t>
      </w:r>
      <w:r w:rsidR="00B74880">
        <w:rPr>
          <w:rFonts w:ascii="Times New Roman" w:hAnsi="Times New Roman" w:cs="Times New Roman"/>
          <w:sz w:val="20"/>
          <w:szCs w:val="20"/>
        </w:rPr>
        <w:fldChar w:fldCharType="end"/>
      </w:r>
      <w:r w:rsidRPr="001D21D4">
        <w:rPr>
          <w:rFonts w:ascii="Times New Roman" w:hAnsi="Times New Roman" w:cs="Times New Roman"/>
          <w:sz w:val="20"/>
          <w:szCs w:val="20"/>
        </w:rPr>
        <w:t>. Rather than synthesizing samples from pure Gaussian noise, the framework was configured in a structurally conditioned image-to-image (img2img) modality</w:t>
      </w:r>
      <w:r w:rsidR="00DE36C6">
        <w:rPr>
          <w:rFonts w:ascii="Times New Roman" w:hAnsi="Times New Roman" w:cs="Times New Roman"/>
          <w:sz w:val="20"/>
          <w:szCs w:val="20"/>
        </w:rPr>
        <w:fldChar w:fldCharType="begin"/>
      </w:r>
      <w:r w:rsidR="00DE36C6">
        <w:rPr>
          <w:rFonts w:ascii="Times New Roman" w:hAnsi="Times New Roman" w:cs="Times New Roman"/>
          <w:sz w:val="20"/>
          <w:szCs w:val="20"/>
        </w:rPr>
        <w:instrText xml:space="preserve"> ADDIN EN.CITE &lt;EndNote&gt;&lt;Cite&gt;&lt;Author&gt;Meng&lt;/Author&gt;&lt;Year&gt;2021&lt;/Year&gt;&lt;RecNum&gt;582&lt;/RecNum&gt;&lt;DisplayText&gt;&lt;style face="superscript"&gt;4&lt;/style&gt;&lt;/DisplayText&gt;&lt;record&gt;&lt;rec-number&gt;582&lt;/rec-number&gt;&lt;foreign-keys&gt;&lt;key app="EN" db-id="0azeet5dsvd0fiedwfqvwt2jp9d5stfsrwvw" timestamp="1784031811"&gt;582&lt;/key&gt;&lt;/foreign-keys&gt;&lt;ref-type name="Journal Article"&gt;17&lt;/ref-type&gt;&lt;contributors&gt;&lt;authors&gt;&lt;author&gt;Meng, Chenlin&lt;/author&gt;&lt;author&gt;He, Yutong&lt;/author&gt;&lt;author&gt;Song, Yang&lt;/author&gt;&lt;author&gt;Song, Jiaming&lt;/author&gt;&lt;author&gt;Wu, Jiajun&lt;/author&gt;&lt;author&gt;Zhu, Jun-Yan&lt;/author&gt;&lt;author&gt;Ermon, Stefano&lt;/author&gt;&lt;/authors&gt;&lt;/contributors&gt;&lt;titles&gt;&lt;title&gt;Sdedit: Guided image synthesis and editing with stochastic differential equations&lt;/title&gt;&lt;secondary-title&gt;arXiv preprint arXiv:2108.01073&lt;/secondary-title&gt;&lt;/titles&gt;&lt;periodical&gt;&lt;full-title&gt;arXiv preprint arXiv:2108.01073&lt;/full-title&gt;&lt;/periodical&gt;&lt;dates&gt;&lt;year&gt;2021&lt;/year&gt;&lt;/dates&gt;&lt;urls&gt;&lt;/urls&gt;&lt;/record&gt;&lt;/Cite&gt;&lt;/EndNote&gt;</w:instrText>
      </w:r>
      <w:r w:rsidR="00DE36C6">
        <w:rPr>
          <w:rFonts w:ascii="Times New Roman" w:hAnsi="Times New Roman" w:cs="Times New Roman"/>
          <w:sz w:val="20"/>
          <w:szCs w:val="20"/>
        </w:rPr>
        <w:fldChar w:fldCharType="separate"/>
      </w:r>
      <w:r w:rsidR="00DE36C6" w:rsidRPr="00DE36C6">
        <w:rPr>
          <w:rFonts w:ascii="Times New Roman" w:hAnsi="Times New Roman" w:cs="Times New Roman"/>
          <w:noProof/>
          <w:sz w:val="20"/>
          <w:szCs w:val="20"/>
          <w:vertAlign w:val="superscript"/>
        </w:rPr>
        <w:t>4</w:t>
      </w:r>
      <w:r w:rsidR="00DE36C6">
        <w:rPr>
          <w:rFonts w:ascii="Times New Roman" w:hAnsi="Times New Roman" w:cs="Times New Roman"/>
          <w:sz w:val="20"/>
          <w:szCs w:val="20"/>
        </w:rPr>
        <w:fldChar w:fldCharType="end"/>
      </w:r>
      <w:r w:rsidRPr="001D21D4">
        <w:rPr>
          <w:rFonts w:ascii="Times New Roman" w:hAnsi="Times New Roman" w:cs="Times New Roman"/>
          <w:sz w:val="20"/>
          <w:szCs w:val="20"/>
        </w:rPr>
        <w:t>. This approach leveraged the preprocessed, cropped clinical images as structural priors, ensuring that the global geometry and baseline nucleocytoplasmic ratios of the synthesized cells remained biologically plausible.</w:t>
      </w:r>
    </w:p>
    <w:p w14:paraId="294868AD" w14:textId="0019979E"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The generative trajectory was governed by a dual-conditioning mechanism comprising Textual Inversion and Low-Rank Adaptation (</w:t>
      </w:r>
      <w:proofErr w:type="spellStart"/>
      <w:r w:rsidRPr="001D21D4">
        <w:rPr>
          <w:rFonts w:ascii="Times New Roman" w:hAnsi="Times New Roman" w:cs="Times New Roman"/>
          <w:sz w:val="20"/>
          <w:szCs w:val="20"/>
        </w:rPr>
        <w:t>LoRA</w:t>
      </w:r>
      <w:proofErr w:type="spellEnd"/>
      <w:r w:rsidRPr="001D21D4">
        <w:rPr>
          <w:rFonts w:ascii="Times New Roman" w:hAnsi="Times New Roman" w:cs="Times New Roman"/>
          <w:sz w:val="20"/>
          <w:szCs w:val="20"/>
        </w:rPr>
        <w:t>). Textual Inversion was employed to embed class-specific pathological tokens</w:t>
      </w:r>
      <w:r w:rsidR="00B74880">
        <w:rPr>
          <w:rFonts w:ascii="Times New Roman" w:hAnsi="Times New Roman" w:cs="Times New Roman"/>
          <w:sz w:val="20"/>
          <w:szCs w:val="20"/>
        </w:rPr>
        <w:fldChar w:fldCharType="begin"/>
      </w:r>
      <w:r w:rsidR="00DE36C6">
        <w:rPr>
          <w:rFonts w:ascii="Times New Roman" w:hAnsi="Times New Roman" w:cs="Times New Roman"/>
          <w:sz w:val="20"/>
          <w:szCs w:val="20"/>
        </w:rPr>
        <w:instrText xml:space="preserve"> ADDIN EN.CITE &lt;EndNote&gt;&lt;Cite&gt;&lt;Author&gt;Gal&lt;/Author&gt;&lt;Year&gt;2022&lt;/Year&gt;&lt;RecNum&gt;581&lt;/RecNum&gt;&lt;DisplayText&gt;&lt;style face="superscript"&gt;5&lt;/style&gt;&lt;/DisplayText&gt;&lt;record&gt;&lt;rec-number&gt;581&lt;/rec-number&gt;&lt;foreign-keys&gt;&lt;key app="EN" db-id="0azeet5dsvd0fiedwfqvwt2jp9d5stfsrwvw" timestamp="1784031506"&gt;581&lt;/key&gt;&lt;/foreign-keys&gt;&lt;ref-type name="Journal Article"&gt;17&lt;/ref-type&gt;&lt;contributors&gt;&lt;authors&gt;&lt;author&gt;Gal, Rinon&lt;/author&gt;&lt;author&gt;Alaluf, Yuval&lt;/author&gt;&lt;author&gt;Atzmon, Yuval&lt;/author&gt;&lt;author&gt;Patashnik, Or&lt;/author&gt;&lt;author&gt;Bermano, Amit H&lt;/author&gt;&lt;author&gt;Chechik, Gal&lt;/author&gt;&lt;author&gt;Cohen-Or, Daniel&lt;/author&gt;&lt;/authors&gt;&lt;/contributors&gt;&lt;titles&gt;&lt;title&gt;An image is worth one word: Personalizing text-to-image generation using textual inversion&lt;/title&gt;&lt;secondary-title&gt;arXiv preprint arXiv:2208.01618&lt;/secondary-title&gt;&lt;/titles&gt;&lt;periodical&gt;&lt;full-title&gt;arXiv preprint arXiv:2208.01618&lt;/full-title&gt;&lt;/periodical&gt;&lt;dates&gt;&lt;year&gt;2022&lt;/year&gt;&lt;/dates&gt;&lt;urls&gt;&lt;/urls&gt;&lt;/record&gt;&lt;/Cite&gt;&lt;/EndNote&gt;</w:instrText>
      </w:r>
      <w:r w:rsidR="00B74880">
        <w:rPr>
          <w:rFonts w:ascii="Times New Roman" w:hAnsi="Times New Roman" w:cs="Times New Roman"/>
          <w:sz w:val="20"/>
          <w:szCs w:val="20"/>
        </w:rPr>
        <w:fldChar w:fldCharType="separate"/>
      </w:r>
      <w:r w:rsidR="00DE36C6" w:rsidRPr="00DE36C6">
        <w:rPr>
          <w:rFonts w:ascii="Times New Roman" w:hAnsi="Times New Roman" w:cs="Times New Roman"/>
          <w:noProof/>
          <w:sz w:val="20"/>
          <w:szCs w:val="20"/>
          <w:vertAlign w:val="superscript"/>
        </w:rPr>
        <w:t>5</w:t>
      </w:r>
      <w:r w:rsidR="00B74880">
        <w:rPr>
          <w:rFonts w:ascii="Times New Roman" w:hAnsi="Times New Roman" w:cs="Times New Roman"/>
          <w:sz w:val="20"/>
          <w:szCs w:val="20"/>
        </w:rPr>
        <w:fldChar w:fldCharType="end"/>
      </w:r>
      <w:r w:rsidRPr="001D21D4">
        <w:rPr>
          <w:rFonts w:ascii="Times New Roman" w:hAnsi="Times New Roman" w:cs="Times New Roman"/>
          <w:sz w:val="20"/>
          <w:szCs w:val="20"/>
        </w:rPr>
        <w:t xml:space="preserve"> into the model's text encoder, providing exact semantic definitions for rare morphotypes (e.g., Auer rods or nuclear </w:t>
      </w:r>
      <w:proofErr w:type="spellStart"/>
      <w:r w:rsidRPr="001D21D4">
        <w:rPr>
          <w:rFonts w:ascii="Times New Roman" w:hAnsi="Times New Roman" w:cs="Times New Roman"/>
          <w:sz w:val="20"/>
          <w:szCs w:val="20"/>
        </w:rPr>
        <w:lastRenderedPageBreak/>
        <w:t>clefting</w:t>
      </w:r>
      <w:proofErr w:type="spellEnd"/>
      <w:r w:rsidRPr="001D21D4">
        <w:rPr>
          <w:rFonts w:ascii="Times New Roman" w:hAnsi="Times New Roman" w:cs="Times New Roman"/>
          <w:sz w:val="20"/>
          <w:szCs w:val="20"/>
        </w:rPr>
        <w:t xml:space="preserve">). Concurrently, learned </w:t>
      </w:r>
      <w:proofErr w:type="spellStart"/>
      <w:r w:rsidRPr="001D21D4">
        <w:rPr>
          <w:rFonts w:ascii="Times New Roman" w:hAnsi="Times New Roman" w:cs="Times New Roman"/>
          <w:sz w:val="20"/>
          <w:szCs w:val="20"/>
        </w:rPr>
        <w:t>LoRA</w:t>
      </w:r>
      <w:proofErr w:type="spellEnd"/>
      <w:r w:rsidRPr="001D21D4">
        <w:rPr>
          <w:rFonts w:ascii="Times New Roman" w:hAnsi="Times New Roman" w:cs="Times New Roman"/>
          <w:sz w:val="20"/>
          <w:szCs w:val="20"/>
        </w:rPr>
        <w:t xml:space="preserve"> weights were integrated directly into the cross-attention layers of the U-Net</w:t>
      </w:r>
      <w:r w:rsidR="00DE36C6">
        <w:rPr>
          <w:rFonts w:ascii="Times New Roman" w:hAnsi="Times New Roman" w:cs="Times New Roman"/>
          <w:sz w:val="20"/>
          <w:szCs w:val="20"/>
        </w:rPr>
        <w:fldChar w:fldCharType="begin"/>
      </w:r>
      <w:r w:rsidR="00DE36C6">
        <w:rPr>
          <w:rFonts w:ascii="Times New Roman" w:hAnsi="Times New Roman" w:cs="Times New Roman"/>
          <w:sz w:val="20"/>
          <w:szCs w:val="20"/>
        </w:rPr>
        <w:instrText xml:space="preserve"> ADDIN EN.CITE &lt;EndNote&gt;&lt;Cite&gt;&lt;Author&gt;Hu&lt;/Author&gt;&lt;Year&gt;2022&lt;/Year&gt;&lt;RecNum&gt;583&lt;/RecNum&gt;&lt;DisplayText&gt;&lt;style face="superscript"&gt;6&lt;/style&gt;&lt;/DisplayText&gt;&lt;record&gt;&lt;rec-number&gt;583&lt;/rec-number&gt;&lt;foreign-keys&gt;&lt;key app="EN" db-id="0azeet5dsvd0fiedwfqvwt2jp9d5stfsrwvw" timestamp="1784032121"&gt;583&lt;/key&gt;&lt;/foreign-keys&gt;&lt;ref-type name="Journal Article"&gt;17&lt;/ref-type&gt;&lt;contributors&gt;&lt;authors&gt;&lt;author&gt;Hu, Edward J&lt;/author&gt;&lt;author&gt;Shen, Yelong&lt;/author&gt;&lt;author&gt;Wallis, Phillip&lt;/author&gt;&lt;author&gt;Allen-Zhu, Zeyuan&lt;/author&gt;&lt;author&gt;Li, Yuanzhi&lt;/author&gt;&lt;author&gt;Wang, Shean&lt;/author&gt;&lt;author&gt;Wang, Liang&lt;/author&gt;&lt;author&gt;Chen, Weizhu&lt;/author&gt;&lt;/authors&gt;&lt;/contributors&gt;&lt;titles&gt;&lt;title&gt;Lora: Low-rank adaptation of large language models&lt;/title&gt;&lt;secondary-title&gt;Iclr&lt;/secondary-title&gt;&lt;/titles&gt;&lt;periodical&gt;&lt;full-title&gt;Iclr&lt;/full-title&gt;&lt;/periodical&gt;&lt;pages&gt;3&lt;/pages&gt;&lt;volume&gt;1&lt;/volume&gt;&lt;number&gt;2&lt;/number&gt;&lt;dates&gt;&lt;year&gt;2022&lt;/year&gt;&lt;/dates&gt;&lt;urls&gt;&lt;/urls&gt;&lt;/record&gt;&lt;/Cite&gt;&lt;/EndNote&gt;</w:instrText>
      </w:r>
      <w:r w:rsidR="00DE36C6">
        <w:rPr>
          <w:rFonts w:ascii="Times New Roman" w:hAnsi="Times New Roman" w:cs="Times New Roman"/>
          <w:sz w:val="20"/>
          <w:szCs w:val="20"/>
        </w:rPr>
        <w:fldChar w:fldCharType="separate"/>
      </w:r>
      <w:r w:rsidR="00DE36C6" w:rsidRPr="00DE36C6">
        <w:rPr>
          <w:rFonts w:ascii="Times New Roman" w:hAnsi="Times New Roman" w:cs="Times New Roman"/>
          <w:noProof/>
          <w:sz w:val="20"/>
          <w:szCs w:val="20"/>
          <w:vertAlign w:val="superscript"/>
        </w:rPr>
        <w:t>6</w:t>
      </w:r>
      <w:r w:rsidR="00DE36C6">
        <w:rPr>
          <w:rFonts w:ascii="Times New Roman" w:hAnsi="Times New Roman" w:cs="Times New Roman"/>
          <w:sz w:val="20"/>
          <w:szCs w:val="20"/>
        </w:rPr>
        <w:fldChar w:fldCharType="end"/>
      </w:r>
      <w:r w:rsidRPr="001D21D4">
        <w:rPr>
          <w:rFonts w:ascii="Times New Roman" w:hAnsi="Times New Roman" w:cs="Times New Roman"/>
          <w:sz w:val="20"/>
          <w:szCs w:val="20"/>
        </w:rPr>
        <w:t>. This adaptation constrained the network to strictly adhere to the textural properties and specific Wright-Giemsa chromatic profiles characteristic of our hospital’s standardized imaging system.</w:t>
      </w:r>
    </w:p>
    <w:p w14:paraId="59E472F6" w14:textId="77777777" w:rsidR="001D21D4" w:rsidRPr="00B76DE7" w:rsidRDefault="001D21D4" w:rsidP="001D21D4">
      <w:pPr>
        <w:rPr>
          <w:rFonts w:ascii="Times New Roman" w:hAnsi="Times New Roman" w:cs="Times New Roman"/>
          <w:sz w:val="24"/>
          <w:szCs w:val="20"/>
        </w:rPr>
      </w:pPr>
      <w:r w:rsidRPr="00B76DE7">
        <w:rPr>
          <w:rFonts w:ascii="Times New Roman" w:hAnsi="Times New Roman" w:cs="Times New Roman"/>
          <w:b/>
          <w:bCs/>
          <w:sz w:val="24"/>
          <w:szCs w:val="20"/>
        </w:rPr>
        <w:t>Optimization Strategy and Hyperparameter Tuning</w:t>
      </w:r>
    </w:p>
    <w:p w14:paraId="2C1B3776" w14:textId="166CC10C"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 xml:space="preserve">To achieve precise domain adaptation while remaining memory-efficient, the </w:t>
      </w:r>
      <w:proofErr w:type="spellStart"/>
      <w:r w:rsidRPr="001D21D4">
        <w:rPr>
          <w:rFonts w:ascii="Times New Roman" w:hAnsi="Times New Roman" w:cs="Times New Roman"/>
          <w:sz w:val="20"/>
          <w:szCs w:val="20"/>
        </w:rPr>
        <w:t>LoRA</w:t>
      </w:r>
      <w:proofErr w:type="spellEnd"/>
      <w:r w:rsidRPr="001D21D4">
        <w:rPr>
          <w:rFonts w:ascii="Times New Roman" w:hAnsi="Times New Roman" w:cs="Times New Roman"/>
          <w:sz w:val="20"/>
          <w:szCs w:val="20"/>
        </w:rPr>
        <w:t xml:space="preserve"> structural capacity was defined by a network dimension (</w:t>
      </w:r>
      <w:r w:rsidRPr="001D21D4">
        <w:rPr>
          <w:rFonts w:ascii="Times New Roman" w:hAnsi="Times New Roman" w:cs="Times New Roman"/>
          <w:b/>
          <w:bCs/>
          <w:sz w:val="20"/>
          <w:szCs w:val="20"/>
        </w:rPr>
        <w:t>rank</w:t>
      </w:r>
      <w:r w:rsidRPr="001D21D4">
        <w:rPr>
          <w:rFonts w:ascii="Times New Roman" w:hAnsi="Times New Roman" w:cs="Times New Roman"/>
          <w:sz w:val="20"/>
          <w:szCs w:val="20"/>
        </w:rPr>
        <w:t>)</w:t>
      </w:r>
      <w:r w:rsidR="00DE36C6">
        <w:rPr>
          <w:rFonts w:ascii="Times New Roman" w:hAnsi="Times New Roman" w:cs="Times New Roman"/>
          <w:sz w:val="20"/>
          <w:szCs w:val="20"/>
        </w:rPr>
        <w:fldChar w:fldCharType="begin"/>
      </w:r>
      <w:r w:rsidR="00DE36C6">
        <w:rPr>
          <w:rFonts w:ascii="Times New Roman" w:hAnsi="Times New Roman" w:cs="Times New Roman"/>
          <w:sz w:val="20"/>
          <w:szCs w:val="20"/>
        </w:rPr>
        <w:instrText xml:space="preserve"> ADDIN EN.CITE &lt;EndNote&gt;&lt;Cite&gt;&lt;Author&gt;Hu&lt;/Author&gt;&lt;Year&gt;2022&lt;/Year&gt;&lt;RecNum&gt;583&lt;/RecNum&gt;&lt;DisplayText&gt;&lt;style face="superscript"&gt;6&lt;/style&gt;&lt;/DisplayText&gt;&lt;record&gt;&lt;rec-number&gt;583&lt;/rec-number&gt;&lt;foreign-keys&gt;&lt;key app="EN" db-id="0azeet5dsvd0fiedwfqvwt2jp9d5stfsrwvw" timestamp="1784032121"&gt;583&lt;/key&gt;&lt;/foreign-keys&gt;&lt;ref-type name="Journal Article"&gt;17&lt;/ref-type&gt;&lt;contributors&gt;&lt;authors&gt;&lt;author&gt;Hu, Edward J&lt;/author&gt;&lt;author&gt;Shen, Yelong&lt;/author&gt;&lt;author&gt;Wallis, Phillip&lt;/author&gt;&lt;author&gt;Allen-Zhu, Zeyuan&lt;/author&gt;&lt;author&gt;Li, Yuanzhi&lt;/author&gt;&lt;author&gt;Wang, Shean&lt;/author&gt;&lt;author&gt;Wang, Liang&lt;/author&gt;&lt;author&gt;Chen, Weizhu&lt;/author&gt;&lt;/authors&gt;&lt;/contributors&gt;&lt;titles&gt;&lt;title&gt;Lora: Low-rank adaptation of large language models&lt;/title&gt;&lt;secondary-title&gt;Iclr&lt;/secondary-title&gt;&lt;/titles&gt;&lt;periodical&gt;&lt;full-title&gt;Iclr&lt;/full-title&gt;&lt;/periodical&gt;&lt;pages&gt;3&lt;/pages&gt;&lt;volume&gt;1&lt;/volume&gt;&lt;number&gt;2&lt;/number&gt;&lt;dates&gt;&lt;year&gt;2022&lt;/year&gt;&lt;/dates&gt;&lt;urls&gt;&lt;/urls&gt;&lt;/record&gt;&lt;/Cite&gt;&lt;/EndNote&gt;</w:instrText>
      </w:r>
      <w:r w:rsidR="00DE36C6">
        <w:rPr>
          <w:rFonts w:ascii="Times New Roman" w:hAnsi="Times New Roman" w:cs="Times New Roman"/>
          <w:sz w:val="20"/>
          <w:szCs w:val="20"/>
        </w:rPr>
        <w:fldChar w:fldCharType="separate"/>
      </w:r>
      <w:r w:rsidR="00DE36C6" w:rsidRPr="00DE36C6">
        <w:rPr>
          <w:rFonts w:ascii="Times New Roman" w:hAnsi="Times New Roman" w:cs="Times New Roman"/>
          <w:noProof/>
          <w:sz w:val="20"/>
          <w:szCs w:val="20"/>
          <w:vertAlign w:val="superscript"/>
        </w:rPr>
        <w:t>6</w:t>
      </w:r>
      <w:r w:rsidR="00DE36C6">
        <w:rPr>
          <w:rFonts w:ascii="Times New Roman" w:hAnsi="Times New Roman" w:cs="Times New Roman"/>
          <w:sz w:val="20"/>
          <w:szCs w:val="20"/>
        </w:rPr>
        <w:fldChar w:fldCharType="end"/>
      </w:r>
      <w:r w:rsidRPr="001D21D4">
        <w:rPr>
          <w:rFonts w:ascii="Times New Roman" w:hAnsi="Times New Roman" w:cs="Times New Roman"/>
          <w:sz w:val="20"/>
          <w:szCs w:val="20"/>
        </w:rPr>
        <w:t xml:space="preserve"> and an alpha scaling factor both set to </w:t>
      </w:r>
      <w:r w:rsidRPr="001D21D4">
        <w:rPr>
          <w:rFonts w:ascii="Times New Roman" w:hAnsi="Times New Roman" w:cs="Times New Roman"/>
          <w:b/>
          <w:bCs/>
          <w:sz w:val="20"/>
          <w:szCs w:val="20"/>
        </w:rPr>
        <w:t>16</w:t>
      </w:r>
      <w:r w:rsidRPr="001D21D4">
        <w:rPr>
          <w:rFonts w:ascii="Times New Roman" w:hAnsi="Times New Roman" w:cs="Times New Roman"/>
          <w:sz w:val="20"/>
          <w:szCs w:val="20"/>
        </w:rPr>
        <w:t>. This specific dimensionality provided sufficient parameter space to capture high-frequency leukemic morphologies while mitigating the risk of overfitting on the highly scarce minority classes (e.g., AML-M5 Promonocytes).</w:t>
      </w:r>
    </w:p>
    <w:p w14:paraId="2B2B7984" w14:textId="4189A7F6"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 xml:space="preserve">To ensure semantic stability during adaptation, a differential learning rate strategy was enforced. The cross-attention layers of the U-Net were updated at a primary learning rate of </w:t>
      </w:r>
      <w:r w:rsidR="005B425E">
        <w:rPr>
          <w:rFonts w:ascii="Times New Roman" w:hAnsi="Times New Roman" w:cs="Times New Roman"/>
          <w:sz w:val="20"/>
          <w:szCs w:val="20"/>
        </w:rPr>
        <w:t>1x10</w:t>
      </w:r>
      <w:r w:rsidR="005549B9">
        <w:rPr>
          <w:rFonts w:ascii="Times New Roman" w:hAnsi="Times New Roman" w:cs="Times New Roman"/>
          <w:sz w:val="20"/>
          <w:szCs w:val="20"/>
          <w:vertAlign w:val="superscript"/>
        </w:rPr>
        <w:t>-4</w:t>
      </w:r>
      <w:r w:rsidR="005B425E">
        <w:rPr>
          <w:rFonts w:ascii="Times New Roman" w:hAnsi="Times New Roman" w:cs="Times New Roman"/>
          <w:sz w:val="20"/>
          <w:szCs w:val="20"/>
        </w:rPr>
        <w:t>, whereas</w:t>
      </w:r>
      <w:r w:rsidRPr="001D21D4">
        <w:rPr>
          <w:rFonts w:ascii="Times New Roman" w:hAnsi="Times New Roman" w:cs="Times New Roman"/>
          <w:sz w:val="20"/>
          <w:szCs w:val="20"/>
        </w:rPr>
        <w:t xml:space="preserve"> the CLIP text encoder was fine-tuned</w:t>
      </w:r>
      <w:r w:rsidR="005549B9">
        <w:rPr>
          <w:rFonts w:ascii="Times New Roman" w:hAnsi="Times New Roman" w:cs="Times New Roman"/>
          <w:sz w:val="20"/>
          <w:szCs w:val="20"/>
        </w:rPr>
        <w:fldChar w:fldCharType="begin"/>
      </w:r>
      <w:r w:rsidR="005549B9">
        <w:rPr>
          <w:rFonts w:ascii="Times New Roman" w:hAnsi="Times New Roman" w:cs="Times New Roman"/>
          <w:sz w:val="20"/>
          <w:szCs w:val="20"/>
        </w:rPr>
        <w:instrText xml:space="preserve"> ADDIN EN.CITE &lt;EndNote&gt;&lt;Cite&gt;&lt;Author&gt;Radford&lt;/Author&gt;&lt;Year&gt;2021&lt;/Year&gt;&lt;RecNum&gt;584&lt;/RecNum&gt;&lt;DisplayText&gt;&lt;style face="superscript"&gt;7&lt;/style&gt;&lt;/DisplayText&gt;&lt;record&gt;&lt;rec-number&gt;584&lt;/rec-number&gt;&lt;foreign-keys&gt;&lt;key app="EN" db-id="0azeet5dsvd0fiedwfqvwt2jp9d5stfsrwvw" timestamp="1784032502"&gt;584&lt;/key&gt;&lt;/foreign-keys&gt;&lt;ref-type name="Conference Proceedings"&gt;10&lt;/ref-type&gt;&lt;contributors&gt;&lt;authors&gt;&lt;author&gt;Radford, Alec&lt;/author&gt;&lt;author&gt;Kim, Jong Wook&lt;/author&gt;&lt;author&gt;Hallacy, Chris&lt;/author&gt;&lt;author&gt;Ramesh, Aditya&lt;/author&gt;&lt;author&gt;Goh, Gabriel&lt;/author&gt;&lt;author&gt;Agarwal, Sandhini&lt;/author&gt;&lt;author&gt;Sastry, Girish&lt;/author&gt;&lt;author&gt;Askell, Amanda&lt;/author&gt;&lt;author&gt;Mishkin, Pamela&lt;/author&gt;&lt;author&gt;Clark, Jack&lt;/author&gt;&lt;/authors&gt;&lt;/contributors&gt;&lt;titles&gt;&lt;title&gt;Learning transferable visual models from natural language supervision&lt;/title&gt;&lt;secondary-title&gt;International conference on machine learning&lt;/secondary-title&gt;&lt;/titles&gt;&lt;pages&gt;8748-8763&lt;/pages&gt;&lt;dates&gt;&lt;year&gt;2021&lt;/year&gt;&lt;/dates&gt;&lt;publisher&gt;PmLR&lt;/publisher&gt;&lt;isbn&gt;2640-3498&lt;/isbn&gt;&lt;urls&gt;&lt;/urls&gt;&lt;/record&gt;&lt;/Cite&gt;&lt;/EndNote&gt;</w:instrText>
      </w:r>
      <w:r w:rsidR="005549B9">
        <w:rPr>
          <w:rFonts w:ascii="Times New Roman" w:hAnsi="Times New Roman" w:cs="Times New Roman"/>
          <w:sz w:val="20"/>
          <w:szCs w:val="20"/>
        </w:rPr>
        <w:fldChar w:fldCharType="separate"/>
      </w:r>
      <w:r w:rsidR="005549B9" w:rsidRPr="005549B9">
        <w:rPr>
          <w:rFonts w:ascii="Times New Roman" w:hAnsi="Times New Roman" w:cs="Times New Roman"/>
          <w:noProof/>
          <w:sz w:val="20"/>
          <w:szCs w:val="20"/>
          <w:vertAlign w:val="superscript"/>
        </w:rPr>
        <w:t>7</w:t>
      </w:r>
      <w:r w:rsidR="005549B9">
        <w:rPr>
          <w:rFonts w:ascii="Times New Roman" w:hAnsi="Times New Roman" w:cs="Times New Roman"/>
          <w:sz w:val="20"/>
          <w:szCs w:val="20"/>
        </w:rPr>
        <w:fldChar w:fldCharType="end"/>
      </w:r>
      <w:r w:rsidRPr="001D21D4">
        <w:rPr>
          <w:rFonts w:ascii="Times New Roman" w:hAnsi="Times New Roman" w:cs="Times New Roman"/>
          <w:sz w:val="20"/>
          <w:szCs w:val="20"/>
        </w:rPr>
        <w:t xml:space="preserve"> at a significantly reduced rate of </w:t>
      </w:r>
      <w:r w:rsidR="005B425E">
        <w:rPr>
          <w:rFonts w:ascii="Times New Roman" w:hAnsi="Times New Roman" w:cs="Times New Roman"/>
          <w:sz w:val="20"/>
          <w:szCs w:val="20"/>
        </w:rPr>
        <w:t>1x10</w:t>
      </w:r>
      <w:r w:rsidR="005B425E">
        <w:rPr>
          <w:rFonts w:ascii="Times New Roman" w:hAnsi="Times New Roman" w:cs="Times New Roman"/>
          <w:sz w:val="20"/>
          <w:szCs w:val="20"/>
          <w:vertAlign w:val="superscript"/>
        </w:rPr>
        <w:t>-</w:t>
      </w:r>
      <w:r w:rsidR="005549B9">
        <w:rPr>
          <w:rFonts w:ascii="Times New Roman" w:hAnsi="Times New Roman" w:cs="Times New Roman"/>
          <w:sz w:val="20"/>
          <w:szCs w:val="20"/>
          <w:vertAlign w:val="superscript"/>
        </w:rPr>
        <w:fldChar w:fldCharType="begin"/>
      </w:r>
      <w:r w:rsidR="005549B9">
        <w:rPr>
          <w:rFonts w:ascii="Times New Roman" w:hAnsi="Times New Roman" w:cs="Times New Roman"/>
          <w:sz w:val="20"/>
          <w:szCs w:val="20"/>
          <w:vertAlign w:val="superscript"/>
        </w:rPr>
        <w:instrText xml:space="preserve"> ADDIN EN.CITE &lt;EndNote&gt;&lt;Cite&gt;&lt;Author&gt;Radford&lt;/Author&gt;&lt;Year&gt;2021&lt;/Year&gt;&lt;RecNum&gt;584&lt;/RecNum&gt;&lt;DisplayText&gt;&lt;style face="superscript"&gt;7&lt;/style&gt;&lt;/DisplayText&gt;&lt;record&gt;&lt;rec-number&gt;584&lt;/rec-number&gt;&lt;foreign-keys&gt;&lt;key app="EN" db-id="0azeet5dsvd0fiedwfqvwt2jp9d5stfsrwvw" timestamp="1784032502"&gt;584&lt;/key&gt;&lt;/foreign-keys&gt;&lt;ref-type name="Conference Proceedings"&gt;10&lt;/ref-type&gt;&lt;contributors&gt;&lt;authors&gt;&lt;author&gt;Radford, Alec&lt;/author&gt;&lt;author&gt;Kim, Jong Wook&lt;/author&gt;&lt;author&gt;Hallacy, Chris&lt;/author&gt;&lt;author&gt;Ramesh, Aditya&lt;/author&gt;&lt;author&gt;Goh, Gabriel&lt;/author&gt;&lt;author&gt;Agarwal, Sandhini&lt;/author&gt;&lt;author&gt;Sastry, Girish&lt;/author&gt;&lt;author&gt;Askell, Amanda&lt;/author&gt;&lt;author&gt;Mishkin, Pamela&lt;/author&gt;&lt;author&gt;Clark, Jack&lt;/author&gt;&lt;/authors&gt;&lt;/contributors&gt;&lt;titles&gt;&lt;title&gt;Learning transferable visual models from natural language supervision&lt;/title&gt;&lt;secondary-title&gt;International conference on machine learning&lt;/secondary-title&gt;&lt;/titles&gt;&lt;pages&gt;8748-8763&lt;/pages&gt;&lt;dates&gt;&lt;year&gt;2021&lt;/year&gt;&lt;/dates&gt;&lt;publisher&gt;PmLR&lt;/publisher&gt;&lt;isbn&gt;2640-3498&lt;/isbn&gt;&lt;urls&gt;&lt;/urls&gt;&lt;/record&gt;&lt;/Cite&gt;&lt;/EndNote&gt;</w:instrText>
      </w:r>
      <w:r w:rsidR="005549B9">
        <w:rPr>
          <w:rFonts w:ascii="Times New Roman" w:hAnsi="Times New Roman" w:cs="Times New Roman"/>
          <w:sz w:val="20"/>
          <w:szCs w:val="20"/>
          <w:vertAlign w:val="superscript"/>
        </w:rPr>
        <w:fldChar w:fldCharType="separate"/>
      </w:r>
      <w:r w:rsidR="005549B9">
        <w:rPr>
          <w:rFonts w:ascii="Times New Roman" w:hAnsi="Times New Roman" w:cs="Times New Roman"/>
          <w:noProof/>
          <w:sz w:val="20"/>
          <w:szCs w:val="20"/>
          <w:vertAlign w:val="superscript"/>
        </w:rPr>
        <w:t>7</w:t>
      </w:r>
      <w:r w:rsidR="005549B9">
        <w:rPr>
          <w:rFonts w:ascii="Times New Roman" w:hAnsi="Times New Roman" w:cs="Times New Roman"/>
          <w:sz w:val="20"/>
          <w:szCs w:val="20"/>
          <w:vertAlign w:val="superscript"/>
        </w:rPr>
        <w:fldChar w:fldCharType="end"/>
      </w:r>
      <w:r w:rsidR="005B425E">
        <w:rPr>
          <w:rFonts w:ascii="Times New Roman" w:hAnsi="Times New Roman" w:cs="Times New Roman"/>
          <w:sz w:val="20"/>
          <w:szCs w:val="20"/>
        </w:rPr>
        <w:t xml:space="preserve">. </w:t>
      </w:r>
      <w:r w:rsidRPr="001D21D4">
        <w:rPr>
          <w:rFonts w:ascii="Times New Roman" w:hAnsi="Times New Roman" w:cs="Times New Roman"/>
          <w:sz w:val="20"/>
          <w:szCs w:val="20"/>
        </w:rPr>
        <w:t xml:space="preserve">This uncoupling prevented catastrophic forgetting of foundational semantic concepts within the text encoder while allowing the U-Net to rapidly assimilate the unique visual characteristics of hematological smears. The optimization trajectory was driven by the </w:t>
      </w:r>
      <w:r w:rsidRPr="005549B9">
        <w:rPr>
          <w:rFonts w:ascii="Times New Roman" w:hAnsi="Times New Roman" w:cs="Times New Roman"/>
          <w:sz w:val="20"/>
          <w:szCs w:val="20"/>
        </w:rPr>
        <w:t>Lion optimizer</w:t>
      </w:r>
      <w:r w:rsidR="005549B9">
        <w:rPr>
          <w:rFonts w:ascii="Times New Roman" w:hAnsi="Times New Roman" w:cs="Times New Roman"/>
          <w:sz w:val="20"/>
          <w:szCs w:val="20"/>
        </w:rPr>
        <w:fldChar w:fldCharType="begin"/>
      </w:r>
      <w:r w:rsidR="005549B9">
        <w:rPr>
          <w:rFonts w:ascii="Times New Roman" w:hAnsi="Times New Roman" w:cs="Times New Roman"/>
          <w:sz w:val="20"/>
          <w:szCs w:val="20"/>
        </w:rPr>
        <w:instrText xml:space="preserve"> ADDIN EN.CITE &lt;EndNote&gt;&lt;Cite&gt;&lt;Author&gt;Chen&lt;/Author&gt;&lt;Year&gt;2023&lt;/Year&gt;&lt;RecNum&gt;585&lt;/RecNum&gt;&lt;DisplayText&gt;&lt;style face="superscript"&gt;8&lt;/style&gt;&lt;/DisplayText&gt;&lt;record&gt;&lt;rec-number&gt;585&lt;/rec-number&gt;&lt;foreign-keys&gt;&lt;key app="EN" db-id="0azeet5dsvd0fiedwfqvwt2jp9d5stfsrwvw" timestamp="1784032718"&gt;585&lt;/key&gt;&lt;/foreign-keys&gt;&lt;ref-type name="Journal Article"&gt;17&lt;/ref-type&gt;&lt;contributors&gt;&lt;authors&gt;&lt;author&gt;Chen, Xiangning&lt;/author&gt;&lt;author&gt;Liang, Chen&lt;/author&gt;&lt;author&gt;Huang, Da&lt;/author&gt;&lt;author&gt;Real, Esteban&lt;/author&gt;&lt;author&gt;Wang, Kaiyuan&lt;/author&gt;&lt;author&gt;Pham, Hieu&lt;/author&gt;&lt;author&gt;Dong, Xuanyi&lt;/author&gt;&lt;author&gt;Luong, Thang&lt;/author&gt;&lt;author&gt;Hsieh, Cho-Jui&lt;/author&gt;&lt;author&gt;Lu, Yifeng&lt;/author&gt;&lt;/authors&gt;&lt;/contributors&gt;&lt;titles&gt;&lt;title&gt;Symbolic discovery of optimization algorithms&lt;/title&gt;&lt;secondary-title&gt;Advances in neural information processing systems&lt;/secondary-title&gt;&lt;/titles&gt;&lt;periodical&gt;&lt;full-title&gt;Advances in neural information processing systems&lt;/full-title&gt;&lt;/periodical&gt;&lt;pages&gt;49205-49233&lt;/pages&gt;&lt;volume&gt;36&lt;/volume&gt;&lt;dates&gt;&lt;year&gt;2023&lt;/year&gt;&lt;/dates&gt;&lt;urls&gt;&lt;/urls&gt;&lt;/record&gt;&lt;/Cite&gt;&lt;/EndNote&gt;</w:instrText>
      </w:r>
      <w:r w:rsidR="005549B9">
        <w:rPr>
          <w:rFonts w:ascii="Times New Roman" w:hAnsi="Times New Roman" w:cs="Times New Roman"/>
          <w:sz w:val="20"/>
          <w:szCs w:val="20"/>
        </w:rPr>
        <w:fldChar w:fldCharType="separate"/>
      </w:r>
      <w:r w:rsidR="005549B9" w:rsidRPr="005549B9">
        <w:rPr>
          <w:rFonts w:ascii="Times New Roman" w:hAnsi="Times New Roman" w:cs="Times New Roman"/>
          <w:noProof/>
          <w:sz w:val="20"/>
          <w:szCs w:val="20"/>
          <w:vertAlign w:val="superscript"/>
        </w:rPr>
        <w:t>8</w:t>
      </w:r>
      <w:r w:rsidR="005549B9">
        <w:rPr>
          <w:rFonts w:ascii="Times New Roman" w:hAnsi="Times New Roman" w:cs="Times New Roman"/>
          <w:sz w:val="20"/>
          <w:szCs w:val="20"/>
        </w:rPr>
        <w:fldChar w:fldCharType="end"/>
      </w:r>
      <w:r w:rsidRPr="001D21D4">
        <w:rPr>
          <w:rFonts w:ascii="Times New Roman" w:hAnsi="Times New Roman" w:cs="Times New Roman"/>
          <w:sz w:val="20"/>
          <w:szCs w:val="20"/>
        </w:rPr>
        <w:t xml:space="preserve">, significantly reducing the VRAM footprint without compromising weight update precision. Furthermore, a </w:t>
      </w:r>
      <w:r w:rsidRPr="001D21D4">
        <w:rPr>
          <w:rFonts w:ascii="Times New Roman" w:hAnsi="Times New Roman" w:cs="Times New Roman"/>
          <w:b/>
          <w:bCs/>
          <w:sz w:val="20"/>
          <w:szCs w:val="20"/>
        </w:rPr>
        <w:t>CLIP skip value of 2</w:t>
      </w:r>
      <w:r w:rsidRPr="001D21D4">
        <w:rPr>
          <w:rFonts w:ascii="Times New Roman" w:hAnsi="Times New Roman" w:cs="Times New Roman"/>
          <w:sz w:val="20"/>
          <w:szCs w:val="20"/>
        </w:rPr>
        <w:t xml:space="preserve"> was utilized to extract feature representations from the penultimate layer of the text encoder. This bypassed the final, highly abstracted layer, capturing the richer, more granular semantic embeddings required for non-photographic, microscopic cellular pathology.</w:t>
      </w:r>
    </w:p>
    <w:p w14:paraId="3DE19A04" w14:textId="77777777" w:rsidR="001D21D4" w:rsidRPr="001D21D4" w:rsidRDefault="001D21D4" w:rsidP="001D21D4">
      <w:pPr>
        <w:rPr>
          <w:rFonts w:ascii="Times New Roman" w:hAnsi="Times New Roman" w:cs="Times New Roman"/>
          <w:sz w:val="20"/>
          <w:szCs w:val="20"/>
        </w:rPr>
      </w:pPr>
      <w:r w:rsidRPr="001D21D4">
        <w:rPr>
          <w:rFonts w:ascii="Times New Roman" w:hAnsi="Times New Roman" w:cs="Times New Roman"/>
          <w:b/>
          <w:bCs/>
          <w:sz w:val="20"/>
          <w:szCs w:val="20"/>
        </w:rPr>
        <w:t>Sampling Dynamics</w:t>
      </w:r>
    </w:p>
    <w:p w14:paraId="08CD6269" w14:textId="6F2ED1EE" w:rsidR="00830EDA" w:rsidRPr="001D21D4" w:rsidRDefault="001D21D4" w:rsidP="001D21D4">
      <w:pPr>
        <w:rPr>
          <w:rFonts w:ascii="Times New Roman" w:hAnsi="Times New Roman" w:cs="Times New Roman"/>
          <w:sz w:val="20"/>
          <w:szCs w:val="20"/>
        </w:rPr>
      </w:pPr>
      <w:r w:rsidRPr="001D21D4">
        <w:rPr>
          <w:rFonts w:ascii="Times New Roman" w:hAnsi="Times New Roman" w:cs="Times New Roman"/>
          <w:sz w:val="20"/>
          <w:szCs w:val="20"/>
        </w:rPr>
        <w:t>During inference, latent representations were decoded to a standardized spatial resolution of 512</w:t>
      </w:r>
      <w:r w:rsidR="00060C7A">
        <w:rPr>
          <w:rFonts w:ascii="Times New Roman" w:hAnsi="Times New Roman" w:cs="Times New Roman"/>
          <w:sz w:val="20"/>
          <w:szCs w:val="20"/>
        </w:rPr>
        <w:t>x</w:t>
      </w:r>
      <w:r w:rsidRPr="001D21D4">
        <w:rPr>
          <w:rFonts w:ascii="Times New Roman" w:hAnsi="Times New Roman" w:cs="Times New Roman"/>
          <w:sz w:val="20"/>
          <w:szCs w:val="20"/>
        </w:rPr>
        <w:t xml:space="preserve">512 pixels using dynamic aspect ratio bucketing. To iteratively denoise the latent space, we employed the </w:t>
      </w:r>
      <w:r w:rsidRPr="001D21D4">
        <w:rPr>
          <w:rFonts w:ascii="Times New Roman" w:hAnsi="Times New Roman" w:cs="Times New Roman"/>
          <w:b/>
          <w:bCs/>
          <w:sz w:val="20"/>
          <w:szCs w:val="20"/>
        </w:rPr>
        <w:t>DPM++ 2M Karras</w:t>
      </w:r>
      <w:r w:rsidRPr="001D21D4">
        <w:rPr>
          <w:rFonts w:ascii="Times New Roman" w:hAnsi="Times New Roman" w:cs="Times New Roman"/>
          <w:sz w:val="20"/>
          <w:szCs w:val="20"/>
        </w:rPr>
        <w:t xml:space="preserve"> sampling algorithm over </w:t>
      </w:r>
      <w:r w:rsidRPr="005549B9">
        <w:rPr>
          <w:rFonts w:ascii="Times New Roman" w:hAnsi="Times New Roman" w:cs="Times New Roman"/>
          <w:sz w:val="20"/>
          <w:szCs w:val="20"/>
        </w:rPr>
        <w:t>20 discrete steps</w:t>
      </w:r>
      <w:r w:rsidR="00F72FAA">
        <w:rPr>
          <w:rFonts w:ascii="Times New Roman" w:hAnsi="Times New Roman" w:cs="Times New Roman"/>
          <w:sz w:val="20"/>
          <w:szCs w:val="20"/>
        </w:rPr>
        <w:fldChar w:fldCharType="begin"/>
      </w:r>
      <w:r w:rsidR="00F72FAA">
        <w:rPr>
          <w:rFonts w:ascii="Times New Roman" w:hAnsi="Times New Roman" w:cs="Times New Roman"/>
          <w:sz w:val="20"/>
          <w:szCs w:val="20"/>
        </w:rPr>
        <w:instrText xml:space="preserve"> ADDIN EN.CITE &lt;EndNote&gt;&lt;Cite&gt;&lt;Author&gt;Lu&lt;/Author&gt;&lt;Year&gt;2025&lt;/Year&gt;&lt;RecNum&gt;586&lt;/RecNum&gt;&lt;DisplayText&gt;&lt;style face="superscript"&gt;9,10&lt;/style&gt;&lt;/DisplayText&gt;&lt;record&gt;&lt;rec-number&gt;586&lt;/rec-number&gt;&lt;foreign-keys&gt;&lt;key app="EN" db-id="0azeet5dsvd0fiedwfqvwt2jp9d5stfsrwvw" timestamp="1784032871"&gt;586&lt;/key&gt;&lt;/foreign-keys&gt;&lt;ref-type name="Journal Article"&gt;17&lt;/ref-type&gt;&lt;contributors&gt;&lt;authors&gt;&lt;author&gt;Lu, Cheng&lt;/author&gt;&lt;author&gt;Zhou, Yuhao&lt;/author&gt;&lt;author&gt;Bao, Fan&lt;/author&gt;&lt;author&gt;Chen, Jianfei&lt;/author&gt;&lt;author&gt;Li, Chongxuan&lt;/author&gt;&lt;author&gt;Zhu, Jun&lt;/author&gt;&lt;/authors&gt;&lt;/contributors&gt;&lt;titles&gt;&lt;title&gt;Dpm-solver++: Fast solver for guided sampling of diffusion probabilistic models&lt;/title&gt;&lt;secondary-title&gt;Machine Intelligence Research&lt;/secondary-title&gt;&lt;/titles&gt;&lt;periodical&gt;&lt;full-title&gt;Machine Intelligence Research&lt;/full-title&gt;&lt;/periodical&gt;&lt;pages&gt;730-751&lt;/pages&gt;&lt;volume&gt;22&lt;/volume&gt;&lt;number&gt;4&lt;/number&gt;&lt;dates&gt;&lt;year&gt;2025&lt;/year&gt;&lt;/dates&gt;&lt;isbn&gt;2731-538X&lt;/isbn&gt;&lt;urls&gt;&lt;/urls&gt;&lt;/record&gt;&lt;/Cite&gt;&lt;Cite&gt;&lt;Author&gt;Karras&lt;/Author&gt;&lt;Year&gt;2022&lt;/Year&gt;&lt;RecNum&gt;587&lt;/RecNum&gt;&lt;record&gt;&lt;rec-number&gt;587&lt;/rec-number&gt;&lt;foreign-keys&gt;&lt;key app="EN" db-id="0azeet5dsvd0fiedwfqvwt2jp9d5stfsrwvw" timestamp="1784033060"&gt;587&lt;/key&gt;&lt;/foreign-keys&gt;&lt;ref-type name="Journal Article"&gt;17&lt;/ref-type&gt;&lt;contributors&gt;&lt;authors&gt;&lt;author&gt;Karras, Tero&lt;/author&gt;&lt;author&gt;Aittala, Miika&lt;/author&gt;&lt;author&gt;Aila, Timo&lt;/author&gt;&lt;author&gt;Laine, Samuli&lt;/author&gt;&lt;/authors&gt;&lt;/contributors&gt;&lt;titles&gt;&lt;title&gt;Elucidating the design space of diffusion-based generative models&lt;/title&gt;&lt;secondary-title&gt;Advances in neural information processing systems&lt;/secondary-title&gt;&lt;/titles&gt;&lt;periodical&gt;&lt;full-title&gt;Advances in neural information processing systems&lt;/full-title&gt;&lt;/periodical&gt;&lt;pages&gt;26565-26577&lt;/pages&gt;&lt;volume&gt;35&lt;/volume&gt;&lt;dates&gt;&lt;year&gt;2022&lt;/year&gt;&lt;/dates&gt;&lt;urls&gt;&lt;/urls&gt;&lt;/record&gt;&lt;/Cite&gt;&lt;/EndNote&gt;</w:instrText>
      </w:r>
      <w:r w:rsidR="00F72FAA">
        <w:rPr>
          <w:rFonts w:ascii="Times New Roman" w:hAnsi="Times New Roman" w:cs="Times New Roman"/>
          <w:sz w:val="20"/>
          <w:szCs w:val="20"/>
        </w:rPr>
        <w:fldChar w:fldCharType="separate"/>
      </w:r>
      <w:r w:rsidR="00F72FAA" w:rsidRPr="00F72FAA">
        <w:rPr>
          <w:rFonts w:ascii="Times New Roman" w:hAnsi="Times New Roman" w:cs="Times New Roman"/>
          <w:noProof/>
          <w:sz w:val="20"/>
          <w:szCs w:val="20"/>
          <w:vertAlign w:val="superscript"/>
        </w:rPr>
        <w:t>9,10</w:t>
      </w:r>
      <w:r w:rsidR="00F72FAA">
        <w:rPr>
          <w:rFonts w:ascii="Times New Roman" w:hAnsi="Times New Roman" w:cs="Times New Roman"/>
          <w:sz w:val="20"/>
          <w:szCs w:val="20"/>
        </w:rPr>
        <w:fldChar w:fldCharType="end"/>
      </w:r>
      <w:r w:rsidRPr="001D21D4">
        <w:rPr>
          <w:rFonts w:ascii="Times New Roman" w:hAnsi="Times New Roman" w:cs="Times New Roman"/>
          <w:sz w:val="20"/>
          <w:szCs w:val="20"/>
        </w:rPr>
        <w:t xml:space="preserve">. This specific differential equation solver was selected for its superior convergence properties in rendering high-frequency biological details. Crucially, the </w:t>
      </w:r>
      <w:r w:rsidRPr="001D21D4">
        <w:rPr>
          <w:rFonts w:ascii="Times New Roman" w:hAnsi="Times New Roman" w:cs="Times New Roman"/>
          <w:b/>
          <w:bCs/>
          <w:sz w:val="20"/>
          <w:szCs w:val="20"/>
        </w:rPr>
        <w:t>denoising strength was fixed at 0.75</w:t>
      </w:r>
      <w:r w:rsidRPr="001D21D4">
        <w:rPr>
          <w:rFonts w:ascii="Times New Roman" w:hAnsi="Times New Roman" w:cs="Times New Roman"/>
          <w:sz w:val="20"/>
          <w:szCs w:val="20"/>
        </w:rPr>
        <w:t xml:space="preserve">; empirical evaluation determined this threshold optimally preserved the fundamental geometric footprint of the original source cell while granting the U-Net sufficient generative freedom to mutate internal pathological features according to the </w:t>
      </w:r>
      <w:proofErr w:type="spellStart"/>
      <w:r w:rsidRPr="001D21D4">
        <w:rPr>
          <w:rFonts w:ascii="Times New Roman" w:hAnsi="Times New Roman" w:cs="Times New Roman"/>
          <w:sz w:val="20"/>
          <w:szCs w:val="20"/>
        </w:rPr>
        <w:t>LoRA</w:t>
      </w:r>
      <w:proofErr w:type="spellEnd"/>
      <w:r w:rsidRPr="001D21D4">
        <w:rPr>
          <w:rFonts w:ascii="Times New Roman" w:hAnsi="Times New Roman" w:cs="Times New Roman"/>
          <w:sz w:val="20"/>
          <w:szCs w:val="20"/>
        </w:rPr>
        <w:t xml:space="preserve"> constraints and specific text prompts (</w:t>
      </w:r>
      <w:r w:rsidRPr="001D21D4">
        <w:rPr>
          <w:rFonts w:ascii="Times New Roman" w:hAnsi="Times New Roman" w:cs="Times New Roman"/>
          <w:b/>
          <w:bCs/>
          <w:sz w:val="20"/>
          <w:szCs w:val="20"/>
        </w:rPr>
        <w:t>Supplementary Table S1</w:t>
      </w:r>
      <w:r w:rsidRPr="001D21D4">
        <w:rPr>
          <w:rFonts w:ascii="Times New Roman" w:hAnsi="Times New Roman" w:cs="Times New Roman"/>
          <w:sz w:val="20"/>
          <w:szCs w:val="20"/>
        </w:rPr>
        <w:t>).</w:t>
      </w:r>
    </w:p>
    <w:p w14:paraId="54AD59EF" w14:textId="03A87299" w:rsidR="00244B12" w:rsidRDefault="00244B12" w:rsidP="00B923BC">
      <w:pPr>
        <w:rPr>
          <w:rFonts w:ascii="Times New Roman" w:hAnsi="Times New Roman" w:cs="Times New Roman"/>
          <w:sz w:val="20"/>
          <w:szCs w:val="20"/>
        </w:rPr>
      </w:pPr>
      <w:r w:rsidRPr="00244B12">
        <w:rPr>
          <w:rFonts w:ascii="Times New Roman" w:hAnsi="Times New Roman" w:cs="Times New Roman"/>
          <w:b/>
          <w:bCs/>
          <w:sz w:val="20"/>
          <w:szCs w:val="20"/>
        </w:rPr>
        <w:t>Table S1:</w:t>
      </w:r>
      <w:r w:rsidRPr="00244B12">
        <w:rPr>
          <w:rFonts w:ascii="Times New Roman" w:hAnsi="Times New Roman" w:cs="Times New Roman"/>
          <w:sz w:val="20"/>
          <w:szCs w:val="20"/>
        </w:rPr>
        <w:t xml:space="preserve"> Textual Inversion and </w:t>
      </w:r>
      <w:proofErr w:type="spellStart"/>
      <w:r w:rsidRPr="00244B12">
        <w:rPr>
          <w:rFonts w:ascii="Times New Roman" w:hAnsi="Times New Roman" w:cs="Times New Roman"/>
          <w:sz w:val="20"/>
          <w:szCs w:val="20"/>
        </w:rPr>
        <w:t>LoRA</w:t>
      </w:r>
      <w:proofErr w:type="spellEnd"/>
      <w:r w:rsidRPr="00244B12">
        <w:rPr>
          <w:rFonts w:ascii="Times New Roman" w:hAnsi="Times New Roman" w:cs="Times New Roman"/>
          <w:sz w:val="20"/>
          <w:szCs w:val="20"/>
        </w:rPr>
        <w:t xml:space="preserve"> Conditioning Parameters Used for Generative Cohort Expansion.</w:t>
      </w:r>
    </w:p>
    <w:tbl>
      <w:tblPr>
        <w:tblStyle w:val="TableGrid"/>
        <w:tblW w:w="0" w:type="auto"/>
        <w:tblLook w:val="04A0" w:firstRow="1" w:lastRow="0" w:firstColumn="1" w:lastColumn="0" w:noHBand="0" w:noVBand="1"/>
      </w:tblPr>
      <w:tblGrid>
        <w:gridCol w:w="707"/>
        <w:gridCol w:w="2568"/>
        <w:gridCol w:w="5741"/>
      </w:tblGrid>
      <w:tr w:rsidR="001315E1" w14:paraId="143C58E0" w14:textId="77777777" w:rsidTr="001315E1">
        <w:tc>
          <w:tcPr>
            <w:tcW w:w="707" w:type="dxa"/>
          </w:tcPr>
          <w:p w14:paraId="35469E88" w14:textId="25110209" w:rsidR="00F0540D" w:rsidRDefault="00F0540D" w:rsidP="00B923BC">
            <w:pPr>
              <w:rPr>
                <w:rFonts w:ascii="Times New Roman" w:hAnsi="Times New Roman" w:cs="Times New Roman"/>
                <w:sz w:val="20"/>
                <w:szCs w:val="20"/>
              </w:rPr>
            </w:pPr>
            <w:r>
              <w:rPr>
                <w:rFonts w:ascii="Times New Roman" w:hAnsi="Times New Roman" w:cs="Times New Roman"/>
                <w:sz w:val="20"/>
                <w:szCs w:val="20"/>
              </w:rPr>
              <w:t>Label</w:t>
            </w:r>
          </w:p>
        </w:tc>
        <w:tc>
          <w:tcPr>
            <w:tcW w:w="2568" w:type="dxa"/>
          </w:tcPr>
          <w:p w14:paraId="713CA4FD" w14:textId="1EB06275" w:rsidR="00F0540D" w:rsidRDefault="00F0540D" w:rsidP="00B923BC">
            <w:pPr>
              <w:rPr>
                <w:rFonts w:ascii="Times New Roman" w:hAnsi="Times New Roman" w:cs="Times New Roman"/>
                <w:sz w:val="20"/>
                <w:szCs w:val="20"/>
              </w:rPr>
            </w:pPr>
            <w:r>
              <w:rPr>
                <w:rFonts w:ascii="Times New Roman" w:hAnsi="Times New Roman" w:cs="Times New Roman"/>
                <w:sz w:val="20"/>
                <w:szCs w:val="20"/>
              </w:rPr>
              <w:t>Leukocyte type</w:t>
            </w:r>
          </w:p>
        </w:tc>
        <w:tc>
          <w:tcPr>
            <w:tcW w:w="5741" w:type="dxa"/>
          </w:tcPr>
          <w:p w14:paraId="3E927918" w14:textId="39666B72" w:rsidR="00F0540D" w:rsidRDefault="00F0540D" w:rsidP="00B923BC">
            <w:pPr>
              <w:rPr>
                <w:rFonts w:ascii="Times New Roman" w:hAnsi="Times New Roman" w:cs="Times New Roman"/>
                <w:sz w:val="20"/>
                <w:szCs w:val="20"/>
              </w:rPr>
            </w:pPr>
            <w:r>
              <w:rPr>
                <w:rFonts w:ascii="Times New Roman" w:hAnsi="Times New Roman" w:cs="Times New Roman"/>
                <w:sz w:val="20"/>
                <w:szCs w:val="20"/>
              </w:rPr>
              <w:t>Text prompt</w:t>
            </w:r>
          </w:p>
        </w:tc>
      </w:tr>
      <w:tr w:rsidR="001315E1" w14:paraId="018A7F20" w14:textId="77777777" w:rsidTr="001315E1">
        <w:tc>
          <w:tcPr>
            <w:tcW w:w="707" w:type="dxa"/>
          </w:tcPr>
          <w:p w14:paraId="6A2A43F7" w14:textId="1BC67883" w:rsidR="00F0540D" w:rsidRDefault="00F0540D" w:rsidP="00B923BC">
            <w:pPr>
              <w:rPr>
                <w:rFonts w:ascii="Times New Roman" w:hAnsi="Times New Roman" w:cs="Times New Roman"/>
                <w:sz w:val="20"/>
                <w:szCs w:val="20"/>
              </w:rPr>
            </w:pPr>
            <w:r>
              <w:rPr>
                <w:rFonts w:ascii="Times New Roman" w:hAnsi="Times New Roman" w:cs="Times New Roman"/>
                <w:sz w:val="20"/>
                <w:szCs w:val="20"/>
              </w:rPr>
              <w:t>00</w:t>
            </w:r>
          </w:p>
        </w:tc>
        <w:tc>
          <w:tcPr>
            <w:tcW w:w="2568" w:type="dxa"/>
          </w:tcPr>
          <w:p w14:paraId="727E5C94" w14:textId="0A300581" w:rsidR="00F0540D" w:rsidRPr="00EE0AAD" w:rsidRDefault="00F0540D" w:rsidP="00B923BC">
            <w:pPr>
              <w:rPr>
                <w:rFonts w:ascii="Times New Roman" w:hAnsi="Times New Roman" w:cs="Times New Roman"/>
                <w:b/>
                <w:bCs/>
                <w:sz w:val="20"/>
                <w:szCs w:val="20"/>
              </w:rPr>
            </w:pPr>
            <w:r w:rsidRPr="00EE0AAD">
              <w:rPr>
                <w:rFonts w:ascii="Times New Roman" w:hAnsi="Times New Roman" w:cs="Times New Roman"/>
                <w:b/>
                <w:bCs/>
                <w:sz w:val="20"/>
                <w:szCs w:val="20"/>
              </w:rPr>
              <w:t xml:space="preserve">Monocytes </w:t>
            </w:r>
          </w:p>
        </w:tc>
        <w:tc>
          <w:tcPr>
            <w:tcW w:w="5741" w:type="dxa"/>
          </w:tcPr>
          <w:p w14:paraId="74B291A6" w14:textId="3C200C68" w:rsidR="00F0540D" w:rsidRDefault="00F0540D" w:rsidP="00B923BC">
            <w:pPr>
              <w:rPr>
                <w:rFonts w:ascii="Times New Roman" w:hAnsi="Times New Roman" w:cs="Times New Roman"/>
                <w:sz w:val="20"/>
                <w:szCs w:val="20"/>
              </w:rPr>
            </w:pPr>
            <w:r w:rsidRPr="00F0540D">
              <w:rPr>
                <w:rFonts w:ascii="Times New Roman" w:hAnsi="Times New Roman" w:cs="Times New Roman"/>
                <w:sz w:val="20"/>
                <w:szCs w:val="20"/>
              </w:rPr>
              <w:t>Monocytes with oval or kidney-shaped nucleus, loose chromatin, without nucleoli, abundant pale blue cytoplasm, irregular shape, smooth edges, well-defined boundaries, microscope-style.</w:t>
            </w:r>
          </w:p>
        </w:tc>
      </w:tr>
      <w:tr w:rsidR="001315E1" w14:paraId="4F03B966" w14:textId="77777777" w:rsidTr="001315E1">
        <w:tc>
          <w:tcPr>
            <w:tcW w:w="707" w:type="dxa"/>
          </w:tcPr>
          <w:p w14:paraId="393B9ECE" w14:textId="24678258" w:rsidR="00F0540D" w:rsidRDefault="00F0540D" w:rsidP="00B923BC">
            <w:pPr>
              <w:rPr>
                <w:rFonts w:ascii="Times New Roman" w:hAnsi="Times New Roman" w:cs="Times New Roman"/>
                <w:sz w:val="20"/>
                <w:szCs w:val="20"/>
              </w:rPr>
            </w:pPr>
            <w:r>
              <w:rPr>
                <w:rFonts w:ascii="Times New Roman" w:hAnsi="Times New Roman" w:cs="Times New Roman"/>
                <w:sz w:val="20"/>
                <w:szCs w:val="20"/>
              </w:rPr>
              <w:t>01</w:t>
            </w:r>
          </w:p>
        </w:tc>
        <w:tc>
          <w:tcPr>
            <w:tcW w:w="2568" w:type="dxa"/>
          </w:tcPr>
          <w:p w14:paraId="3F4816CF" w14:textId="5318916C"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Lymphocytes</w:t>
            </w:r>
          </w:p>
        </w:tc>
        <w:tc>
          <w:tcPr>
            <w:tcW w:w="5741" w:type="dxa"/>
          </w:tcPr>
          <w:p w14:paraId="4B9FDD90" w14:textId="507E01A4" w:rsidR="00F0540D" w:rsidRDefault="00D92494" w:rsidP="00B923BC">
            <w:pPr>
              <w:rPr>
                <w:rFonts w:ascii="Times New Roman" w:hAnsi="Times New Roman" w:cs="Times New Roman"/>
                <w:sz w:val="20"/>
                <w:szCs w:val="20"/>
              </w:rPr>
            </w:pPr>
            <w:r w:rsidRPr="00D92494">
              <w:rPr>
                <w:rFonts w:ascii="Times New Roman" w:hAnsi="Times New Roman" w:cs="Times New Roman"/>
                <w:sz w:val="20"/>
                <w:szCs w:val="20"/>
              </w:rPr>
              <w:t>Lymphocytes with round nucleus, dense chromatin, minimal cytoplasm, pale blue cytoplasm, small size, smooth edges, well-defined boundaries, microscope-style.</w:t>
            </w:r>
          </w:p>
        </w:tc>
      </w:tr>
      <w:tr w:rsidR="001315E1" w14:paraId="0846C3C3" w14:textId="77777777" w:rsidTr="001315E1">
        <w:tc>
          <w:tcPr>
            <w:tcW w:w="707" w:type="dxa"/>
          </w:tcPr>
          <w:p w14:paraId="5CEC60F5" w14:textId="4B9E5741" w:rsidR="00F0540D" w:rsidRDefault="00F0540D" w:rsidP="00B923BC">
            <w:pPr>
              <w:rPr>
                <w:rFonts w:ascii="Times New Roman" w:hAnsi="Times New Roman" w:cs="Times New Roman"/>
                <w:sz w:val="20"/>
                <w:szCs w:val="20"/>
              </w:rPr>
            </w:pPr>
            <w:r>
              <w:rPr>
                <w:rFonts w:ascii="Times New Roman" w:hAnsi="Times New Roman" w:cs="Times New Roman"/>
                <w:sz w:val="20"/>
                <w:szCs w:val="20"/>
              </w:rPr>
              <w:t>02</w:t>
            </w:r>
          </w:p>
        </w:tc>
        <w:tc>
          <w:tcPr>
            <w:tcW w:w="2568" w:type="dxa"/>
          </w:tcPr>
          <w:p w14:paraId="73508E36" w14:textId="6965C642"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Eosinophils</w:t>
            </w:r>
          </w:p>
        </w:tc>
        <w:tc>
          <w:tcPr>
            <w:tcW w:w="5741" w:type="dxa"/>
          </w:tcPr>
          <w:p w14:paraId="746CAD71" w14:textId="2DCC0D35" w:rsidR="00F0540D" w:rsidRDefault="00D92494" w:rsidP="00B923BC">
            <w:pPr>
              <w:rPr>
                <w:rFonts w:ascii="Times New Roman" w:hAnsi="Times New Roman" w:cs="Times New Roman"/>
                <w:sz w:val="20"/>
                <w:szCs w:val="20"/>
              </w:rPr>
            </w:pPr>
            <w:r w:rsidRPr="00D92494">
              <w:rPr>
                <w:rFonts w:ascii="Times New Roman" w:hAnsi="Times New Roman" w:cs="Times New Roman"/>
                <w:sz w:val="20"/>
                <w:szCs w:val="20"/>
              </w:rPr>
              <w:t>Eosinophils with bilobed nuclei, coarse chromatin, prominent cytoplasmic granules, without nucleoli, abundant cytoplasm, bright eosinophilic (pink/red) granules, granules evenly distributed, background of pale staining, round or slightly oval shape, cells with well-defined boundaries, soft and smooth edges, microscope-style</w:t>
            </w:r>
          </w:p>
        </w:tc>
      </w:tr>
      <w:tr w:rsidR="001315E1" w14:paraId="12E9C8E8" w14:textId="77777777" w:rsidTr="001315E1">
        <w:tc>
          <w:tcPr>
            <w:tcW w:w="707" w:type="dxa"/>
          </w:tcPr>
          <w:p w14:paraId="1DD0BF1F" w14:textId="7D6105C1" w:rsidR="00F0540D" w:rsidRDefault="00F0540D" w:rsidP="00B923BC">
            <w:pPr>
              <w:rPr>
                <w:rFonts w:ascii="Times New Roman" w:hAnsi="Times New Roman" w:cs="Times New Roman"/>
                <w:sz w:val="20"/>
                <w:szCs w:val="20"/>
              </w:rPr>
            </w:pPr>
            <w:r>
              <w:rPr>
                <w:rFonts w:ascii="Times New Roman" w:hAnsi="Times New Roman" w:cs="Times New Roman"/>
                <w:sz w:val="20"/>
                <w:szCs w:val="20"/>
              </w:rPr>
              <w:t>03</w:t>
            </w:r>
          </w:p>
        </w:tc>
        <w:tc>
          <w:tcPr>
            <w:tcW w:w="2568" w:type="dxa"/>
          </w:tcPr>
          <w:p w14:paraId="6C40D356" w14:textId="192DB568"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Basophils</w:t>
            </w:r>
          </w:p>
        </w:tc>
        <w:tc>
          <w:tcPr>
            <w:tcW w:w="5741" w:type="dxa"/>
          </w:tcPr>
          <w:p w14:paraId="0DF88A99" w14:textId="150D3918" w:rsidR="00F0540D" w:rsidRDefault="00D92494" w:rsidP="00B923BC">
            <w:pPr>
              <w:rPr>
                <w:rFonts w:ascii="Times New Roman" w:hAnsi="Times New Roman" w:cs="Times New Roman"/>
                <w:sz w:val="20"/>
                <w:szCs w:val="20"/>
              </w:rPr>
            </w:pPr>
            <w:r w:rsidRPr="00D92494">
              <w:rPr>
                <w:rFonts w:ascii="Times New Roman" w:hAnsi="Times New Roman" w:cs="Times New Roman"/>
                <w:sz w:val="20"/>
                <w:szCs w:val="20"/>
              </w:rPr>
              <w:t>Basophils nucleus is often unsegmented or bilobed (which looks like two raindrops connected by a thin thread), coarse chromatin, abundant cytoplasm, dark purple/blue granules, granules densely packed, round/oval shape, spherical in shape, smooth edges, microscope-style.</w:t>
            </w:r>
          </w:p>
        </w:tc>
      </w:tr>
      <w:tr w:rsidR="001315E1" w14:paraId="750935B9" w14:textId="77777777" w:rsidTr="001315E1">
        <w:tc>
          <w:tcPr>
            <w:tcW w:w="707" w:type="dxa"/>
          </w:tcPr>
          <w:p w14:paraId="2DCD1E09" w14:textId="7F451DA7" w:rsidR="00F0540D" w:rsidRDefault="00F0540D" w:rsidP="00B923BC">
            <w:pPr>
              <w:rPr>
                <w:rFonts w:ascii="Times New Roman" w:hAnsi="Times New Roman" w:cs="Times New Roman"/>
                <w:sz w:val="20"/>
                <w:szCs w:val="20"/>
              </w:rPr>
            </w:pPr>
            <w:r>
              <w:rPr>
                <w:rFonts w:ascii="Times New Roman" w:hAnsi="Times New Roman" w:cs="Times New Roman"/>
                <w:sz w:val="20"/>
                <w:szCs w:val="20"/>
              </w:rPr>
              <w:t>04</w:t>
            </w:r>
          </w:p>
        </w:tc>
        <w:tc>
          <w:tcPr>
            <w:tcW w:w="2568" w:type="dxa"/>
          </w:tcPr>
          <w:p w14:paraId="31060A20" w14:textId="04F2CBBD"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Neutrophils</w:t>
            </w:r>
          </w:p>
        </w:tc>
        <w:tc>
          <w:tcPr>
            <w:tcW w:w="5741" w:type="dxa"/>
          </w:tcPr>
          <w:p w14:paraId="4FBF32B5" w14:textId="3EBF2578"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 xml:space="preserve"> </w:t>
            </w:r>
            <w:r w:rsidRPr="00D92494">
              <w:rPr>
                <w:rFonts w:ascii="Times New Roman" w:hAnsi="Times New Roman" w:cs="Times New Roman"/>
                <w:sz w:val="20"/>
                <w:szCs w:val="20"/>
              </w:rPr>
              <w:t>Neutrophils with multilobed nucleus, coarse chromatin, fine pinkish cytoplasm, prominent granules, irregular shape, smooth edges, well-defined boundaries, microscope-style.</w:t>
            </w:r>
          </w:p>
        </w:tc>
      </w:tr>
      <w:tr w:rsidR="001315E1" w14:paraId="1D2AFCF6" w14:textId="77777777" w:rsidTr="001315E1">
        <w:tc>
          <w:tcPr>
            <w:tcW w:w="707" w:type="dxa"/>
          </w:tcPr>
          <w:p w14:paraId="7D5EF097" w14:textId="3210E109" w:rsidR="00F0540D" w:rsidRDefault="00F0540D" w:rsidP="00B923BC">
            <w:pPr>
              <w:rPr>
                <w:rFonts w:ascii="Times New Roman" w:hAnsi="Times New Roman" w:cs="Times New Roman"/>
                <w:sz w:val="20"/>
                <w:szCs w:val="20"/>
              </w:rPr>
            </w:pPr>
            <w:r>
              <w:rPr>
                <w:rFonts w:ascii="Times New Roman" w:hAnsi="Times New Roman" w:cs="Times New Roman"/>
                <w:sz w:val="20"/>
                <w:szCs w:val="20"/>
              </w:rPr>
              <w:t>05</w:t>
            </w:r>
          </w:p>
        </w:tc>
        <w:tc>
          <w:tcPr>
            <w:tcW w:w="2568" w:type="dxa"/>
          </w:tcPr>
          <w:p w14:paraId="2BAE3DB3" w14:textId="4CCAB6DD" w:rsidR="00D92494" w:rsidRPr="00D92494" w:rsidRDefault="00D92494" w:rsidP="00D92494">
            <w:pPr>
              <w:rPr>
                <w:rFonts w:ascii="Times New Roman" w:hAnsi="Times New Roman" w:cs="Times New Roman"/>
                <w:sz w:val="16"/>
                <w:szCs w:val="16"/>
              </w:rPr>
            </w:pPr>
            <w:r w:rsidRPr="00D92494">
              <w:rPr>
                <w:rFonts w:ascii="Times New Roman" w:hAnsi="Times New Roman" w:cs="Times New Roman"/>
                <w:b/>
                <w:bCs/>
                <w:sz w:val="20"/>
                <w:szCs w:val="20"/>
              </w:rPr>
              <w:t>Myeloblast:</w:t>
            </w:r>
            <w:r>
              <w:rPr>
                <w:rFonts w:ascii="Times New Roman" w:hAnsi="Times New Roman" w:cs="Times New Roman"/>
                <w:b/>
                <w:bCs/>
                <w:sz w:val="20"/>
                <w:szCs w:val="20"/>
              </w:rPr>
              <w:t xml:space="preserve"> </w:t>
            </w:r>
            <w:r w:rsidRPr="00D92494">
              <w:rPr>
                <w:rFonts w:ascii="Times New Roman" w:hAnsi="Times New Roman" w:cs="Times New Roman"/>
                <w:sz w:val="18"/>
                <w:szCs w:val="18"/>
              </w:rPr>
              <w:t xml:space="preserve">From </w:t>
            </w:r>
            <w:r w:rsidRPr="00D92494">
              <w:rPr>
                <w:rFonts w:ascii="Times New Roman" w:hAnsi="Times New Roman" w:cs="Times New Roman"/>
                <w:sz w:val="16"/>
                <w:szCs w:val="16"/>
              </w:rPr>
              <w:t>AML-M1 OR AML-M2</w:t>
            </w:r>
            <w:r w:rsidR="00B74880">
              <w:rPr>
                <w:rFonts w:ascii="Times New Roman" w:hAnsi="Times New Roman" w:cs="Times New Roman"/>
                <w:sz w:val="16"/>
                <w:szCs w:val="16"/>
              </w:rPr>
              <w:fldChar w:fldCharType="begin"/>
            </w:r>
            <w:r w:rsidR="00B74880">
              <w:rPr>
                <w:rFonts w:ascii="Times New Roman" w:hAnsi="Times New Roman" w:cs="Times New Roman"/>
                <w:sz w:val="16"/>
                <w:szCs w:val="16"/>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B74880">
              <w:rPr>
                <w:rFonts w:ascii="Times New Roman" w:hAnsi="Times New Roman" w:cs="Times New Roman"/>
                <w:sz w:val="16"/>
                <w:szCs w:val="16"/>
              </w:rPr>
              <w:fldChar w:fldCharType="separate"/>
            </w:r>
            <w:r w:rsidR="00B74880" w:rsidRPr="00B74880">
              <w:rPr>
                <w:rFonts w:ascii="Times New Roman" w:hAnsi="Times New Roman" w:cs="Times New Roman"/>
                <w:noProof/>
                <w:sz w:val="16"/>
                <w:szCs w:val="16"/>
                <w:vertAlign w:val="superscript"/>
              </w:rPr>
              <w:t>2</w:t>
            </w:r>
            <w:r w:rsidR="00B74880">
              <w:rPr>
                <w:rFonts w:ascii="Times New Roman" w:hAnsi="Times New Roman" w:cs="Times New Roman"/>
                <w:sz w:val="16"/>
                <w:szCs w:val="16"/>
              </w:rPr>
              <w:fldChar w:fldCharType="end"/>
            </w:r>
            <w:r w:rsidRPr="00D92494">
              <w:rPr>
                <w:rFonts w:ascii="Times New Roman" w:hAnsi="Times New Roman" w:cs="Times New Roman"/>
                <w:b/>
                <w:bCs/>
                <w:sz w:val="16"/>
                <w:szCs w:val="16"/>
              </w:rPr>
              <w:t xml:space="preserve"> </w:t>
            </w:r>
          </w:p>
          <w:p w14:paraId="3E40D0C2" w14:textId="77777777" w:rsidR="00F0540D" w:rsidRDefault="00F0540D" w:rsidP="00B923BC">
            <w:pPr>
              <w:rPr>
                <w:rFonts w:ascii="Times New Roman" w:hAnsi="Times New Roman" w:cs="Times New Roman"/>
                <w:sz w:val="20"/>
                <w:szCs w:val="20"/>
              </w:rPr>
            </w:pPr>
          </w:p>
        </w:tc>
        <w:tc>
          <w:tcPr>
            <w:tcW w:w="5741" w:type="dxa"/>
          </w:tcPr>
          <w:p w14:paraId="57957EB6" w14:textId="2B0E9E4E" w:rsidR="00F0540D" w:rsidRDefault="00D92494" w:rsidP="00B923BC">
            <w:pPr>
              <w:rPr>
                <w:rFonts w:ascii="Times New Roman" w:hAnsi="Times New Roman" w:cs="Times New Roman"/>
                <w:sz w:val="20"/>
                <w:szCs w:val="20"/>
              </w:rPr>
            </w:pPr>
            <w:r>
              <w:rPr>
                <w:rFonts w:ascii="Times New Roman" w:hAnsi="Times New Roman" w:cs="Times New Roman"/>
                <w:sz w:val="20"/>
                <w:szCs w:val="20"/>
              </w:rPr>
              <w:t>M</w:t>
            </w:r>
            <w:r w:rsidRPr="00D92494">
              <w:rPr>
                <w:rFonts w:ascii="Times New Roman" w:hAnsi="Times New Roman" w:cs="Times New Roman"/>
                <w:sz w:val="20"/>
                <w:szCs w:val="20"/>
              </w:rPr>
              <w:t>yeloblast-dominant marrow, uniform blasts, fine chromatin, nucleoli, scant cytoplasm, rare granules, rare Auer rods, no maturation, microscopy.</w:t>
            </w:r>
          </w:p>
        </w:tc>
      </w:tr>
      <w:tr w:rsidR="001315E1" w14:paraId="56E1E500" w14:textId="77777777" w:rsidTr="001315E1">
        <w:tc>
          <w:tcPr>
            <w:tcW w:w="707" w:type="dxa"/>
          </w:tcPr>
          <w:p w14:paraId="153731FA" w14:textId="2D156BC5" w:rsidR="00F0540D" w:rsidRDefault="00F0540D" w:rsidP="00B923BC">
            <w:pPr>
              <w:rPr>
                <w:rFonts w:ascii="Times New Roman" w:hAnsi="Times New Roman" w:cs="Times New Roman"/>
                <w:sz w:val="20"/>
                <w:szCs w:val="20"/>
              </w:rPr>
            </w:pPr>
            <w:r>
              <w:rPr>
                <w:rFonts w:ascii="Times New Roman" w:hAnsi="Times New Roman" w:cs="Times New Roman"/>
                <w:sz w:val="20"/>
                <w:szCs w:val="20"/>
              </w:rPr>
              <w:t>06</w:t>
            </w:r>
          </w:p>
        </w:tc>
        <w:tc>
          <w:tcPr>
            <w:tcW w:w="2568" w:type="dxa"/>
          </w:tcPr>
          <w:p w14:paraId="0184F7AD" w14:textId="526B4CB6"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Abnormally Promyelocyte:</w:t>
            </w:r>
            <w:r>
              <w:rPr>
                <w:rFonts w:ascii="Times New Roman" w:hAnsi="Times New Roman" w:cs="Times New Roman"/>
                <w:b/>
                <w:bCs/>
                <w:sz w:val="20"/>
                <w:szCs w:val="20"/>
              </w:rPr>
              <w:t xml:space="preserve"> </w:t>
            </w:r>
            <w:r w:rsidRPr="00D92494">
              <w:rPr>
                <w:rFonts w:ascii="Times New Roman" w:hAnsi="Times New Roman" w:cs="Times New Roman"/>
                <w:sz w:val="16"/>
                <w:szCs w:val="16"/>
              </w:rPr>
              <w:t>From</w:t>
            </w:r>
            <w:r>
              <w:rPr>
                <w:rFonts w:ascii="Times New Roman" w:hAnsi="Times New Roman" w:cs="Times New Roman"/>
                <w:sz w:val="16"/>
                <w:szCs w:val="16"/>
              </w:rPr>
              <w:t xml:space="preserve"> </w:t>
            </w:r>
            <w:r w:rsidRPr="00D92494">
              <w:rPr>
                <w:rFonts w:ascii="Times New Roman" w:hAnsi="Times New Roman" w:cs="Times New Roman"/>
                <w:sz w:val="16"/>
                <w:szCs w:val="16"/>
              </w:rPr>
              <w:t>AML</w:t>
            </w:r>
            <w:r>
              <w:rPr>
                <w:rFonts w:ascii="Times New Roman" w:hAnsi="Times New Roman" w:cs="Times New Roman"/>
                <w:sz w:val="16"/>
                <w:szCs w:val="16"/>
              </w:rPr>
              <w:t xml:space="preserve"> </w:t>
            </w:r>
            <w:r w:rsidRPr="00D92494">
              <w:rPr>
                <w:rFonts w:ascii="Times New Roman" w:hAnsi="Times New Roman" w:cs="Times New Roman"/>
                <w:sz w:val="16"/>
                <w:szCs w:val="16"/>
              </w:rPr>
              <w:t>M3</w:t>
            </w:r>
            <w:r w:rsidR="00B74880">
              <w:rPr>
                <w:rFonts w:ascii="Times New Roman" w:hAnsi="Times New Roman" w:cs="Times New Roman"/>
                <w:sz w:val="16"/>
                <w:szCs w:val="16"/>
              </w:rPr>
              <w:fldChar w:fldCharType="begin"/>
            </w:r>
            <w:r w:rsidR="00B74880">
              <w:rPr>
                <w:rFonts w:ascii="Times New Roman" w:hAnsi="Times New Roman" w:cs="Times New Roman"/>
                <w:sz w:val="16"/>
                <w:szCs w:val="16"/>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B74880">
              <w:rPr>
                <w:rFonts w:ascii="Times New Roman" w:hAnsi="Times New Roman" w:cs="Times New Roman"/>
                <w:sz w:val="16"/>
                <w:szCs w:val="16"/>
              </w:rPr>
              <w:fldChar w:fldCharType="separate"/>
            </w:r>
            <w:r w:rsidR="00B74880" w:rsidRPr="00B74880">
              <w:rPr>
                <w:rFonts w:ascii="Times New Roman" w:hAnsi="Times New Roman" w:cs="Times New Roman"/>
                <w:noProof/>
                <w:sz w:val="16"/>
                <w:szCs w:val="16"/>
                <w:vertAlign w:val="superscript"/>
              </w:rPr>
              <w:t>2</w:t>
            </w:r>
            <w:r w:rsidR="00B74880">
              <w:rPr>
                <w:rFonts w:ascii="Times New Roman" w:hAnsi="Times New Roman" w:cs="Times New Roman"/>
                <w:sz w:val="16"/>
                <w:szCs w:val="16"/>
              </w:rPr>
              <w:fldChar w:fldCharType="end"/>
            </w:r>
          </w:p>
        </w:tc>
        <w:tc>
          <w:tcPr>
            <w:tcW w:w="5741" w:type="dxa"/>
          </w:tcPr>
          <w:p w14:paraId="651E4FA2" w14:textId="54484665" w:rsidR="00F0540D" w:rsidRDefault="00D92494" w:rsidP="00B923BC">
            <w:pPr>
              <w:rPr>
                <w:rFonts w:ascii="Times New Roman" w:hAnsi="Times New Roman" w:cs="Times New Roman"/>
                <w:sz w:val="20"/>
                <w:szCs w:val="20"/>
              </w:rPr>
            </w:pPr>
            <w:r w:rsidRPr="00D92494">
              <w:rPr>
                <w:rFonts w:ascii="Times New Roman" w:hAnsi="Times New Roman" w:cs="Times New Roman"/>
                <w:sz w:val="20"/>
                <w:szCs w:val="20"/>
              </w:rPr>
              <w:t xml:space="preserve">Abnormal promyelocyte, abundant coarse azurophilic granules, heavy cytoplasmic granulation, multiple Auer rods, faggot cells with rod bundles, folded or bilobed nuclei, </w:t>
            </w:r>
            <w:proofErr w:type="spellStart"/>
            <w:r w:rsidRPr="00D92494">
              <w:rPr>
                <w:rFonts w:ascii="Times New Roman" w:hAnsi="Times New Roman" w:cs="Times New Roman"/>
                <w:sz w:val="20"/>
                <w:szCs w:val="20"/>
              </w:rPr>
              <w:t>hypergranular</w:t>
            </w:r>
            <w:proofErr w:type="spellEnd"/>
            <w:r w:rsidRPr="00D92494">
              <w:rPr>
                <w:rFonts w:ascii="Times New Roman" w:hAnsi="Times New Roman" w:cs="Times New Roman"/>
                <w:sz w:val="20"/>
                <w:szCs w:val="20"/>
              </w:rPr>
              <w:t xml:space="preserve"> cells, high-detail </w:t>
            </w:r>
            <w:r w:rsidRPr="00D92494">
              <w:rPr>
                <w:rFonts w:ascii="Times New Roman" w:hAnsi="Times New Roman" w:cs="Times New Roman"/>
                <w:sz w:val="20"/>
                <w:szCs w:val="20"/>
              </w:rPr>
              <w:lastRenderedPageBreak/>
              <w:t>marrow smear, hematopathology style.</w:t>
            </w:r>
          </w:p>
        </w:tc>
      </w:tr>
      <w:tr w:rsidR="001315E1" w14:paraId="453C9E77" w14:textId="77777777" w:rsidTr="001315E1">
        <w:tc>
          <w:tcPr>
            <w:tcW w:w="707" w:type="dxa"/>
          </w:tcPr>
          <w:p w14:paraId="331B0C90" w14:textId="4D9ED6A2" w:rsidR="00F0540D" w:rsidRDefault="00F0540D" w:rsidP="00B923BC">
            <w:pPr>
              <w:rPr>
                <w:rFonts w:ascii="Times New Roman" w:hAnsi="Times New Roman" w:cs="Times New Roman"/>
                <w:sz w:val="20"/>
                <w:szCs w:val="20"/>
              </w:rPr>
            </w:pPr>
            <w:r>
              <w:rPr>
                <w:rFonts w:ascii="Times New Roman" w:hAnsi="Times New Roman" w:cs="Times New Roman"/>
                <w:sz w:val="20"/>
                <w:szCs w:val="20"/>
              </w:rPr>
              <w:lastRenderedPageBreak/>
              <w:t>07</w:t>
            </w:r>
          </w:p>
        </w:tc>
        <w:tc>
          <w:tcPr>
            <w:tcW w:w="2568" w:type="dxa"/>
          </w:tcPr>
          <w:p w14:paraId="2FBDC8CE" w14:textId="7ECEF81E" w:rsidR="00F0540D" w:rsidRDefault="00D92494" w:rsidP="00B923BC">
            <w:pPr>
              <w:rPr>
                <w:rFonts w:ascii="Times New Roman" w:hAnsi="Times New Roman" w:cs="Times New Roman"/>
                <w:sz w:val="20"/>
                <w:szCs w:val="20"/>
              </w:rPr>
            </w:pPr>
            <w:r w:rsidRPr="00D92494">
              <w:rPr>
                <w:rFonts w:ascii="Times New Roman" w:hAnsi="Times New Roman" w:cs="Times New Roman"/>
                <w:b/>
                <w:bCs/>
                <w:sz w:val="20"/>
                <w:szCs w:val="20"/>
              </w:rPr>
              <w:t>Pr</w:t>
            </w:r>
            <w:r w:rsidR="00C71AD6">
              <w:rPr>
                <w:rFonts w:ascii="Times New Roman" w:hAnsi="Times New Roman" w:cs="Times New Roman"/>
                <w:b/>
                <w:bCs/>
                <w:sz w:val="20"/>
                <w:szCs w:val="20"/>
              </w:rPr>
              <w:t>o</w:t>
            </w:r>
            <w:r w:rsidRPr="00D92494">
              <w:rPr>
                <w:rFonts w:ascii="Times New Roman" w:hAnsi="Times New Roman" w:cs="Times New Roman"/>
                <w:b/>
                <w:bCs/>
                <w:sz w:val="20"/>
                <w:szCs w:val="20"/>
              </w:rPr>
              <w:t>monocyte:</w:t>
            </w:r>
            <w:r>
              <w:rPr>
                <w:rFonts w:ascii="Times New Roman" w:hAnsi="Times New Roman" w:cs="Times New Roman"/>
                <w:sz w:val="20"/>
                <w:szCs w:val="20"/>
              </w:rPr>
              <w:t xml:space="preserve"> </w:t>
            </w:r>
            <w:r w:rsidRPr="00D92494">
              <w:rPr>
                <w:rFonts w:ascii="Times New Roman" w:hAnsi="Times New Roman" w:cs="Times New Roman"/>
                <w:sz w:val="20"/>
                <w:szCs w:val="20"/>
              </w:rPr>
              <w:t>from AML-M5</w:t>
            </w:r>
            <w:r w:rsidR="00B74880">
              <w:rPr>
                <w:rFonts w:ascii="Times New Roman" w:hAnsi="Times New Roman" w:cs="Times New Roman"/>
                <w:sz w:val="20"/>
                <w:szCs w:val="20"/>
              </w:rPr>
              <w:fldChar w:fldCharType="begin"/>
            </w:r>
            <w:r w:rsidR="00B74880">
              <w:rPr>
                <w:rFonts w:ascii="Times New Roman" w:hAnsi="Times New Roman" w:cs="Times New Roman"/>
                <w:sz w:val="20"/>
                <w:szCs w:val="20"/>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B74880">
              <w:rPr>
                <w:rFonts w:ascii="Times New Roman" w:hAnsi="Times New Roman" w:cs="Times New Roman"/>
                <w:sz w:val="20"/>
                <w:szCs w:val="20"/>
              </w:rPr>
              <w:fldChar w:fldCharType="separate"/>
            </w:r>
            <w:r w:rsidR="00B74880" w:rsidRPr="00B74880">
              <w:rPr>
                <w:rFonts w:ascii="Times New Roman" w:hAnsi="Times New Roman" w:cs="Times New Roman"/>
                <w:noProof/>
                <w:sz w:val="20"/>
                <w:szCs w:val="20"/>
                <w:vertAlign w:val="superscript"/>
              </w:rPr>
              <w:t>2</w:t>
            </w:r>
            <w:r w:rsidR="00B74880">
              <w:rPr>
                <w:rFonts w:ascii="Times New Roman" w:hAnsi="Times New Roman" w:cs="Times New Roman"/>
                <w:sz w:val="20"/>
                <w:szCs w:val="20"/>
              </w:rPr>
              <w:fldChar w:fldCharType="end"/>
            </w:r>
            <w:r w:rsidRPr="00D92494">
              <w:rPr>
                <w:rFonts w:ascii="Times New Roman" w:hAnsi="Times New Roman" w:cs="Times New Roman"/>
                <w:b/>
                <w:bCs/>
                <w:sz w:val="20"/>
                <w:szCs w:val="20"/>
              </w:rPr>
              <w:t xml:space="preserve"> </w:t>
            </w:r>
          </w:p>
        </w:tc>
        <w:tc>
          <w:tcPr>
            <w:tcW w:w="5741" w:type="dxa"/>
          </w:tcPr>
          <w:p w14:paraId="1ECD4E2C" w14:textId="4B6F5F1F" w:rsidR="00F0540D" w:rsidRDefault="00C71AD6" w:rsidP="00B923BC">
            <w:pPr>
              <w:rPr>
                <w:rFonts w:ascii="Times New Roman" w:hAnsi="Times New Roman" w:cs="Times New Roman"/>
                <w:sz w:val="20"/>
                <w:szCs w:val="20"/>
              </w:rPr>
            </w:pPr>
            <w:r w:rsidRPr="00C71AD6">
              <w:rPr>
                <w:rFonts w:ascii="Times New Roman" w:hAnsi="Times New Roman" w:cs="Times New Roman"/>
                <w:sz w:val="20"/>
                <w:szCs w:val="20"/>
              </w:rPr>
              <w:t>Promonocytes, large highly folded and convoluted nuclei, cerebriform nuclear contours, inconspicuous nucleoli, gray-blue cytoplasm with fine azurophilic granules, numerous cytoplasmic vacuoles, pseudopodia, monocytic differentiation, high-detail bone marrow smear, Wright-Giemsa stain, 100x oil immersion brightfield microscopy</w:t>
            </w:r>
          </w:p>
        </w:tc>
      </w:tr>
      <w:tr w:rsidR="001315E1" w14:paraId="7C68F345" w14:textId="77777777" w:rsidTr="001315E1">
        <w:tc>
          <w:tcPr>
            <w:tcW w:w="707" w:type="dxa"/>
          </w:tcPr>
          <w:p w14:paraId="419802B6" w14:textId="5DA1753C" w:rsidR="00F0540D" w:rsidRDefault="00F0540D" w:rsidP="00B923BC">
            <w:pPr>
              <w:rPr>
                <w:rFonts w:ascii="Times New Roman" w:hAnsi="Times New Roman" w:cs="Times New Roman"/>
                <w:sz w:val="20"/>
                <w:szCs w:val="20"/>
              </w:rPr>
            </w:pPr>
            <w:r>
              <w:rPr>
                <w:rFonts w:ascii="Times New Roman" w:hAnsi="Times New Roman" w:cs="Times New Roman"/>
                <w:sz w:val="20"/>
                <w:szCs w:val="20"/>
              </w:rPr>
              <w:t>08</w:t>
            </w:r>
          </w:p>
        </w:tc>
        <w:tc>
          <w:tcPr>
            <w:tcW w:w="2568" w:type="dxa"/>
          </w:tcPr>
          <w:p w14:paraId="7FACE4E4" w14:textId="02989061" w:rsidR="00F0540D" w:rsidRDefault="00D92494" w:rsidP="00B923BC">
            <w:pPr>
              <w:rPr>
                <w:rFonts w:ascii="Times New Roman" w:hAnsi="Times New Roman" w:cs="Times New Roman"/>
                <w:sz w:val="20"/>
                <w:szCs w:val="20"/>
              </w:rPr>
            </w:pPr>
            <w:proofErr w:type="spellStart"/>
            <w:r w:rsidRPr="00D92494">
              <w:rPr>
                <w:rFonts w:ascii="Times New Roman" w:hAnsi="Times New Roman" w:cs="Times New Roman"/>
                <w:b/>
                <w:bCs/>
                <w:sz w:val="20"/>
                <w:szCs w:val="20"/>
              </w:rPr>
              <w:t>Monoblast</w:t>
            </w:r>
            <w:proofErr w:type="spellEnd"/>
            <w:r w:rsidRPr="00D92494">
              <w:rPr>
                <w:rFonts w:ascii="Times New Roman" w:hAnsi="Times New Roman" w:cs="Times New Roman"/>
                <w:b/>
                <w:bCs/>
                <w:sz w:val="20"/>
                <w:szCs w:val="20"/>
              </w:rPr>
              <w:t>:</w:t>
            </w:r>
            <w:r>
              <w:rPr>
                <w:rFonts w:ascii="Times New Roman" w:hAnsi="Times New Roman" w:cs="Times New Roman"/>
                <w:b/>
                <w:bCs/>
                <w:sz w:val="20"/>
                <w:szCs w:val="20"/>
              </w:rPr>
              <w:t xml:space="preserve"> </w:t>
            </w:r>
            <w:r w:rsidRPr="00D92494">
              <w:rPr>
                <w:rFonts w:ascii="Times New Roman" w:hAnsi="Times New Roman" w:cs="Times New Roman"/>
                <w:sz w:val="20"/>
                <w:szCs w:val="20"/>
              </w:rPr>
              <w:t>from AML-M5</w:t>
            </w:r>
            <w:r w:rsidR="00B74880">
              <w:rPr>
                <w:rFonts w:ascii="Times New Roman" w:hAnsi="Times New Roman" w:cs="Times New Roman"/>
                <w:sz w:val="20"/>
                <w:szCs w:val="20"/>
              </w:rPr>
              <w:fldChar w:fldCharType="begin"/>
            </w:r>
            <w:r w:rsidR="00B74880">
              <w:rPr>
                <w:rFonts w:ascii="Times New Roman" w:hAnsi="Times New Roman" w:cs="Times New Roman"/>
                <w:sz w:val="20"/>
                <w:szCs w:val="20"/>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B74880">
              <w:rPr>
                <w:rFonts w:ascii="Times New Roman" w:hAnsi="Times New Roman" w:cs="Times New Roman"/>
                <w:sz w:val="20"/>
                <w:szCs w:val="20"/>
              </w:rPr>
              <w:fldChar w:fldCharType="separate"/>
            </w:r>
            <w:r w:rsidR="00B74880" w:rsidRPr="00B74880">
              <w:rPr>
                <w:rFonts w:ascii="Times New Roman" w:hAnsi="Times New Roman" w:cs="Times New Roman"/>
                <w:noProof/>
                <w:sz w:val="20"/>
                <w:szCs w:val="20"/>
                <w:vertAlign w:val="superscript"/>
              </w:rPr>
              <w:t>2</w:t>
            </w:r>
            <w:r w:rsidR="00B74880">
              <w:rPr>
                <w:rFonts w:ascii="Times New Roman" w:hAnsi="Times New Roman" w:cs="Times New Roman"/>
                <w:sz w:val="20"/>
                <w:szCs w:val="20"/>
              </w:rPr>
              <w:fldChar w:fldCharType="end"/>
            </w:r>
            <w:r w:rsidRPr="00D92494">
              <w:rPr>
                <w:rFonts w:ascii="Times New Roman" w:hAnsi="Times New Roman" w:cs="Times New Roman"/>
                <w:b/>
                <w:bCs/>
                <w:sz w:val="20"/>
                <w:szCs w:val="20"/>
              </w:rPr>
              <w:t xml:space="preserve"> </w:t>
            </w:r>
          </w:p>
        </w:tc>
        <w:tc>
          <w:tcPr>
            <w:tcW w:w="5741" w:type="dxa"/>
          </w:tcPr>
          <w:p w14:paraId="26D60ACC" w14:textId="287EAB3C" w:rsidR="00F0540D" w:rsidRDefault="00C71AD6" w:rsidP="00B923BC">
            <w:pPr>
              <w:rPr>
                <w:rFonts w:ascii="Times New Roman" w:hAnsi="Times New Roman" w:cs="Times New Roman"/>
                <w:sz w:val="20"/>
                <w:szCs w:val="20"/>
              </w:rPr>
            </w:pPr>
            <w:proofErr w:type="spellStart"/>
            <w:r w:rsidRPr="00C71AD6">
              <w:rPr>
                <w:rFonts w:ascii="Times New Roman" w:hAnsi="Times New Roman" w:cs="Times New Roman"/>
                <w:sz w:val="20"/>
                <w:szCs w:val="20"/>
              </w:rPr>
              <w:t>Monoblasts</w:t>
            </w:r>
            <w:proofErr w:type="spellEnd"/>
            <w:r w:rsidRPr="00C71AD6">
              <w:rPr>
                <w:rFonts w:ascii="Times New Roman" w:hAnsi="Times New Roman" w:cs="Times New Roman"/>
                <w:sz w:val="20"/>
                <w:szCs w:val="20"/>
              </w:rPr>
              <w:t>, round to slightly folded nuclei, prominent nucleoli, pale gray-blue agranular cytoplasm, pseudopodia, monocytic differentiation, high-detail single cell smear, Wright-Giemsa stain, 100x oil immersion brightfield microscopy.</w:t>
            </w:r>
          </w:p>
        </w:tc>
      </w:tr>
      <w:tr w:rsidR="001315E1" w14:paraId="1B76CB82" w14:textId="77777777" w:rsidTr="001315E1">
        <w:tc>
          <w:tcPr>
            <w:tcW w:w="707" w:type="dxa"/>
          </w:tcPr>
          <w:p w14:paraId="6149A2FD" w14:textId="33018CEE" w:rsidR="00F0540D" w:rsidRDefault="00F0540D" w:rsidP="00B923BC">
            <w:pPr>
              <w:rPr>
                <w:rFonts w:ascii="Times New Roman" w:hAnsi="Times New Roman" w:cs="Times New Roman"/>
                <w:sz w:val="20"/>
                <w:szCs w:val="20"/>
              </w:rPr>
            </w:pPr>
            <w:r>
              <w:rPr>
                <w:rFonts w:ascii="Times New Roman" w:hAnsi="Times New Roman" w:cs="Times New Roman"/>
                <w:sz w:val="20"/>
                <w:szCs w:val="20"/>
              </w:rPr>
              <w:t>09</w:t>
            </w:r>
          </w:p>
        </w:tc>
        <w:tc>
          <w:tcPr>
            <w:tcW w:w="2568" w:type="dxa"/>
          </w:tcPr>
          <w:p w14:paraId="56D8B0D5" w14:textId="20BE6F7B" w:rsidR="00D92494" w:rsidRPr="00D92494" w:rsidRDefault="00D92494" w:rsidP="00D92494">
            <w:pPr>
              <w:rPr>
                <w:rFonts w:ascii="Times New Roman" w:hAnsi="Times New Roman" w:cs="Times New Roman"/>
                <w:sz w:val="20"/>
                <w:szCs w:val="20"/>
              </w:rPr>
            </w:pPr>
            <w:r w:rsidRPr="00D92494">
              <w:rPr>
                <w:rFonts w:ascii="Times New Roman" w:hAnsi="Times New Roman" w:cs="Times New Roman"/>
                <w:b/>
                <w:bCs/>
                <w:sz w:val="20"/>
                <w:szCs w:val="20"/>
              </w:rPr>
              <w:t>Lymphoblast:</w:t>
            </w:r>
            <w:r>
              <w:rPr>
                <w:rFonts w:ascii="Times New Roman" w:hAnsi="Times New Roman" w:cs="Times New Roman"/>
                <w:b/>
                <w:bCs/>
                <w:sz w:val="20"/>
                <w:szCs w:val="20"/>
              </w:rPr>
              <w:t xml:space="preserve"> </w:t>
            </w:r>
            <w:r w:rsidRPr="00B74880">
              <w:rPr>
                <w:rFonts w:ascii="Times New Roman" w:hAnsi="Times New Roman" w:cs="Times New Roman"/>
                <w:sz w:val="20"/>
                <w:szCs w:val="20"/>
              </w:rPr>
              <w:t>from ALL</w:t>
            </w:r>
            <w:r w:rsidR="00B74880">
              <w:rPr>
                <w:rFonts w:ascii="Times New Roman" w:hAnsi="Times New Roman" w:cs="Times New Roman"/>
                <w:sz w:val="20"/>
                <w:szCs w:val="20"/>
              </w:rPr>
              <w:fldChar w:fldCharType="begin"/>
            </w:r>
            <w:r w:rsidR="00B74880">
              <w:rPr>
                <w:rFonts w:ascii="Times New Roman" w:hAnsi="Times New Roman" w:cs="Times New Roman"/>
                <w:sz w:val="20"/>
                <w:szCs w:val="20"/>
              </w:rPr>
              <w:instrText xml:space="preserve"> ADDIN EN.CITE &lt;EndNote&gt;&lt;Cite&gt;&lt;Author&gt;Palmer&lt;/Author&gt;&lt;Year&gt;2015&lt;/Year&gt;&lt;RecNum&gt;579&lt;/RecNum&gt;&lt;DisplayText&gt;&lt;style face="superscript"&gt;2&lt;/style&gt;&lt;/DisplayText&gt;&lt;record&gt;&lt;rec-number&gt;579&lt;/rec-number&gt;&lt;foreign-keys&gt;&lt;key app="EN" db-id="0azeet5dsvd0fiedwfqvwt2jp9d5stfsrwvw" timestamp="1784030988"&gt;579&lt;/key&gt;&lt;/foreign-keys&gt;&lt;ref-type name="Journal Article"&gt;17&lt;/ref-type&gt;&lt;contributors&gt;&lt;authors&gt;&lt;author&gt;Palmer, Lynn&lt;/author&gt;&lt;author&gt;Briggs, C&lt;/author&gt;&lt;author&gt;McFadden, S&lt;/author&gt;&lt;author&gt;Zini, G&lt;/author&gt;&lt;author&gt;Burthem, J&lt;/author&gt;&lt;author&gt;Rozenberg, G&lt;/author&gt;&lt;author&gt;Proytcheva, M&lt;/author&gt;&lt;author&gt;Machin, SJ&lt;/author&gt;&lt;/authors&gt;&lt;/contributors&gt;&lt;titles&gt;&lt;title&gt;ICSH recommendations for the standardization of nomenclature and grading of peripheral blood cell morphological features&lt;/title&gt;&lt;secondary-title&gt;International journal of laboratory hematology&lt;/secondary-title&gt;&lt;/titles&gt;&lt;periodical&gt;&lt;full-title&gt;International Journal of Laboratory Hematology&lt;/full-title&gt;&lt;/periodical&gt;&lt;pages&gt;287-303&lt;/pages&gt;&lt;volume&gt;37&lt;/volume&gt;&lt;number&gt;3&lt;/number&gt;&lt;dates&gt;&lt;year&gt;2015&lt;/year&gt;&lt;/dates&gt;&lt;isbn&gt;1751-5521&lt;/isbn&gt;&lt;urls&gt;&lt;/urls&gt;&lt;/record&gt;&lt;/Cite&gt;&lt;/EndNote&gt;</w:instrText>
            </w:r>
            <w:r w:rsidR="00B74880">
              <w:rPr>
                <w:rFonts w:ascii="Times New Roman" w:hAnsi="Times New Roman" w:cs="Times New Roman"/>
                <w:sz w:val="20"/>
                <w:szCs w:val="20"/>
              </w:rPr>
              <w:fldChar w:fldCharType="separate"/>
            </w:r>
            <w:r w:rsidR="00B74880" w:rsidRPr="00B74880">
              <w:rPr>
                <w:rFonts w:ascii="Times New Roman" w:hAnsi="Times New Roman" w:cs="Times New Roman"/>
                <w:noProof/>
                <w:sz w:val="20"/>
                <w:szCs w:val="20"/>
                <w:vertAlign w:val="superscript"/>
              </w:rPr>
              <w:t>2</w:t>
            </w:r>
            <w:r w:rsidR="00B74880">
              <w:rPr>
                <w:rFonts w:ascii="Times New Roman" w:hAnsi="Times New Roman" w:cs="Times New Roman"/>
                <w:sz w:val="20"/>
                <w:szCs w:val="20"/>
              </w:rPr>
              <w:fldChar w:fldCharType="end"/>
            </w:r>
          </w:p>
          <w:p w14:paraId="60FEA6BD" w14:textId="77777777" w:rsidR="00F0540D" w:rsidRDefault="00F0540D" w:rsidP="00B923BC">
            <w:pPr>
              <w:rPr>
                <w:rFonts w:ascii="Times New Roman" w:hAnsi="Times New Roman" w:cs="Times New Roman"/>
                <w:sz w:val="20"/>
                <w:szCs w:val="20"/>
              </w:rPr>
            </w:pPr>
          </w:p>
        </w:tc>
        <w:tc>
          <w:tcPr>
            <w:tcW w:w="5741" w:type="dxa"/>
          </w:tcPr>
          <w:p w14:paraId="244F90E8" w14:textId="305995D1" w:rsidR="00F0540D" w:rsidRDefault="00C71AD6" w:rsidP="00B923BC">
            <w:pPr>
              <w:rPr>
                <w:rFonts w:ascii="Times New Roman" w:hAnsi="Times New Roman" w:cs="Times New Roman"/>
                <w:sz w:val="20"/>
                <w:szCs w:val="20"/>
              </w:rPr>
            </w:pPr>
            <w:r w:rsidRPr="00C71AD6">
              <w:rPr>
                <w:rFonts w:ascii="Times New Roman" w:hAnsi="Times New Roman" w:cs="Times New Roman"/>
                <w:sz w:val="20"/>
                <w:szCs w:val="20"/>
              </w:rPr>
              <w:t>Lymphoblasts; high N:C ratio; round to slightly irregular nuclei; fine stippled chromatin with inconspicuous nucleoli; scant basophilic agranular cytoplasm; lymphoid lineage features; hypercellular bone marrow smear; Wright-Giemsa stain; 100x oil immersion brightfield microscopy; high-detail hematopathology image</w:t>
            </w:r>
            <w:r w:rsidR="00D92494" w:rsidRPr="00D92494">
              <w:rPr>
                <w:rFonts w:ascii="Times New Roman" w:hAnsi="Times New Roman" w:cs="Times New Roman"/>
                <w:sz w:val="20"/>
                <w:szCs w:val="20"/>
              </w:rPr>
              <w:t>.</w:t>
            </w:r>
          </w:p>
        </w:tc>
      </w:tr>
      <w:tr w:rsidR="001315E1" w14:paraId="2B5682AF" w14:textId="77777777" w:rsidTr="001315E1">
        <w:tc>
          <w:tcPr>
            <w:tcW w:w="707" w:type="dxa"/>
          </w:tcPr>
          <w:p w14:paraId="3769E8AF" w14:textId="52426E65" w:rsidR="00F0540D" w:rsidRDefault="00F0540D" w:rsidP="00B923BC">
            <w:pPr>
              <w:rPr>
                <w:rFonts w:ascii="Times New Roman" w:hAnsi="Times New Roman" w:cs="Times New Roman"/>
                <w:sz w:val="20"/>
                <w:szCs w:val="20"/>
              </w:rPr>
            </w:pPr>
            <w:r>
              <w:rPr>
                <w:rFonts w:ascii="Times New Roman" w:hAnsi="Times New Roman" w:cs="Times New Roman"/>
                <w:sz w:val="20"/>
                <w:szCs w:val="20"/>
              </w:rPr>
              <w:t>10</w:t>
            </w:r>
          </w:p>
        </w:tc>
        <w:tc>
          <w:tcPr>
            <w:tcW w:w="2568" w:type="dxa"/>
          </w:tcPr>
          <w:p w14:paraId="75104CB9" w14:textId="5F639748" w:rsidR="00F0540D" w:rsidRPr="001315E1" w:rsidRDefault="001315E1" w:rsidP="00B923BC">
            <w:pPr>
              <w:rPr>
                <w:rFonts w:ascii="Times New Roman" w:hAnsi="Times New Roman" w:cs="Times New Roman"/>
                <w:b/>
                <w:bCs/>
                <w:sz w:val="20"/>
                <w:szCs w:val="20"/>
              </w:rPr>
            </w:pPr>
            <w:proofErr w:type="spellStart"/>
            <w:r w:rsidRPr="001315E1">
              <w:rPr>
                <w:rFonts w:ascii="Times New Roman" w:hAnsi="Times New Roman" w:cs="Times New Roman"/>
                <w:b/>
                <w:bCs/>
                <w:sz w:val="20"/>
                <w:szCs w:val="20"/>
              </w:rPr>
              <w:t>Plasma_cell_leukemia_rare</w:t>
            </w:r>
            <w:proofErr w:type="spellEnd"/>
          </w:p>
        </w:tc>
        <w:tc>
          <w:tcPr>
            <w:tcW w:w="5741" w:type="dxa"/>
          </w:tcPr>
          <w:p w14:paraId="0D5C5C88" w14:textId="1298A87A" w:rsidR="00F0540D" w:rsidRDefault="001315E1" w:rsidP="00B923BC">
            <w:pPr>
              <w:rPr>
                <w:rFonts w:ascii="Times New Roman" w:hAnsi="Times New Roman" w:cs="Times New Roman"/>
                <w:sz w:val="20"/>
                <w:szCs w:val="20"/>
              </w:rPr>
            </w:pPr>
            <w:r w:rsidRPr="001315E1">
              <w:rPr>
                <w:rFonts w:ascii="Times New Roman" w:hAnsi="Times New Roman" w:cs="Times New Roman"/>
                <w:sz w:val="20"/>
                <w:szCs w:val="20"/>
              </w:rPr>
              <w:t xml:space="preserve">Plasma cells with eccentric nuclei, clumped chromatin, basophilic cytoplasm; pleomorphism; </w:t>
            </w:r>
            <w:proofErr w:type="spellStart"/>
            <w:r w:rsidRPr="001315E1">
              <w:rPr>
                <w:rFonts w:ascii="Times New Roman" w:hAnsi="Times New Roman" w:cs="Times New Roman"/>
                <w:sz w:val="20"/>
                <w:szCs w:val="20"/>
              </w:rPr>
              <w:t>plasmablast</w:t>
            </w:r>
            <w:proofErr w:type="spellEnd"/>
            <w:r w:rsidRPr="001315E1">
              <w:rPr>
                <w:rFonts w:ascii="Times New Roman" w:hAnsi="Times New Roman" w:cs="Times New Roman"/>
                <w:sz w:val="20"/>
                <w:szCs w:val="20"/>
              </w:rPr>
              <w:t xml:space="preserve"> forms; marrow infiltration by atypical plasma cell clusters; high-detail hematopathology image.</w:t>
            </w:r>
          </w:p>
        </w:tc>
      </w:tr>
    </w:tbl>
    <w:p w14:paraId="32796526" w14:textId="5C2F6B54" w:rsidR="00CA129E" w:rsidRDefault="00CA129E" w:rsidP="00B76DE7">
      <w:pPr>
        <w:pStyle w:val="BodyText"/>
        <w:spacing w:before="103" w:line="228" w:lineRule="auto"/>
        <w:ind w:left="0" w:right="375"/>
        <w:jc w:val="both"/>
        <w:rPr>
          <w:rFonts w:ascii="Times New Roman" w:eastAsiaTheme="minorEastAsia" w:hAnsi="Times New Roman" w:cs="Times New Roman"/>
          <w:kern w:val="2"/>
          <w:sz w:val="20"/>
          <w:szCs w:val="20"/>
          <w14:ligatures w14:val="standardContextual"/>
        </w:rPr>
      </w:pPr>
      <w:r w:rsidRPr="00CA129E">
        <w:rPr>
          <w:rFonts w:ascii="Times New Roman" w:eastAsiaTheme="minorEastAsia" w:hAnsi="Times New Roman" w:cs="Times New Roman"/>
          <w:kern w:val="2"/>
          <w:sz w:val="20"/>
          <w:szCs w:val="20"/>
          <w14:ligatures w14:val="standardContextual"/>
        </w:rPr>
        <w:t>The text labeling system constructed in this study strictly follows the standardized descriptions of leukocyte morphology in international authoritative medical textbooks</w:t>
      </w:r>
      <w:r w:rsidR="00DA5AB3">
        <w:rPr>
          <w:rFonts w:ascii="Times New Roman" w:eastAsiaTheme="minorEastAsia" w:hAnsi="Times New Roman" w:cs="Times New Roman"/>
          <w:kern w:val="2"/>
          <w:sz w:val="20"/>
          <w:szCs w:val="20"/>
          <w14:ligatures w14:val="standardContextual"/>
        </w:rPr>
        <w:fldChar w:fldCharType="begin"/>
      </w:r>
      <w:r w:rsidR="00F72FAA">
        <w:rPr>
          <w:rFonts w:ascii="Times New Roman" w:eastAsiaTheme="minorEastAsia" w:hAnsi="Times New Roman" w:cs="Times New Roman"/>
          <w:kern w:val="2"/>
          <w:sz w:val="20"/>
          <w:szCs w:val="20"/>
          <w14:ligatures w14:val="standardContextual"/>
        </w:rPr>
        <w:instrText xml:space="preserve"> ADDIN EN.CITE &lt;EndNote&gt;&lt;Cite&gt;&lt;Author&gt;Khoury&lt;/Author&gt;&lt;Year&gt;2022&lt;/Year&gt;&lt;RecNum&gt;578&lt;/RecNum&gt;&lt;DisplayText&gt;&lt;style face="superscript"&gt;11&lt;/style&gt;&lt;/DisplayText&gt;&lt;record&gt;&lt;rec-number&gt;578&lt;/rec-number&gt;&lt;foreign-keys&gt;&lt;key app="EN" db-id="0azeet5dsvd0fiedwfqvwt2jp9d5stfsrwvw" timestamp="1784030558"&gt;578&lt;/key&gt;&lt;/foreign-keys&gt;&lt;ref-type name="Journal Article"&gt;17&lt;/ref-type&gt;&lt;contributors&gt;&lt;authors&gt;&lt;author&gt;Khoury, Joseph D&lt;/author&gt;&lt;author&gt;Solary, Eric&lt;/author&gt;&lt;author&gt;Abla, Oussama&lt;/author&gt;&lt;author&gt;Akkari, Yassmine&lt;/author&gt;&lt;author&gt;Alaggio, Rita&lt;/author&gt;&lt;author&gt;Apperley, Jane F&lt;/author&gt;&lt;author&gt;Bejar, Rafael&lt;/author&gt;&lt;author&gt;Berti, Emilio&lt;/author&gt;&lt;author&gt;Busque, Lambert&lt;/author&gt;&lt;author&gt;Chan, John KC&lt;/author&gt;&lt;/authors&gt;&lt;/contributors&gt;&lt;titles&gt;&lt;title&gt;The 5th edition of the World Health Organization classification of haematolymphoid tumours: myeloid and histiocytic/dendritic neoplasms&lt;/title&gt;&lt;secondary-title&gt;leukemia&lt;/secondary-title&gt;&lt;/titles&gt;&lt;periodical&gt;&lt;full-title&gt;Leukemia&lt;/full-title&gt;&lt;/periodical&gt;&lt;pages&gt;1703-1719&lt;/pages&gt;&lt;volume&gt;36&lt;/volume&gt;&lt;number&gt;7&lt;/number&gt;&lt;dates&gt;&lt;year&gt;2022&lt;/year&gt;&lt;/dates&gt;&lt;isbn&gt;0887-6924&lt;/isbn&gt;&lt;urls&gt;&lt;/urls&gt;&lt;/record&gt;&lt;/Cite&gt;&lt;/EndNote&gt;</w:instrText>
      </w:r>
      <w:r w:rsidR="00DA5AB3">
        <w:rPr>
          <w:rFonts w:ascii="Times New Roman" w:eastAsiaTheme="minorEastAsia" w:hAnsi="Times New Roman" w:cs="Times New Roman"/>
          <w:kern w:val="2"/>
          <w:sz w:val="20"/>
          <w:szCs w:val="20"/>
          <w14:ligatures w14:val="standardContextual"/>
        </w:rPr>
        <w:fldChar w:fldCharType="separate"/>
      </w:r>
      <w:r w:rsidR="00F72FAA" w:rsidRPr="00F72FAA">
        <w:rPr>
          <w:rFonts w:ascii="Times New Roman" w:eastAsiaTheme="minorEastAsia" w:hAnsi="Times New Roman" w:cs="Times New Roman"/>
          <w:noProof/>
          <w:kern w:val="2"/>
          <w:sz w:val="20"/>
          <w:szCs w:val="20"/>
          <w:vertAlign w:val="superscript"/>
          <w14:ligatures w14:val="standardContextual"/>
        </w:rPr>
        <w:t>11</w:t>
      </w:r>
      <w:r w:rsidR="00DA5AB3">
        <w:rPr>
          <w:rFonts w:ascii="Times New Roman" w:eastAsiaTheme="minorEastAsia" w:hAnsi="Times New Roman" w:cs="Times New Roman"/>
          <w:kern w:val="2"/>
          <w:sz w:val="20"/>
          <w:szCs w:val="20"/>
          <w14:ligatures w14:val="standardContextual"/>
        </w:rPr>
        <w:fldChar w:fldCharType="end"/>
      </w:r>
      <w:r w:rsidRPr="00CA129E">
        <w:rPr>
          <w:rFonts w:ascii="Times New Roman" w:eastAsiaTheme="minorEastAsia" w:hAnsi="Times New Roman" w:cs="Times New Roman"/>
          <w:kern w:val="2"/>
          <w:sz w:val="20"/>
          <w:szCs w:val="20"/>
          <w14:ligatures w14:val="standardContextual"/>
        </w:rPr>
        <w:t xml:space="preserve">, and adopts a two-layer heterogeneous design to define the cross-category shared labels describing the basic structure of the cells, and the specific differentiation labels describing the specific features of leukocytes of different categories. Meanwhile, this study adheres to the closed-loop logic of generation, comparison, and correction by independently training the </w:t>
      </w:r>
      <w:proofErr w:type="spellStart"/>
      <w:r w:rsidRPr="00CA129E">
        <w:rPr>
          <w:rFonts w:ascii="Times New Roman" w:eastAsiaTheme="minorEastAsia" w:hAnsi="Times New Roman" w:cs="Times New Roman"/>
          <w:kern w:val="2"/>
          <w:sz w:val="20"/>
          <w:szCs w:val="20"/>
          <w14:ligatures w14:val="standardContextual"/>
        </w:rPr>
        <w:t>LoRA</w:t>
      </w:r>
      <w:proofErr w:type="spellEnd"/>
      <w:r w:rsidRPr="00CA129E">
        <w:rPr>
          <w:rFonts w:ascii="Times New Roman" w:eastAsiaTheme="minorEastAsia" w:hAnsi="Times New Roman" w:cs="Times New Roman"/>
          <w:kern w:val="2"/>
          <w:sz w:val="20"/>
          <w:szCs w:val="20"/>
          <w14:ligatures w14:val="standardContextual"/>
        </w:rPr>
        <w:t xml:space="preserve"> adapter on each class of leukocytes and generating images</w:t>
      </w:r>
      <w:r w:rsidR="00F66ED6">
        <w:rPr>
          <w:rFonts w:ascii="Times New Roman" w:eastAsiaTheme="minorEastAsia" w:hAnsi="Times New Roman" w:cs="Times New Roman"/>
          <w:kern w:val="2"/>
          <w:sz w:val="20"/>
          <w:szCs w:val="20"/>
          <w14:ligatures w14:val="standardContextual"/>
        </w:rPr>
        <w:t xml:space="preserve"> as shown in </w:t>
      </w:r>
      <w:r w:rsidR="00F66ED6" w:rsidRPr="00F4244C">
        <w:rPr>
          <w:rFonts w:ascii="Times New Roman" w:hAnsi="Times New Roman" w:cs="Times New Roman"/>
          <w:b/>
          <w:bCs/>
          <w:sz w:val="20"/>
          <w:szCs w:val="20"/>
        </w:rPr>
        <w:t>Supplementary Figure S2</w:t>
      </w:r>
      <w:r w:rsidRPr="00CA129E">
        <w:rPr>
          <w:rFonts w:ascii="Times New Roman" w:eastAsiaTheme="minorEastAsia" w:hAnsi="Times New Roman" w:cs="Times New Roman"/>
          <w:kern w:val="2"/>
          <w:sz w:val="20"/>
          <w:szCs w:val="20"/>
          <w14:ligatures w14:val="standardContextual"/>
        </w:rPr>
        <w:t xml:space="preserve">, which are then manually compared with the real captured images, thus modifying the misdescribed labels, adding missing feature labels, and deleting ambiguous and negative labels in the textual labels. </w:t>
      </w:r>
    </w:p>
    <w:p w14:paraId="57C856AF" w14:textId="77777777" w:rsidR="006C463F" w:rsidRDefault="006C463F" w:rsidP="00175F65">
      <w:pPr>
        <w:pStyle w:val="BodyText"/>
        <w:spacing w:before="103" w:line="228" w:lineRule="auto"/>
        <w:ind w:left="239" w:right="375"/>
        <w:jc w:val="both"/>
        <w:rPr>
          <w:rFonts w:ascii="Times New Roman" w:hAnsi="Times New Roman" w:cs="Times New Roman"/>
          <w:sz w:val="20"/>
          <w:szCs w:val="20"/>
        </w:rPr>
      </w:pPr>
    </w:p>
    <w:p w14:paraId="6D6F435D" w14:textId="158A661F" w:rsidR="00CA129E" w:rsidRDefault="00CA129E" w:rsidP="00B76DE7">
      <w:pPr>
        <w:jc w:val="center"/>
        <w:rPr>
          <w:rFonts w:ascii="Times New Roman" w:hAnsi="Times New Roman" w:cs="Times New Roman"/>
          <w:sz w:val="20"/>
          <w:szCs w:val="20"/>
        </w:rPr>
      </w:pPr>
      <w:r w:rsidRPr="00014B4E">
        <w:rPr>
          <w:noProof/>
          <w:sz w:val="20"/>
          <w:bdr w:val="single" w:sz="12" w:space="0" w:color="auto"/>
        </w:rPr>
        <w:drawing>
          <wp:inline distT="0" distB="0" distL="0" distR="0" wp14:anchorId="797C5F51" wp14:editId="33619F23">
            <wp:extent cx="5210731" cy="4320540"/>
            <wp:effectExtent l="0" t="0" r="0" b="0"/>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5210731" cy="4320540"/>
                    </a:xfrm>
                    <a:prstGeom prst="rect">
                      <a:avLst/>
                    </a:prstGeom>
                  </pic:spPr>
                </pic:pic>
              </a:graphicData>
            </a:graphic>
          </wp:inline>
        </w:drawing>
      </w:r>
    </w:p>
    <w:p w14:paraId="35825E65" w14:textId="242F53A4" w:rsidR="00CA129E" w:rsidRDefault="00CA129E" w:rsidP="00CA129E">
      <w:pPr>
        <w:tabs>
          <w:tab w:val="left" w:pos="3484"/>
          <w:tab w:val="left" w:pos="6004"/>
        </w:tabs>
        <w:spacing w:before="161" w:line="232" w:lineRule="auto"/>
        <w:ind w:right="518"/>
        <w:rPr>
          <w:b/>
          <w:sz w:val="15"/>
        </w:rPr>
      </w:pPr>
      <w:r>
        <w:rPr>
          <w:rFonts w:ascii="Times New Roman" w:hAnsi="Times New Roman" w:cs="Times New Roman"/>
          <w:spacing w:val="-2"/>
          <w:sz w:val="20"/>
          <w:szCs w:val="20"/>
        </w:rPr>
        <w:lastRenderedPageBreak/>
        <w:t xml:space="preserve">             </w:t>
      </w:r>
      <w:r w:rsidRPr="00CA129E">
        <w:rPr>
          <w:rFonts w:ascii="Times New Roman" w:hAnsi="Times New Roman" w:cs="Times New Roman"/>
          <w:spacing w:val="-2"/>
          <w:sz w:val="20"/>
          <w:szCs w:val="20"/>
        </w:rPr>
        <w:t>(</w:t>
      </w:r>
      <w:r w:rsidRPr="00CA129E">
        <w:rPr>
          <w:rFonts w:ascii="Times New Roman" w:eastAsia="Times New Roman" w:hAnsi="Times New Roman" w:cs="Times New Roman"/>
          <w:spacing w:val="-2"/>
          <w:sz w:val="20"/>
          <w:szCs w:val="20"/>
        </w:rPr>
        <w:t>a</w:t>
      </w:r>
      <w:r w:rsidRPr="00CA129E">
        <w:rPr>
          <w:rFonts w:ascii="Times New Roman" w:hAnsi="Times New Roman" w:cs="Times New Roman"/>
          <w:spacing w:val="-2"/>
          <w:sz w:val="20"/>
          <w:szCs w:val="20"/>
        </w:rPr>
        <w:t>) Lymphocyte</w:t>
      </w:r>
      <w:r>
        <w:rPr>
          <w:rFonts w:ascii="Times New Roman" w:hAnsi="Times New Roman" w:cs="Times New Roman"/>
          <w:spacing w:val="-2"/>
          <w:sz w:val="20"/>
          <w:szCs w:val="20"/>
        </w:rPr>
        <w:t xml:space="preserve">                         </w:t>
      </w:r>
      <w:r w:rsidR="00014B4E">
        <w:rPr>
          <w:rFonts w:ascii="Times New Roman" w:hAnsi="Times New Roman" w:cs="Times New Roman"/>
          <w:spacing w:val="-2"/>
          <w:sz w:val="20"/>
          <w:szCs w:val="20"/>
        </w:rPr>
        <w:t xml:space="preserve">  (</w:t>
      </w:r>
      <w:r w:rsidRPr="00CA129E">
        <w:rPr>
          <w:rFonts w:ascii="Times New Roman" w:eastAsia="Times New Roman" w:hAnsi="Times New Roman" w:cs="Times New Roman"/>
          <w:spacing w:val="-2"/>
          <w:sz w:val="20"/>
          <w:szCs w:val="20"/>
        </w:rPr>
        <w:t>b</w:t>
      </w:r>
      <w:r w:rsidRPr="00CA129E">
        <w:rPr>
          <w:rFonts w:ascii="Times New Roman" w:hAnsi="Times New Roman" w:cs="Times New Roman"/>
          <w:spacing w:val="-2"/>
          <w:sz w:val="20"/>
          <w:szCs w:val="20"/>
        </w:rPr>
        <w:t>) Neutrophils</w:t>
      </w:r>
      <w:r>
        <w:rPr>
          <w:rFonts w:ascii="Times New Roman" w:hAnsi="Times New Roman" w:cs="Times New Roman"/>
          <w:sz w:val="20"/>
          <w:szCs w:val="20"/>
        </w:rPr>
        <w:t xml:space="preserve">                   </w:t>
      </w:r>
      <w:r w:rsidRPr="00CA129E">
        <w:rPr>
          <w:rFonts w:ascii="Times New Roman" w:hAnsi="Times New Roman" w:cs="Times New Roman"/>
          <w:spacing w:val="-2"/>
          <w:sz w:val="20"/>
          <w:szCs w:val="20"/>
        </w:rPr>
        <w:t xml:space="preserve"> (</w:t>
      </w:r>
      <w:r w:rsidRPr="00CA129E">
        <w:rPr>
          <w:rFonts w:ascii="Times New Roman" w:eastAsia="Times New Roman" w:hAnsi="Times New Roman" w:cs="Times New Roman"/>
          <w:spacing w:val="-2"/>
          <w:sz w:val="20"/>
          <w:szCs w:val="20"/>
        </w:rPr>
        <w:t>c</w:t>
      </w:r>
      <w:r w:rsidRPr="00CA129E">
        <w:rPr>
          <w:rFonts w:ascii="Times New Roman" w:hAnsi="Times New Roman" w:cs="Times New Roman"/>
          <w:spacing w:val="-2"/>
          <w:sz w:val="20"/>
          <w:szCs w:val="20"/>
        </w:rPr>
        <w:t>) Directly generated leukocyte images</w:t>
      </w:r>
      <w:r w:rsidRPr="00CA129E">
        <w:rPr>
          <w:b/>
          <w:sz w:val="15"/>
        </w:rPr>
        <w:t xml:space="preserve"> </w:t>
      </w:r>
    </w:p>
    <w:p w14:paraId="25AD1552" w14:textId="67ED676E" w:rsidR="00F4244C" w:rsidRDefault="00F4244C" w:rsidP="00786760">
      <w:pPr>
        <w:rPr>
          <w:rFonts w:ascii="Times New Roman" w:hAnsi="Times New Roman" w:cs="Times New Roman"/>
          <w:sz w:val="20"/>
          <w:szCs w:val="20"/>
        </w:rPr>
      </w:pPr>
      <w:r w:rsidRPr="00F4244C">
        <w:rPr>
          <w:rFonts w:ascii="Times New Roman" w:hAnsi="Times New Roman" w:cs="Times New Roman"/>
          <w:b/>
          <w:bCs/>
          <w:sz w:val="20"/>
          <w:szCs w:val="20"/>
        </w:rPr>
        <w:t xml:space="preserve">Supplementary Figure S2: Structural conditioning and generative ablation for high-fidelity morphological synthesis. (a, b) </w:t>
      </w:r>
      <w:r w:rsidRPr="00F4244C">
        <w:rPr>
          <w:rFonts w:ascii="Times New Roman" w:hAnsi="Times New Roman" w:cs="Times New Roman"/>
          <w:sz w:val="20"/>
          <w:szCs w:val="20"/>
        </w:rPr>
        <w:t xml:space="preserve">Demonstration of precise phenotypic control using structurally conditioned image-to-image (img2img) generation. By systematically modulating the textual conditioning prompts, our </w:t>
      </w:r>
      <w:proofErr w:type="spellStart"/>
      <w:r w:rsidRPr="00F4244C">
        <w:rPr>
          <w:rFonts w:ascii="Times New Roman" w:hAnsi="Times New Roman" w:cs="Times New Roman"/>
          <w:sz w:val="20"/>
          <w:szCs w:val="20"/>
        </w:rPr>
        <w:t>LoRA</w:t>
      </w:r>
      <w:proofErr w:type="spellEnd"/>
      <w:r w:rsidRPr="00F4244C">
        <w:rPr>
          <w:rFonts w:ascii="Times New Roman" w:hAnsi="Times New Roman" w:cs="Times New Roman"/>
          <w:sz w:val="20"/>
          <w:szCs w:val="20"/>
        </w:rPr>
        <w:t xml:space="preserve">-adapted framework successfully generates and directs the morphological transition between </w:t>
      </w:r>
      <w:r w:rsidRPr="00F4244C">
        <w:rPr>
          <w:rFonts w:ascii="Times New Roman" w:hAnsi="Times New Roman" w:cs="Times New Roman"/>
          <w:b/>
          <w:bCs/>
          <w:sz w:val="20"/>
          <w:szCs w:val="20"/>
        </w:rPr>
        <w:t>(a)</w:t>
      </w:r>
      <w:r w:rsidRPr="00F4244C">
        <w:rPr>
          <w:rFonts w:ascii="Times New Roman" w:hAnsi="Times New Roman" w:cs="Times New Roman"/>
          <w:sz w:val="20"/>
          <w:szCs w:val="20"/>
        </w:rPr>
        <w:t xml:space="preserve"> lymphocytic and </w:t>
      </w:r>
      <w:r w:rsidRPr="00F4244C">
        <w:rPr>
          <w:rFonts w:ascii="Times New Roman" w:hAnsi="Times New Roman" w:cs="Times New Roman"/>
          <w:b/>
          <w:bCs/>
          <w:sz w:val="20"/>
          <w:szCs w:val="20"/>
        </w:rPr>
        <w:t>(b)</w:t>
      </w:r>
      <w:r w:rsidRPr="00F4244C">
        <w:rPr>
          <w:rFonts w:ascii="Times New Roman" w:hAnsi="Times New Roman" w:cs="Times New Roman"/>
          <w:sz w:val="20"/>
          <w:szCs w:val="20"/>
        </w:rPr>
        <w:t xml:space="preserve"> neutrophilic lineages, maintaining rigid structural constraints, delicate chromatin patterns, and authentic cytoplasmic granularity. </w:t>
      </w:r>
      <w:r w:rsidRPr="00F4244C">
        <w:rPr>
          <w:rFonts w:ascii="Times New Roman" w:hAnsi="Times New Roman" w:cs="Times New Roman"/>
          <w:b/>
          <w:bCs/>
          <w:sz w:val="20"/>
          <w:szCs w:val="20"/>
        </w:rPr>
        <w:t>(c)</w:t>
      </w:r>
      <w:r w:rsidRPr="00F4244C">
        <w:rPr>
          <w:rFonts w:ascii="Times New Roman" w:hAnsi="Times New Roman" w:cs="Times New Roman"/>
          <w:sz w:val="20"/>
          <w:szCs w:val="20"/>
        </w:rPr>
        <w:t xml:space="preserve"> Comparative generative ablation explicitly validating the necessity of this architectural approach. This row displays synthetic outputs generated by the foundational, </w:t>
      </w:r>
      <w:proofErr w:type="spellStart"/>
      <w:r w:rsidRPr="00F4244C">
        <w:rPr>
          <w:rFonts w:ascii="Times New Roman" w:hAnsi="Times New Roman" w:cs="Times New Roman"/>
          <w:sz w:val="20"/>
          <w:szCs w:val="20"/>
        </w:rPr>
        <w:t>unadapted</w:t>
      </w:r>
      <w:proofErr w:type="spellEnd"/>
      <w:r w:rsidRPr="00F4244C">
        <w:rPr>
          <w:rFonts w:ascii="Times New Roman" w:hAnsi="Times New Roman" w:cs="Times New Roman"/>
          <w:sz w:val="20"/>
          <w:szCs w:val="20"/>
        </w:rPr>
        <w:t xml:space="preserve"> Stable Diffusion model using identical text prompts</w:t>
      </w:r>
      <w:r w:rsidR="003928A4">
        <w:rPr>
          <w:rFonts w:ascii="Times New Roman" w:hAnsi="Times New Roman" w:cs="Times New Roman"/>
          <w:sz w:val="20"/>
          <w:szCs w:val="20"/>
        </w:rPr>
        <w:t xml:space="preserve"> </w:t>
      </w:r>
      <w:r w:rsidR="003928A4" w:rsidRPr="00F4244C">
        <w:rPr>
          <w:rFonts w:ascii="Times New Roman" w:hAnsi="Times New Roman" w:cs="Times New Roman"/>
          <w:sz w:val="20"/>
          <w:szCs w:val="20"/>
        </w:rPr>
        <w:t>showi</w:t>
      </w:r>
      <w:r w:rsidR="003928A4">
        <w:rPr>
          <w:rFonts w:ascii="Times New Roman" w:hAnsi="Times New Roman" w:cs="Times New Roman"/>
          <w:sz w:val="20"/>
          <w:szCs w:val="20"/>
        </w:rPr>
        <w:t>ng</w:t>
      </w:r>
      <w:r w:rsidRPr="00F4244C">
        <w:rPr>
          <w:rFonts w:ascii="Times New Roman" w:hAnsi="Times New Roman" w:cs="Times New Roman"/>
          <w:sz w:val="20"/>
          <w:szCs w:val="20"/>
        </w:rPr>
        <w:t xml:space="preserve"> th</w:t>
      </w:r>
      <w:r w:rsidR="003928A4">
        <w:rPr>
          <w:rFonts w:ascii="Times New Roman" w:hAnsi="Times New Roman" w:cs="Times New Roman"/>
          <w:sz w:val="20"/>
          <w:szCs w:val="20"/>
        </w:rPr>
        <w:t>e</w:t>
      </w:r>
      <w:r w:rsidRPr="00F4244C">
        <w:rPr>
          <w:rFonts w:ascii="Times New Roman" w:hAnsi="Times New Roman" w:cs="Times New Roman"/>
          <w:sz w:val="20"/>
          <w:szCs w:val="20"/>
        </w:rPr>
        <w:t xml:space="preserve"> baseline model produces overly smoothed, artifactual representations and fundamentally fails to capture specialized hematological textures, conclusively proving that </w:t>
      </w:r>
      <w:proofErr w:type="spellStart"/>
      <w:r w:rsidRPr="00F4244C">
        <w:rPr>
          <w:rFonts w:ascii="Times New Roman" w:hAnsi="Times New Roman" w:cs="Times New Roman"/>
          <w:sz w:val="20"/>
          <w:szCs w:val="20"/>
        </w:rPr>
        <w:t>LoRA</w:t>
      </w:r>
      <w:proofErr w:type="spellEnd"/>
      <w:r w:rsidRPr="00F4244C">
        <w:rPr>
          <w:rFonts w:ascii="Times New Roman" w:hAnsi="Times New Roman" w:cs="Times New Roman"/>
          <w:sz w:val="20"/>
          <w:szCs w:val="20"/>
        </w:rPr>
        <w:t xml:space="preserve"> fine-tuning is strictly required to cross the domain gap into high-fidelity pathological generation.</w:t>
      </w:r>
    </w:p>
    <w:p w14:paraId="173C531F" w14:textId="3F07B4BA" w:rsidR="00786760" w:rsidRPr="00B76DE7" w:rsidRDefault="00786760" w:rsidP="00786760">
      <w:pPr>
        <w:rPr>
          <w:rFonts w:ascii="Times New Roman" w:hAnsi="Times New Roman" w:cs="Times New Roman"/>
          <w:b/>
          <w:bCs/>
          <w:sz w:val="24"/>
          <w:szCs w:val="20"/>
        </w:rPr>
      </w:pPr>
      <w:r w:rsidRPr="00B76DE7">
        <w:rPr>
          <w:rFonts w:ascii="Times New Roman" w:hAnsi="Times New Roman" w:cs="Times New Roman"/>
          <w:b/>
          <w:bCs/>
          <w:sz w:val="24"/>
          <w:szCs w:val="20"/>
        </w:rPr>
        <w:t>Supplementary Note 3: Deep Feature Similarity Distribution Analysis</w:t>
      </w:r>
    </w:p>
    <w:p w14:paraId="004D825D" w14:textId="67280B54" w:rsidR="00786760" w:rsidRPr="00786760" w:rsidRDefault="00786760" w:rsidP="00786760">
      <w:pPr>
        <w:rPr>
          <w:rFonts w:ascii="Times New Roman" w:hAnsi="Times New Roman" w:cs="Times New Roman"/>
          <w:sz w:val="20"/>
          <w:szCs w:val="20"/>
        </w:rPr>
      </w:pPr>
      <w:r w:rsidRPr="00786760">
        <w:rPr>
          <w:rFonts w:ascii="Times New Roman" w:hAnsi="Times New Roman" w:cs="Times New Roman"/>
          <w:sz w:val="20"/>
          <w:szCs w:val="20"/>
        </w:rPr>
        <w:t xml:space="preserve">To rigorously validate the generative data pipeline and rule out the presence of synthetic mode collapse, deep feature extraction and pairwise similarity analyses were performed on a per-class basis. Following spatial standardization (224 </w:t>
      </w:r>
      <w:r>
        <w:rPr>
          <w:rFonts w:ascii="Times New Roman" w:hAnsi="Times New Roman" w:cs="Times New Roman"/>
          <w:sz w:val="20"/>
          <w:szCs w:val="20"/>
        </w:rPr>
        <w:t>x</w:t>
      </w:r>
      <w:r w:rsidRPr="00786760">
        <w:rPr>
          <w:rFonts w:ascii="Times New Roman" w:hAnsi="Times New Roman" w:cs="Times New Roman"/>
          <w:sz w:val="20"/>
          <w:szCs w:val="20"/>
        </w:rPr>
        <w:t xml:space="preserve"> 224 center-crop) and ImageNet channel normalization</w:t>
      </w:r>
      <w:r w:rsidR="00F72FAA">
        <w:rPr>
          <w:rFonts w:ascii="Times New Roman" w:hAnsi="Times New Roman" w:cs="Times New Roman"/>
          <w:sz w:val="20"/>
          <w:szCs w:val="20"/>
        </w:rPr>
        <w:fldChar w:fldCharType="begin"/>
      </w:r>
      <w:r w:rsidR="00F72FAA">
        <w:rPr>
          <w:rFonts w:ascii="Times New Roman" w:hAnsi="Times New Roman" w:cs="Times New Roman"/>
          <w:sz w:val="20"/>
          <w:szCs w:val="20"/>
        </w:rPr>
        <w:instrText xml:space="preserve"> ADDIN EN.CITE &lt;EndNote&gt;&lt;Cite&gt;&lt;Author&gt;Deng&lt;/Author&gt;&lt;Year&gt;2009&lt;/Year&gt;&lt;RecNum&gt;589&lt;/RecNum&gt;&lt;DisplayText&gt;&lt;style face="superscript"&gt;12&lt;/style&gt;&lt;/DisplayText&gt;&lt;record&gt;&lt;rec-number&gt;589&lt;/rec-number&gt;&lt;foreign-keys&gt;&lt;key app="EN" db-id="0azeet5dsvd0fiedwfqvwt2jp9d5stfsrwvw" timestamp="1784033368"&gt;589&lt;/key&gt;&lt;/foreign-keys&gt;&lt;ref-type name="Conference Proceedings"&gt;10&lt;/ref-type&gt;&lt;contributors&gt;&lt;authors&gt;&lt;author&gt;Deng, Jia&lt;/author&gt;&lt;author&gt;Dong, Wei&lt;/author&gt;&lt;author&gt;Socher, Richard&lt;/author&gt;&lt;author&gt;Li, Li-Jia&lt;/author&gt;&lt;author&gt;Li, Kai&lt;/author&gt;&lt;author&gt;Fei-Fei, Li&lt;/author&gt;&lt;/authors&gt;&lt;/contributors&gt;&lt;titles&gt;&lt;title&gt;Imagenet: A large-scale hierarchical image database&lt;/title&gt;&lt;secondary-title&gt;2009 IEEE conference on computer vision and pattern recognition&lt;/secondary-title&gt;&lt;/titles&gt;&lt;pages&gt;248-255&lt;/pages&gt;&lt;dates&gt;&lt;year&gt;2009&lt;/year&gt;&lt;/dates&gt;&lt;publisher&gt;Ieee&lt;/publisher&gt;&lt;isbn&gt;1424439922&lt;/isbn&gt;&lt;urls&gt;&lt;/urls&gt;&lt;/record&gt;&lt;/Cite&gt;&lt;/EndNote&gt;</w:instrText>
      </w:r>
      <w:r w:rsidR="00F72FAA">
        <w:rPr>
          <w:rFonts w:ascii="Times New Roman" w:hAnsi="Times New Roman" w:cs="Times New Roman"/>
          <w:sz w:val="20"/>
          <w:szCs w:val="20"/>
        </w:rPr>
        <w:fldChar w:fldCharType="separate"/>
      </w:r>
      <w:r w:rsidR="00F72FAA" w:rsidRPr="00F72FAA">
        <w:rPr>
          <w:rFonts w:ascii="Times New Roman" w:hAnsi="Times New Roman" w:cs="Times New Roman"/>
          <w:noProof/>
          <w:sz w:val="20"/>
          <w:szCs w:val="20"/>
          <w:vertAlign w:val="superscript"/>
        </w:rPr>
        <w:t>12</w:t>
      </w:r>
      <w:r w:rsidR="00F72FAA">
        <w:rPr>
          <w:rFonts w:ascii="Times New Roman" w:hAnsi="Times New Roman" w:cs="Times New Roman"/>
          <w:sz w:val="20"/>
          <w:szCs w:val="20"/>
        </w:rPr>
        <w:fldChar w:fldCharType="end"/>
      </w:r>
      <w:r w:rsidRPr="00786760">
        <w:rPr>
          <w:rFonts w:ascii="Times New Roman" w:hAnsi="Times New Roman" w:cs="Times New Roman"/>
          <w:sz w:val="20"/>
          <w:szCs w:val="20"/>
        </w:rPr>
        <w:t>, input tensors were mapped into a high-dimensional latent space utilizing a pre-trained ResNet-</w:t>
      </w:r>
      <w:r>
        <w:rPr>
          <w:rFonts w:ascii="Times New Roman" w:hAnsi="Times New Roman" w:cs="Times New Roman"/>
          <w:sz w:val="20"/>
          <w:szCs w:val="20"/>
        </w:rPr>
        <w:t>18</w:t>
      </w:r>
      <w:r w:rsidRPr="00786760">
        <w:rPr>
          <w:rFonts w:ascii="Times New Roman" w:hAnsi="Times New Roman" w:cs="Times New Roman"/>
          <w:sz w:val="20"/>
          <w:szCs w:val="20"/>
        </w:rPr>
        <w:t xml:space="preserve"> architecture</w:t>
      </w:r>
      <w:r w:rsidR="00F72FAA">
        <w:rPr>
          <w:rFonts w:ascii="Times New Roman" w:hAnsi="Times New Roman" w:cs="Times New Roman"/>
          <w:sz w:val="20"/>
          <w:szCs w:val="20"/>
        </w:rPr>
        <w:fldChar w:fldCharType="begin"/>
      </w:r>
      <w:r w:rsidR="00F72FAA">
        <w:rPr>
          <w:rFonts w:ascii="Times New Roman" w:hAnsi="Times New Roman" w:cs="Times New Roman"/>
          <w:sz w:val="20"/>
          <w:szCs w:val="20"/>
        </w:rPr>
        <w:instrText xml:space="preserve"> ADDIN EN.CITE &lt;EndNote&gt;&lt;Cite&gt;&lt;Author&gt;He&lt;/Author&gt;&lt;Year&gt;2016&lt;/Year&gt;&lt;RecNum&gt;588&lt;/RecNum&gt;&lt;DisplayText&gt;&lt;style face="superscript"&gt;13&lt;/style&gt;&lt;/DisplayText&gt;&lt;record&gt;&lt;rec-number&gt;588&lt;/rec-number&gt;&lt;foreign-keys&gt;&lt;key app="EN" db-id="0azeet5dsvd0fiedwfqvwt2jp9d5stfsrwvw" timestamp="1784033251"&gt;588&lt;/key&gt;&lt;/foreign-keys&gt;&lt;ref-type name="Conference Proceedings"&gt;10&lt;/ref-type&gt;&lt;contributors&gt;&lt;authors&gt;&lt;author&gt;He, Kaiming&lt;/author&gt;&lt;author&gt;Zhang, Xiangyu&lt;/author&gt;&lt;author&gt;Ren, Shaoqing&lt;/author&gt;&lt;author&gt;Sun, Jian&lt;/author&gt;&lt;/authors&gt;&lt;/contributors&gt;&lt;titles&gt;&lt;title&gt;Deep residual learning for image recognition&lt;/title&gt;&lt;secondary-title&gt;Proceedings of the IEEE conference on computer vision and pattern recognition&lt;/secondary-title&gt;&lt;/titles&gt;&lt;pages&gt;770-778&lt;/pages&gt;&lt;dates&gt;&lt;year&gt;2016&lt;/year&gt;&lt;/dates&gt;&lt;urls&gt;&lt;/urls&gt;&lt;/record&gt;&lt;/Cite&gt;&lt;/EndNote&gt;</w:instrText>
      </w:r>
      <w:r w:rsidR="00F72FAA">
        <w:rPr>
          <w:rFonts w:ascii="Times New Roman" w:hAnsi="Times New Roman" w:cs="Times New Roman"/>
          <w:sz w:val="20"/>
          <w:szCs w:val="20"/>
        </w:rPr>
        <w:fldChar w:fldCharType="separate"/>
      </w:r>
      <w:r w:rsidR="00F72FAA" w:rsidRPr="00F72FAA">
        <w:rPr>
          <w:rFonts w:ascii="Times New Roman" w:hAnsi="Times New Roman" w:cs="Times New Roman"/>
          <w:noProof/>
          <w:sz w:val="20"/>
          <w:szCs w:val="20"/>
          <w:vertAlign w:val="superscript"/>
        </w:rPr>
        <w:t>13</w:t>
      </w:r>
      <w:r w:rsidR="00F72FAA">
        <w:rPr>
          <w:rFonts w:ascii="Times New Roman" w:hAnsi="Times New Roman" w:cs="Times New Roman"/>
          <w:sz w:val="20"/>
          <w:szCs w:val="20"/>
        </w:rPr>
        <w:fldChar w:fldCharType="end"/>
      </w:r>
      <w:r w:rsidRPr="00786760">
        <w:rPr>
          <w:rFonts w:ascii="Times New Roman" w:hAnsi="Times New Roman" w:cs="Times New Roman"/>
          <w:sz w:val="20"/>
          <w:szCs w:val="20"/>
        </w:rPr>
        <w:t>, with the terminal fully connected classification layer explicitly removed to isolate generalized morphological features.</w:t>
      </w:r>
    </w:p>
    <w:p w14:paraId="388EE2CE" w14:textId="0E800885" w:rsidR="00786760" w:rsidRPr="00786760" w:rsidRDefault="00786760" w:rsidP="00786760">
      <w:pPr>
        <w:rPr>
          <w:rFonts w:ascii="Times New Roman" w:hAnsi="Times New Roman" w:cs="Times New Roman"/>
          <w:sz w:val="20"/>
          <w:szCs w:val="20"/>
        </w:rPr>
      </w:pPr>
      <w:r w:rsidRPr="00786760">
        <w:rPr>
          <w:rFonts w:ascii="Times New Roman" w:hAnsi="Times New Roman" w:cs="Times New Roman"/>
          <w:sz w:val="20"/>
          <w:szCs w:val="20"/>
        </w:rPr>
        <w:t xml:space="preserve">The pairwise cosine similarity was computed using the standard dot product formulation for </w:t>
      </w:r>
      <m:oMath>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2</m:t>
            </m:r>
          </m:sub>
        </m:sSub>
      </m:oMath>
      <w:r w:rsidRPr="00786760">
        <w:rPr>
          <w:rFonts w:ascii="Times New Roman" w:hAnsi="Times New Roman" w:cs="Times New Roman"/>
          <w:sz w:val="20"/>
          <w:szCs w:val="20"/>
        </w:rPr>
        <w:t>-normalized vectors</w:t>
      </w:r>
      <w:r w:rsidR="004E51AE">
        <w:rPr>
          <w:rFonts w:ascii="Times New Roman" w:hAnsi="Times New Roman" w:cs="Times New Roman"/>
          <w:sz w:val="20"/>
          <w:szCs w:val="20"/>
        </w:rPr>
        <w:fldChar w:fldCharType="begin"/>
      </w:r>
      <w:r w:rsidR="004E51AE">
        <w:rPr>
          <w:rFonts w:ascii="Times New Roman" w:hAnsi="Times New Roman" w:cs="Times New Roman"/>
          <w:sz w:val="20"/>
          <w:szCs w:val="20"/>
        </w:rPr>
        <w:instrText xml:space="preserve"> ADDIN EN.CITE &lt;EndNote&gt;&lt;Cite&gt;&lt;Author&gt;Zhang&lt;/Author&gt;&lt;Year&gt;2018&lt;/Year&gt;&lt;RecNum&gt;590&lt;/RecNum&gt;&lt;DisplayText&gt;&lt;style face="superscript"&gt;14&lt;/style&gt;&lt;/DisplayText&gt;&lt;record&gt;&lt;rec-number&gt;590&lt;/rec-number&gt;&lt;foreign-keys&gt;&lt;key app="EN" db-id="0azeet5dsvd0fiedwfqvwt2jp9d5stfsrwvw" timestamp="1784033632"&gt;590&lt;/key&gt;&lt;/foreign-keys&gt;&lt;ref-type name="Conference Proceedings"&gt;10&lt;/ref-type&gt;&lt;contributors&gt;&lt;authors&gt;&lt;author&gt;Zhang, Richard&lt;/author&gt;&lt;author&gt;Isola, Phillip&lt;/author&gt;&lt;author&gt;Efros, Alexei A&lt;/author&gt;&lt;author&gt;Shechtman, Eli&lt;/author&gt;&lt;author&gt;Wang, Oliver&lt;/author&gt;&lt;/authors&gt;&lt;/contributors&gt;&lt;titles&gt;&lt;title&gt;The unreasonable effectiveness of deep features as a perceptual metric&lt;/title&gt;&lt;secondary-title&gt;Proceedings of the IEEE conference on computer vision and pattern recognition&lt;/secondary-title&gt;&lt;/titles&gt;&lt;pages&gt;586-595&lt;/pages&gt;&lt;dates&gt;&lt;year&gt;2018&lt;/year&gt;&lt;/dates&gt;&lt;urls&gt;&lt;/urls&gt;&lt;/record&gt;&lt;/Cite&gt;&lt;/EndNote&gt;</w:instrText>
      </w:r>
      <w:r w:rsidR="004E51AE">
        <w:rPr>
          <w:rFonts w:ascii="Times New Roman" w:hAnsi="Times New Roman" w:cs="Times New Roman"/>
          <w:sz w:val="20"/>
          <w:szCs w:val="20"/>
        </w:rPr>
        <w:fldChar w:fldCharType="separate"/>
      </w:r>
      <w:r w:rsidR="004E51AE" w:rsidRPr="004E51AE">
        <w:rPr>
          <w:rFonts w:ascii="Times New Roman" w:hAnsi="Times New Roman" w:cs="Times New Roman"/>
          <w:noProof/>
          <w:sz w:val="20"/>
          <w:szCs w:val="20"/>
          <w:vertAlign w:val="superscript"/>
        </w:rPr>
        <w:t>14</w:t>
      </w:r>
      <w:r w:rsidR="004E51AE">
        <w:rPr>
          <w:rFonts w:ascii="Times New Roman" w:hAnsi="Times New Roman" w:cs="Times New Roman"/>
          <w:sz w:val="20"/>
          <w:szCs w:val="20"/>
        </w:rPr>
        <w:fldChar w:fldCharType="end"/>
      </w:r>
      <w:r w:rsidRPr="00786760">
        <w:rPr>
          <w:rFonts w:ascii="Times New Roman" w:hAnsi="Times New Roman" w:cs="Times New Roman"/>
          <w:sz w:val="20"/>
          <w:szCs w:val="20"/>
        </w:rPr>
        <w:t>:</w:t>
      </w:r>
    </w:p>
    <w:p w14:paraId="7C3FBA9F" w14:textId="65257FEE" w:rsidR="00786760" w:rsidRDefault="00000000" w:rsidP="00786760">
      <w:pP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cosine</m:t>
              </m:r>
            </m:sub>
          </m:sSub>
          <m:d>
            <m:dPr>
              <m:ctrlPr>
                <w:rPr>
                  <w:rFonts w:ascii="Cambria Math" w:hAnsi="Cambria Math" w:cs="Times New Roman"/>
                  <w:sz w:val="20"/>
                  <w:szCs w:val="20"/>
                </w:rPr>
              </m:ctrlPr>
            </m:dPr>
            <m:e>
              <m:r>
                <m:rPr>
                  <m:sty m:val="p"/>
                </m:rPr>
                <w:rPr>
                  <w:rFonts w:ascii="Cambria Math" w:hAnsi="Cambria Math" w:cs="Times New Roman"/>
                  <w:sz w:val="20"/>
                  <w:szCs w:val="20"/>
                </w:rPr>
                <m:t>A, B</m:t>
              </m:r>
            </m:e>
          </m:d>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A.B</m:t>
              </m:r>
            </m:num>
            <m:den>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r>
                        <w:rPr>
                          <w:rFonts w:ascii="Cambria Math" w:hAnsi="Cambria Math" w:cs="Times New Roman"/>
                          <w:sz w:val="20"/>
                          <w:szCs w:val="20"/>
                        </w:rPr>
                        <m:t>A</m:t>
                      </m:r>
                    </m:e>
                  </m:d>
                </m:e>
                <m:sub>
                  <m:r>
                    <w:rPr>
                      <w:rFonts w:ascii="Cambria Math" w:hAnsi="Cambria Math" w:cs="Times New Roman"/>
                      <w:sz w:val="20"/>
                      <w:szCs w:val="20"/>
                    </w:rPr>
                    <m:t>2</m:t>
                  </m:r>
                </m:sub>
              </m:sSub>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r>
                        <w:rPr>
                          <w:rFonts w:ascii="Cambria Math" w:hAnsi="Cambria Math" w:cs="Times New Roman"/>
                          <w:sz w:val="20"/>
                          <w:szCs w:val="20"/>
                        </w:rPr>
                        <m:t>B</m:t>
                      </m:r>
                    </m:e>
                  </m:d>
                </m:e>
                <m:sub>
                  <m:r>
                    <w:rPr>
                      <w:rFonts w:ascii="Cambria Math" w:hAnsi="Cambria Math" w:cs="Times New Roman"/>
                      <w:sz w:val="20"/>
                      <w:szCs w:val="20"/>
                    </w:rPr>
                    <m:t>2</m:t>
                  </m:r>
                </m:sub>
              </m:sSub>
            </m:den>
          </m:f>
          <m:r>
            <m:rPr>
              <m:sty m:val="p"/>
            </m:rPr>
            <w:rPr>
              <w:rFonts w:ascii="Cambria Math" w:hAnsi="Cambria Math" w:cs="Times New Roman"/>
              <w:sz w:val="20"/>
              <w:szCs w:val="20"/>
            </w:rPr>
            <m:t xml:space="preserve"> </m:t>
          </m:r>
        </m:oMath>
      </m:oMathPara>
    </w:p>
    <w:p w14:paraId="7BB267C5" w14:textId="30731EDD" w:rsidR="00786760" w:rsidRPr="00786760" w:rsidRDefault="00786760" w:rsidP="00786760">
      <w:pPr>
        <w:rPr>
          <w:rFonts w:ascii="Times New Roman" w:hAnsi="Times New Roman" w:cs="Times New Roman"/>
          <w:sz w:val="20"/>
          <w:szCs w:val="20"/>
        </w:rPr>
      </w:pPr>
      <w:r w:rsidRPr="00786760">
        <w:rPr>
          <w:rFonts w:ascii="Times New Roman" w:hAnsi="Times New Roman" w:cs="Times New Roman"/>
          <w:sz w:val="20"/>
          <w:szCs w:val="20"/>
        </w:rPr>
        <w:t xml:space="preserve">This metric was evaluated across three distinct matrices for every leukocyte sub-lineage: internal authentic hospital data (A </w:t>
      </w:r>
      <w:r w:rsidR="00A7455B">
        <w:rPr>
          <w:rFonts w:ascii="Times New Roman" w:hAnsi="Times New Roman" w:cs="Times New Roman"/>
          <w:sz w:val="20"/>
          <w:szCs w:val="20"/>
        </w:rPr>
        <w:t>x</w:t>
      </w:r>
      <w:r w:rsidRPr="00786760">
        <w:rPr>
          <w:rFonts w:ascii="Times New Roman" w:hAnsi="Times New Roman" w:cs="Times New Roman"/>
          <w:sz w:val="20"/>
          <w:szCs w:val="20"/>
        </w:rPr>
        <w:t xml:space="preserve"> A), internal synthetic data (B </w:t>
      </w:r>
      <w:r w:rsidR="00A7455B">
        <w:rPr>
          <w:rFonts w:ascii="Times New Roman" w:hAnsi="Times New Roman" w:cs="Times New Roman"/>
          <w:sz w:val="20"/>
          <w:szCs w:val="20"/>
        </w:rPr>
        <w:t>x</w:t>
      </w:r>
      <w:r w:rsidRPr="00786760">
        <w:rPr>
          <w:rFonts w:ascii="Times New Roman" w:hAnsi="Times New Roman" w:cs="Times New Roman"/>
          <w:sz w:val="20"/>
          <w:szCs w:val="20"/>
        </w:rPr>
        <w:t xml:space="preserve"> B), and the cross-manifold comparison (A </w:t>
      </w:r>
      <w:r w:rsidR="00A7455B">
        <w:rPr>
          <w:rFonts w:ascii="Times New Roman" w:hAnsi="Times New Roman" w:cs="Times New Roman"/>
          <w:sz w:val="20"/>
          <w:szCs w:val="20"/>
        </w:rPr>
        <w:t>x</w:t>
      </w:r>
      <w:r w:rsidRPr="00786760">
        <w:rPr>
          <w:rFonts w:ascii="Times New Roman" w:hAnsi="Times New Roman" w:cs="Times New Roman"/>
          <w:sz w:val="20"/>
          <w:szCs w:val="20"/>
        </w:rPr>
        <w:t xml:space="preserve"> B). (</w:t>
      </w:r>
      <w:r w:rsidR="000244FC" w:rsidRPr="00EA51CA">
        <w:rPr>
          <w:rFonts w:ascii="Times New Roman" w:hAnsi="Times New Roman" w:cs="Times New Roman"/>
        </w:rPr>
        <w:t xml:space="preserve">Figure </w:t>
      </w:r>
      <w:r w:rsidR="00A635F0">
        <w:rPr>
          <w:rFonts w:ascii="Times New Roman" w:hAnsi="Times New Roman" w:cs="Times New Roman"/>
        </w:rPr>
        <w:t>3c, Quantitative deep feature cosine similarity analysis) and confirmed a negligible domain gap,</w:t>
      </w:r>
      <w:r w:rsidRPr="00786760">
        <w:rPr>
          <w:rFonts w:ascii="Times New Roman" w:hAnsi="Times New Roman" w:cs="Times New Roman"/>
          <w:sz w:val="20"/>
          <w:szCs w:val="20"/>
        </w:rPr>
        <w:t xml:space="preserve"> to explicitly demonstrate the absence of generative mode collapse.</w:t>
      </w:r>
    </w:p>
    <w:p w14:paraId="640DA004" w14:textId="539F81AD" w:rsidR="00786760" w:rsidRDefault="00786760">
      <w:pPr>
        <w:rPr>
          <w:rFonts w:ascii="Times New Roman" w:hAnsi="Times New Roman" w:cs="Times New Roman"/>
          <w:sz w:val="20"/>
          <w:szCs w:val="20"/>
        </w:rPr>
      </w:pPr>
      <w:r w:rsidRPr="00786760">
        <w:rPr>
          <w:rFonts w:ascii="Times New Roman" w:hAnsi="Times New Roman" w:cs="Times New Roman"/>
          <w:sz w:val="20"/>
          <w:szCs w:val="20"/>
        </w:rPr>
        <w:t xml:space="preserve">In a collapsed generative model, the synthetic intra-class variance (B </w:t>
      </w:r>
      <w:r w:rsidR="00A635F0">
        <w:rPr>
          <w:rFonts w:ascii="Times New Roman" w:hAnsi="Times New Roman" w:cs="Times New Roman"/>
          <w:sz w:val="20"/>
          <w:szCs w:val="20"/>
        </w:rPr>
        <w:t>x</w:t>
      </w:r>
      <w:r w:rsidRPr="00786760">
        <w:rPr>
          <w:rFonts w:ascii="Times New Roman" w:hAnsi="Times New Roman" w:cs="Times New Roman"/>
          <w:sz w:val="20"/>
          <w:szCs w:val="20"/>
        </w:rPr>
        <w:t xml:space="preserve"> B) would present as an artificially narrow spike approaching a similarity of 1.0, indicating the network is simply memorizing and reproducing a single "average" cell. Conversely, our framework generated distinct, diverse cellular morphologies, maintaining a broad interquartile range highly analogous to the authentic clinical samples. The exact minimum, maximum, and mean values for the cross-similarity of all 11 hematological classes are fully detailed in </w:t>
      </w:r>
      <w:r w:rsidRPr="0029144F">
        <w:rPr>
          <w:rFonts w:ascii="Times New Roman" w:hAnsi="Times New Roman" w:cs="Times New Roman"/>
          <w:b/>
          <w:bCs/>
          <w:sz w:val="20"/>
          <w:szCs w:val="20"/>
        </w:rPr>
        <w:t>Supplementary Table S3</w:t>
      </w:r>
      <w:r w:rsidRPr="00786760">
        <w:rPr>
          <w:rFonts w:ascii="Times New Roman" w:hAnsi="Times New Roman" w:cs="Times New Roman"/>
          <w:sz w:val="20"/>
          <w:szCs w:val="20"/>
        </w:rPr>
        <w:t>.</w:t>
      </w:r>
    </w:p>
    <w:p w14:paraId="4D8262A2" w14:textId="27F61613" w:rsidR="0029144F" w:rsidRPr="00A635F0" w:rsidRDefault="0029144F">
      <w:pPr>
        <w:rPr>
          <w:rFonts w:ascii="Times New Roman" w:hAnsi="Times New Roman" w:cs="Times New Roman"/>
          <w:sz w:val="20"/>
          <w:szCs w:val="20"/>
        </w:rPr>
      </w:pPr>
      <w:r w:rsidRPr="0029144F">
        <w:rPr>
          <w:rFonts w:ascii="Times New Roman" w:hAnsi="Times New Roman" w:cs="Times New Roman"/>
          <w:b/>
          <w:bCs/>
          <w:sz w:val="20"/>
          <w:szCs w:val="20"/>
        </w:rPr>
        <w:t>Clinical Blinded Validation and Visual Turing Test</w:t>
      </w:r>
      <w:r w:rsidRPr="0029144F">
        <w:rPr>
          <w:rFonts w:ascii="Times New Roman" w:hAnsi="Times New Roman" w:cs="Times New Roman"/>
          <w:sz w:val="20"/>
          <w:szCs w:val="20"/>
        </w:rPr>
        <w:t xml:space="preserve"> To rigorously assess the domain gap between authentic clinical smears and the synthetic generative manifold, a blinded Visual Turing Test was conducted. Three independent, board-certified hematopathologists were tasked with evaluating a randomized, balanced subset of 220 images (110 authentic, 110 synthetic). The experts were instructed to flag any image presenting with synthetic artifacts, unnatural chromatic distributions, or biologically implausible morphometrics. Furthermore, diagnostic feature preservation was assessed on a separate 200-image synthetic subset. The full concordance metrics and synthetic identification rates are detailed in </w:t>
      </w:r>
      <w:r w:rsidRPr="0029144F">
        <w:rPr>
          <w:rFonts w:ascii="Times New Roman" w:hAnsi="Times New Roman" w:cs="Times New Roman"/>
          <w:b/>
          <w:bCs/>
          <w:sz w:val="20"/>
          <w:szCs w:val="20"/>
        </w:rPr>
        <w:t>Supplementary Table S2</w:t>
      </w:r>
      <w:r w:rsidRPr="0029144F">
        <w:rPr>
          <w:rFonts w:ascii="Times New Roman" w:hAnsi="Times New Roman" w:cs="Times New Roman"/>
          <w:sz w:val="20"/>
          <w:szCs w:val="20"/>
        </w:rPr>
        <w:t>.</w:t>
      </w:r>
    </w:p>
    <w:p w14:paraId="12F7AFAF" w14:textId="6211E867" w:rsidR="00CA129E" w:rsidRDefault="0052786F">
      <w:pPr>
        <w:rPr>
          <w:rFonts w:ascii="Times New Roman" w:hAnsi="Times New Roman" w:cs="Times New Roman"/>
          <w:sz w:val="20"/>
          <w:szCs w:val="20"/>
        </w:rPr>
      </w:pPr>
      <w:r w:rsidRPr="0052786F">
        <w:rPr>
          <w:rFonts w:ascii="Times New Roman" w:hAnsi="Times New Roman" w:cs="Times New Roman"/>
          <w:b/>
          <w:bCs/>
          <w:sz w:val="20"/>
          <w:szCs w:val="20"/>
        </w:rPr>
        <w:t>Supplementary Table S2: Expert Concordance and Visual Turing Test Results</w:t>
      </w:r>
      <w:r w:rsidRPr="0052786F">
        <w:rPr>
          <w:rFonts w:ascii="Times New Roman" w:hAnsi="Times New Roman" w:cs="Times New Roman"/>
          <w:sz w:val="20"/>
          <w:szCs w:val="20"/>
        </w:rPr>
        <w:t xml:space="preserve"> </w:t>
      </w:r>
      <w:r w:rsidRPr="0052786F">
        <w:rPr>
          <w:rFonts w:ascii="Times New Roman" w:hAnsi="Times New Roman" w:cs="Times New Roman"/>
          <w:i/>
          <w:iCs/>
          <w:sz w:val="20"/>
          <w:szCs w:val="20"/>
        </w:rPr>
        <w:t>Blinded clinical validation evaluating diagnostic feature preservation and the domain gap between authentic and synthetic leukocyte manifolds.</w:t>
      </w:r>
    </w:p>
    <w:tbl>
      <w:tblPr>
        <w:tblStyle w:val="TableGrid"/>
        <w:tblW w:w="0" w:type="auto"/>
        <w:tblLook w:val="04A0" w:firstRow="1" w:lastRow="0" w:firstColumn="1" w:lastColumn="0" w:noHBand="0" w:noVBand="1"/>
      </w:tblPr>
      <w:tblGrid>
        <w:gridCol w:w="4135"/>
        <w:gridCol w:w="1260"/>
        <w:gridCol w:w="1890"/>
        <w:gridCol w:w="1731"/>
      </w:tblGrid>
      <w:tr w:rsidR="0052786F" w14:paraId="57EB7092" w14:textId="77777777" w:rsidTr="001F0662">
        <w:tc>
          <w:tcPr>
            <w:tcW w:w="4135" w:type="dxa"/>
            <w:vAlign w:val="center"/>
          </w:tcPr>
          <w:p w14:paraId="2D8C4BC6" w14:textId="77777777" w:rsidR="0052786F" w:rsidRPr="00EA197B" w:rsidRDefault="0052786F" w:rsidP="001F0662">
            <w:pPr>
              <w:spacing w:line="360" w:lineRule="auto"/>
              <w:rPr>
                <w:rFonts w:ascii="Times New Roman" w:hAnsi="Times New Roman" w:cs="Times New Roman"/>
                <w:sz w:val="24"/>
                <w:szCs w:val="24"/>
              </w:rPr>
            </w:pPr>
            <w:r w:rsidRPr="00EA197B">
              <w:rPr>
                <w:rStyle w:val="Strong"/>
                <w:rFonts w:ascii="Times New Roman" w:hAnsi="Times New Roman" w:cs="Times New Roman"/>
                <w:sz w:val="24"/>
                <w:szCs w:val="24"/>
              </w:rPr>
              <w:t>Evaluation Metric</w:t>
            </w:r>
          </w:p>
        </w:tc>
        <w:tc>
          <w:tcPr>
            <w:tcW w:w="1260" w:type="dxa"/>
            <w:vAlign w:val="center"/>
          </w:tcPr>
          <w:p w14:paraId="7A43A931" w14:textId="77777777" w:rsidR="0052786F" w:rsidRPr="00EA197B" w:rsidRDefault="0052786F" w:rsidP="001F0662">
            <w:pPr>
              <w:spacing w:line="360" w:lineRule="auto"/>
              <w:jc w:val="center"/>
              <w:rPr>
                <w:rFonts w:ascii="Times New Roman" w:hAnsi="Times New Roman" w:cs="Times New Roman"/>
                <w:sz w:val="24"/>
                <w:szCs w:val="24"/>
              </w:rPr>
            </w:pPr>
            <w:r w:rsidRPr="00EA197B">
              <w:rPr>
                <w:rStyle w:val="Strong"/>
                <w:rFonts w:ascii="Times New Roman" w:hAnsi="Times New Roman" w:cs="Times New Roman"/>
                <w:sz w:val="24"/>
                <w:szCs w:val="24"/>
              </w:rPr>
              <w:t>Expert 1</w:t>
            </w:r>
          </w:p>
        </w:tc>
        <w:tc>
          <w:tcPr>
            <w:tcW w:w="1890" w:type="dxa"/>
            <w:vAlign w:val="center"/>
          </w:tcPr>
          <w:p w14:paraId="10BEBAD5" w14:textId="77777777" w:rsidR="0052786F" w:rsidRPr="00EA197B" w:rsidRDefault="0052786F" w:rsidP="001F0662">
            <w:pPr>
              <w:spacing w:line="360" w:lineRule="auto"/>
              <w:jc w:val="center"/>
              <w:rPr>
                <w:rFonts w:ascii="Times New Roman" w:hAnsi="Times New Roman" w:cs="Times New Roman"/>
                <w:sz w:val="24"/>
                <w:szCs w:val="24"/>
              </w:rPr>
            </w:pPr>
            <w:r w:rsidRPr="00EA197B">
              <w:rPr>
                <w:rStyle w:val="Strong"/>
                <w:rFonts w:ascii="Times New Roman" w:hAnsi="Times New Roman" w:cs="Times New Roman"/>
                <w:sz w:val="24"/>
                <w:szCs w:val="24"/>
              </w:rPr>
              <w:t>Expert 2</w:t>
            </w:r>
          </w:p>
        </w:tc>
        <w:tc>
          <w:tcPr>
            <w:tcW w:w="1731" w:type="dxa"/>
            <w:vAlign w:val="center"/>
          </w:tcPr>
          <w:p w14:paraId="001244F1" w14:textId="77777777" w:rsidR="0052786F" w:rsidRPr="00EA197B" w:rsidRDefault="0052786F" w:rsidP="001F0662">
            <w:pPr>
              <w:spacing w:line="360" w:lineRule="auto"/>
              <w:jc w:val="center"/>
              <w:rPr>
                <w:rFonts w:ascii="Times New Roman" w:hAnsi="Times New Roman" w:cs="Times New Roman"/>
                <w:sz w:val="24"/>
                <w:szCs w:val="24"/>
              </w:rPr>
            </w:pPr>
            <w:r w:rsidRPr="00EA197B">
              <w:rPr>
                <w:rStyle w:val="Strong"/>
                <w:rFonts w:ascii="Times New Roman" w:hAnsi="Times New Roman" w:cs="Times New Roman"/>
                <w:sz w:val="24"/>
                <w:szCs w:val="24"/>
              </w:rPr>
              <w:t>Expert 3</w:t>
            </w:r>
          </w:p>
        </w:tc>
      </w:tr>
      <w:tr w:rsidR="0052786F" w14:paraId="09184BDC" w14:textId="77777777" w:rsidTr="001F0662">
        <w:tc>
          <w:tcPr>
            <w:tcW w:w="9016" w:type="dxa"/>
            <w:gridSpan w:val="4"/>
          </w:tcPr>
          <w:p w14:paraId="7E4A7285" w14:textId="77777777" w:rsidR="0052786F" w:rsidRPr="00EA197B" w:rsidRDefault="0052786F" w:rsidP="001F0662">
            <w:pPr>
              <w:spacing w:line="360" w:lineRule="auto"/>
              <w:rPr>
                <w:rFonts w:ascii="Times New Roman" w:hAnsi="Times New Roman" w:cs="Times New Roman"/>
                <w:b/>
                <w:bCs/>
                <w:sz w:val="24"/>
                <w:szCs w:val="24"/>
              </w:rPr>
            </w:pPr>
            <w:r w:rsidRPr="00EA197B">
              <w:rPr>
                <w:rFonts w:ascii="Times New Roman" w:hAnsi="Times New Roman" w:cs="Times New Roman"/>
                <w:b/>
                <w:bCs/>
                <w:sz w:val="24"/>
                <w:szCs w:val="24"/>
              </w:rPr>
              <w:t>Phase 1: Diagnostic Feature Preservation</w:t>
            </w:r>
          </w:p>
        </w:tc>
      </w:tr>
      <w:tr w:rsidR="0052786F" w14:paraId="5B0D17AF" w14:textId="77777777" w:rsidTr="001F0662">
        <w:tc>
          <w:tcPr>
            <w:tcW w:w="4135" w:type="dxa"/>
          </w:tcPr>
          <w:p w14:paraId="0422EE00"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Total Images Reviewed</w:t>
            </w:r>
          </w:p>
        </w:tc>
        <w:tc>
          <w:tcPr>
            <w:tcW w:w="1260" w:type="dxa"/>
          </w:tcPr>
          <w:p w14:paraId="4B111685"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200</w:t>
            </w:r>
          </w:p>
        </w:tc>
        <w:tc>
          <w:tcPr>
            <w:tcW w:w="1890" w:type="dxa"/>
          </w:tcPr>
          <w:p w14:paraId="6999BFB6"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200</w:t>
            </w:r>
          </w:p>
        </w:tc>
        <w:tc>
          <w:tcPr>
            <w:tcW w:w="1731" w:type="dxa"/>
          </w:tcPr>
          <w:p w14:paraId="4A5C8953"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200</w:t>
            </w:r>
          </w:p>
        </w:tc>
      </w:tr>
      <w:tr w:rsidR="0052786F" w14:paraId="3C6FAF4D" w14:textId="77777777" w:rsidTr="001F0662">
        <w:tc>
          <w:tcPr>
            <w:tcW w:w="4135" w:type="dxa"/>
          </w:tcPr>
          <w:p w14:paraId="205268F2"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Correct Lineage Diagnoses</w:t>
            </w:r>
          </w:p>
        </w:tc>
        <w:tc>
          <w:tcPr>
            <w:tcW w:w="1260" w:type="dxa"/>
          </w:tcPr>
          <w:p w14:paraId="1490D3A0"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194</w:t>
            </w:r>
          </w:p>
        </w:tc>
        <w:tc>
          <w:tcPr>
            <w:tcW w:w="1890" w:type="dxa"/>
          </w:tcPr>
          <w:p w14:paraId="13134E16"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154</w:t>
            </w:r>
          </w:p>
        </w:tc>
        <w:tc>
          <w:tcPr>
            <w:tcW w:w="1731" w:type="dxa"/>
          </w:tcPr>
          <w:p w14:paraId="66A754DE"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159</w:t>
            </w:r>
          </w:p>
        </w:tc>
      </w:tr>
      <w:tr w:rsidR="0052786F" w14:paraId="564DDFBA" w14:textId="77777777" w:rsidTr="001F0662">
        <w:tc>
          <w:tcPr>
            <w:tcW w:w="4135" w:type="dxa"/>
          </w:tcPr>
          <w:p w14:paraId="23A4F0F8" w14:textId="77777777" w:rsidR="0052786F" w:rsidRPr="00513B1A" w:rsidRDefault="0052786F" w:rsidP="001F0662">
            <w:pPr>
              <w:spacing w:line="360" w:lineRule="auto"/>
              <w:rPr>
                <w:rFonts w:ascii="Times New Roman" w:hAnsi="Times New Roman" w:cs="Times New Roman"/>
                <w:b/>
                <w:bCs/>
              </w:rPr>
            </w:pPr>
            <w:r w:rsidRPr="00513B1A">
              <w:rPr>
                <w:rFonts w:ascii="Times New Roman" w:hAnsi="Times New Roman" w:cs="Times New Roman"/>
                <w:b/>
                <w:bCs/>
              </w:rPr>
              <w:t>Diagnostic Accuracy (%)</w:t>
            </w:r>
          </w:p>
        </w:tc>
        <w:tc>
          <w:tcPr>
            <w:tcW w:w="1260" w:type="dxa"/>
          </w:tcPr>
          <w:p w14:paraId="09BD2553"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97.0%</w:t>
            </w:r>
          </w:p>
        </w:tc>
        <w:tc>
          <w:tcPr>
            <w:tcW w:w="1890" w:type="dxa"/>
          </w:tcPr>
          <w:p w14:paraId="384DA2B7"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77.0%</w:t>
            </w:r>
          </w:p>
        </w:tc>
        <w:tc>
          <w:tcPr>
            <w:tcW w:w="1731" w:type="dxa"/>
          </w:tcPr>
          <w:p w14:paraId="15681DDA"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79.5%</w:t>
            </w:r>
          </w:p>
        </w:tc>
      </w:tr>
      <w:tr w:rsidR="0052786F" w14:paraId="29359683" w14:textId="77777777" w:rsidTr="001F0662">
        <w:tc>
          <w:tcPr>
            <w:tcW w:w="9016" w:type="dxa"/>
            <w:gridSpan w:val="4"/>
          </w:tcPr>
          <w:p w14:paraId="048CD0DE" w14:textId="77777777" w:rsidR="0052786F" w:rsidRPr="00EA197B" w:rsidRDefault="0052786F" w:rsidP="001F0662">
            <w:pPr>
              <w:spacing w:line="360" w:lineRule="auto"/>
              <w:rPr>
                <w:rFonts w:ascii="Times New Roman" w:hAnsi="Times New Roman" w:cs="Times New Roman"/>
                <w:b/>
                <w:bCs/>
                <w:sz w:val="24"/>
                <w:szCs w:val="24"/>
              </w:rPr>
            </w:pPr>
            <w:r w:rsidRPr="00EA197B">
              <w:rPr>
                <w:rFonts w:ascii="Times New Roman" w:hAnsi="Times New Roman" w:cs="Times New Roman"/>
                <w:b/>
                <w:bCs/>
                <w:sz w:val="24"/>
                <w:szCs w:val="24"/>
              </w:rPr>
              <w:lastRenderedPageBreak/>
              <w:t>Phase 2: Visual Turing Test (Domain Gap Analysis)</w:t>
            </w:r>
          </w:p>
        </w:tc>
      </w:tr>
      <w:tr w:rsidR="0052786F" w14:paraId="4654A8AB" w14:textId="77777777" w:rsidTr="001F0662">
        <w:tc>
          <w:tcPr>
            <w:tcW w:w="4135" w:type="dxa"/>
          </w:tcPr>
          <w:p w14:paraId="07DBEC78"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Total Images Reviewed</w:t>
            </w:r>
          </w:p>
        </w:tc>
        <w:tc>
          <w:tcPr>
            <w:tcW w:w="1260" w:type="dxa"/>
          </w:tcPr>
          <w:p w14:paraId="1B0B7902"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220</w:t>
            </w:r>
          </w:p>
        </w:tc>
        <w:tc>
          <w:tcPr>
            <w:tcW w:w="1890" w:type="dxa"/>
          </w:tcPr>
          <w:p w14:paraId="222E0B29"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220</w:t>
            </w:r>
          </w:p>
        </w:tc>
        <w:tc>
          <w:tcPr>
            <w:tcW w:w="1731" w:type="dxa"/>
          </w:tcPr>
          <w:p w14:paraId="5B6ED7AB"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220</w:t>
            </w:r>
          </w:p>
        </w:tc>
      </w:tr>
      <w:tr w:rsidR="0052786F" w14:paraId="2D51414B" w14:textId="77777777" w:rsidTr="001F0662">
        <w:tc>
          <w:tcPr>
            <w:tcW w:w="4135" w:type="dxa"/>
          </w:tcPr>
          <w:p w14:paraId="38D77107"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 xml:space="preserve">Authentic Clinical Samples </w:t>
            </w:r>
          </w:p>
        </w:tc>
        <w:tc>
          <w:tcPr>
            <w:tcW w:w="1260" w:type="dxa"/>
          </w:tcPr>
          <w:p w14:paraId="3C17E944"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c>
          <w:tcPr>
            <w:tcW w:w="1890" w:type="dxa"/>
          </w:tcPr>
          <w:p w14:paraId="7C5CB9BB"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c>
          <w:tcPr>
            <w:tcW w:w="1731" w:type="dxa"/>
          </w:tcPr>
          <w:p w14:paraId="0C4E2795"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r>
      <w:tr w:rsidR="0052786F" w14:paraId="2156DC2A" w14:textId="77777777" w:rsidTr="001F0662">
        <w:tc>
          <w:tcPr>
            <w:tcW w:w="4135" w:type="dxa"/>
          </w:tcPr>
          <w:p w14:paraId="21429CA2"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 xml:space="preserve">Synthetic Generated Samples </w:t>
            </w:r>
          </w:p>
        </w:tc>
        <w:tc>
          <w:tcPr>
            <w:tcW w:w="1260" w:type="dxa"/>
          </w:tcPr>
          <w:p w14:paraId="137FCA25"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c>
          <w:tcPr>
            <w:tcW w:w="1890" w:type="dxa"/>
          </w:tcPr>
          <w:p w14:paraId="287AB85F"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c>
          <w:tcPr>
            <w:tcW w:w="1731" w:type="dxa"/>
          </w:tcPr>
          <w:p w14:paraId="06FFE091"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110</w:t>
            </w:r>
          </w:p>
        </w:tc>
      </w:tr>
      <w:tr w:rsidR="0052786F" w14:paraId="625252C3" w14:textId="77777777" w:rsidTr="001F0662">
        <w:tc>
          <w:tcPr>
            <w:tcW w:w="4135" w:type="dxa"/>
          </w:tcPr>
          <w:p w14:paraId="1C4907A9"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Real Images Correctly Identified</w:t>
            </w:r>
          </w:p>
        </w:tc>
        <w:tc>
          <w:tcPr>
            <w:tcW w:w="1260" w:type="dxa"/>
          </w:tcPr>
          <w:p w14:paraId="38B78E0D"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25</w:t>
            </w:r>
          </w:p>
        </w:tc>
        <w:tc>
          <w:tcPr>
            <w:tcW w:w="1890" w:type="dxa"/>
          </w:tcPr>
          <w:p w14:paraId="74D15047"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98</w:t>
            </w:r>
          </w:p>
        </w:tc>
        <w:tc>
          <w:tcPr>
            <w:tcW w:w="1731" w:type="dxa"/>
          </w:tcPr>
          <w:p w14:paraId="1D019F8B"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55</w:t>
            </w:r>
          </w:p>
        </w:tc>
      </w:tr>
      <w:tr w:rsidR="0052786F" w14:paraId="6A6367CB" w14:textId="77777777" w:rsidTr="001F0662">
        <w:tc>
          <w:tcPr>
            <w:tcW w:w="4135" w:type="dxa"/>
          </w:tcPr>
          <w:p w14:paraId="0B3DF6AF"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Synthetic Images Correctly Flagged</w:t>
            </w:r>
          </w:p>
        </w:tc>
        <w:tc>
          <w:tcPr>
            <w:tcW w:w="1260" w:type="dxa"/>
          </w:tcPr>
          <w:p w14:paraId="632D4401"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10</w:t>
            </w:r>
          </w:p>
        </w:tc>
        <w:tc>
          <w:tcPr>
            <w:tcW w:w="1890" w:type="dxa"/>
          </w:tcPr>
          <w:p w14:paraId="5A96CF8D"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10</w:t>
            </w:r>
          </w:p>
        </w:tc>
        <w:tc>
          <w:tcPr>
            <w:tcW w:w="1731" w:type="dxa"/>
          </w:tcPr>
          <w:p w14:paraId="66A5315B"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87</w:t>
            </w:r>
          </w:p>
        </w:tc>
      </w:tr>
      <w:tr w:rsidR="0052786F" w14:paraId="40B506E7" w14:textId="77777777" w:rsidTr="001F0662">
        <w:tc>
          <w:tcPr>
            <w:tcW w:w="4135" w:type="dxa"/>
          </w:tcPr>
          <w:p w14:paraId="0291BAA1" w14:textId="77777777" w:rsidR="0052786F" w:rsidRPr="00513B1A" w:rsidRDefault="0052786F" w:rsidP="001F0662">
            <w:pPr>
              <w:spacing w:line="360" w:lineRule="auto"/>
              <w:rPr>
                <w:rFonts w:ascii="Times New Roman" w:hAnsi="Times New Roman" w:cs="Times New Roman"/>
                <w:b/>
                <w:bCs/>
              </w:rPr>
            </w:pPr>
            <w:r w:rsidRPr="00513B1A">
              <w:rPr>
                <w:rFonts w:ascii="Times New Roman" w:hAnsi="Times New Roman" w:cs="Times New Roman"/>
                <w:b/>
                <w:bCs/>
              </w:rPr>
              <w:t>Synthetic Identification Rate (%)</w:t>
            </w:r>
          </w:p>
        </w:tc>
        <w:tc>
          <w:tcPr>
            <w:tcW w:w="1260" w:type="dxa"/>
          </w:tcPr>
          <w:p w14:paraId="2BB16AD6"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9.1%</w:t>
            </w:r>
          </w:p>
        </w:tc>
        <w:tc>
          <w:tcPr>
            <w:tcW w:w="1890" w:type="dxa"/>
          </w:tcPr>
          <w:p w14:paraId="505C5DFF"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9.1%</w:t>
            </w:r>
          </w:p>
        </w:tc>
        <w:tc>
          <w:tcPr>
            <w:tcW w:w="1731" w:type="dxa"/>
          </w:tcPr>
          <w:p w14:paraId="028EF0B5" w14:textId="77777777" w:rsidR="0052786F" w:rsidRPr="00513B1A" w:rsidRDefault="0052786F" w:rsidP="001F0662">
            <w:pPr>
              <w:spacing w:line="360" w:lineRule="auto"/>
              <w:jc w:val="center"/>
              <w:rPr>
                <w:rFonts w:ascii="Times New Roman" w:hAnsi="Times New Roman" w:cs="Times New Roman"/>
                <w:b/>
                <w:bCs/>
              </w:rPr>
            </w:pPr>
            <w:r w:rsidRPr="00513B1A">
              <w:rPr>
                <w:rFonts w:ascii="Times New Roman" w:hAnsi="Times New Roman" w:cs="Times New Roman"/>
                <w:b/>
                <w:bCs/>
              </w:rPr>
              <w:t>79.1%</w:t>
            </w:r>
          </w:p>
        </w:tc>
      </w:tr>
      <w:tr w:rsidR="0052786F" w14:paraId="72D600D7" w14:textId="77777777" w:rsidTr="001F0662">
        <w:tc>
          <w:tcPr>
            <w:tcW w:w="9016" w:type="dxa"/>
            <w:gridSpan w:val="4"/>
          </w:tcPr>
          <w:p w14:paraId="7BD699C4" w14:textId="77777777" w:rsidR="0052786F" w:rsidRPr="00EA197B" w:rsidRDefault="0052786F" w:rsidP="001F0662">
            <w:pPr>
              <w:spacing w:line="360" w:lineRule="auto"/>
              <w:rPr>
                <w:rFonts w:ascii="Times New Roman" w:hAnsi="Times New Roman" w:cs="Times New Roman"/>
                <w:b/>
                <w:bCs/>
                <w:sz w:val="24"/>
                <w:szCs w:val="24"/>
              </w:rPr>
            </w:pPr>
            <w:r w:rsidRPr="00EA197B">
              <w:rPr>
                <w:rFonts w:ascii="Times New Roman" w:hAnsi="Times New Roman" w:cs="Times New Roman"/>
                <w:b/>
                <w:bCs/>
                <w:sz w:val="24"/>
                <w:szCs w:val="24"/>
              </w:rPr>
              <w:t>Phase 3: Generative Quality Control</w:t>
            </w:r>
          </w:p>
        </w:tc>
      </w:tr>
      <w:tr w:rsidR="0052786F" w14:paraId="4FD82353" w14:textId="77777777" w:rsidTr="001F0662">
        <w:tc>
          <w:tcPr>
            <w:tcW w:w="4135" w:type="dxa"/>
          </w:tcPr>
          <w:p w14:paraId="16EB3610" w14:textId="77777777" w:rsidR="0052786F" w:rsidRPr="00EA197B" w:rsidRDefault="0052786F" w:rsidP="001F0662">
            <w:pPr>
              <w:spacing w:line="360" w:lineRule="auto"/>
              <w:rPr>
                <w:rFonts w:ascii="Times New Roman" w:hAnsi="Times New Roman" w:cs="Times New Roman"/>
              </w:rPr>
            </w:pPr>
            <w:r w:rsidRPr="00EA197B">
              <w:rPr>
                <w:rFonts w:ascii="Times New Roman" w:hAnsi="Times New Roman" w:cs="Times New Roman"/>
              </w:rPr>
              <w:t>Images Rejected (Morphological Artifacts)</w:t>
            </w:r>
          </w:p>
        </w:tc>
        <w:tc>
          <w:tcPr>
            <w:tcW w:w="1260" w:type="dxa"/>
          </w:tcPr>
          <w:p w14:paraId="5885C453"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0</w:t>
            </w:r>
          </w:p>
        </w:tc>
        <w:tc>
          <w:tcPr>
            <w:tcW w:w="1890" w:type="dxa"/>
          </w:tcPr>
          <w:p w14:paraId="1EC98D0E"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0</w:t>
            </w:r>
          </w:p>
        </w:tc>
        <w:tc>
          <w:tcPr>
            <w:tcW w:w="1731" w:type="dxa"/>
          </w:tcPr>
          <w:p w14:paraId="353510F4" w14:textId="77777777" w:rsidR="0052786F" w:rsidRPr="00EA197B" w:rsidRDefault="0052786F" w:rsidP="001F0662">
            <w:pPr>
              <w:spacing w:line="360" w:lineRule="auto"/>
              <w:jc w:val="center"/>
              <w:rPr>
                <w:rFonts w:ascii="Times New Roman" w:hAnsi="Times New Roman" w:cs="Times New Roman"/>
              </w:rPr>
            </w:pPr>
            <w:r w:rsidRPr="00EA197B">
              <w:rPr>
                <w:rFonts w:ascii="Times New Roman" w:hAnsi="Times New Roman" w:cs="Times New Roman"/>
              </w:rPr>
              <w:t>0</w:t>
            </w:r>
          </w:p>
        </w:tc>
      </w:tr>
    </w:tbl>
    <w:p w14:paraId="36E5DF7C" w14:textId="77777777" w:rsidR="0019649F" w:rsidRDefault="0019649F" w:rsidP="0052786F">
      <w:pPr>
        <w:rPr>
          <w:rFonts w:ascii="Times New Roman" w:hAnsi="Times New Roman" w:cs="Times New Roman"/>
          <w:b/>
          <w:bCs/>
          <w:sz w:val="20"/>
          <w:szCs w:val="20"/>
        </w:rPr>
      </w:pPr>
    </w:p>
    <w:p w14:paraId="3858C7CE" w14:textId="537A4CA7" w:rsidR="0052786F" w:rsidRPr="0052786F" w:rsidRDefault="0052786F" w:rsidP="0052786F">
      <w:pPr>
        <w:rPr>
          <w:rFonts w:ascii="Times New Roman" w:hAnsi="Times New Roman" w:cs="Times New Roman"/>
          <w:sz w:val="20"/>
          <w:szCs w:val="20"/>
        </w:rPr>
      </w:pPr>
      <w:r w:rsidRPr="0052786F">
        <w:rPr>
          <w:rFonts w:ascii="Times New Roman" w:hAnsi="Times New Roman" w:cs="Times New Roman"/>
          <w:b/>
          <w:bCs/>
          <w:sz w:val="20"/>
          <w:szCs w:val="20"/>
        </w:rPr>
        <w:t>Supplementary Table S3: Quantitative Deep Feature Cosine Similarity Distributions</w:t>
      </w:r>
      <w:r w:rsidRPr="0052786F">
        <w:rPr>
          <w:rFonts w:ascii="Times New Roman" w:hAnsi="Times New Roman" w:cs="Times New Roman"/>
          <w:sz w:val="20"/>
          <w:szCs w:val="20"/>
        </w:rPr>
        <w:t xml:space="preserve"> </w:t>
      </w:r>
      <w:r w:rsidRPr="0052786F">
        <w:rPr>
          <w:rFonts w:ascii="Times New Roman" w:hAnsi="Times New Roman" w:cs="Times New Roman"/>
          <w:i/>
          <w:iCs/>
          <w:sz w:val="20"/>
          <w:szCs w:val="20"/>
        </w:rPr>
        <w:t xml:space="preserve">Pairwise cosine similarity metrics across internal hospital data (Real </w:t>
      </w:r>
      <w:r w:rsidR="009B6BCC">
        <w:rPr>
          <w:rFonts w:ascii="Times New Roman" w:hAnsi="Times New Roman" w:cs="Times New Roman"/>
          <w:i/>
          <w:iCs/>
          <w:sz w:val="20"/>
          <w:szCs w:val="20"/>
        </w:rPr>
        <w:t>*</w:t>
      </w:r>
      <w:r w:rsidRPr="0052786F">
        <w:rPr>
          <w:rFonts w:ascii="Times New Roman" w:hAnsi="Times New Roman" w:cs="Times New Roman"/>
          <w:i/>
          <w:iCs/>
          <w:sz w:val="20"/>
          <w:szCs w:val="20"/>
        </w:rPr>
        <w:t xml:space="preserve"> Real), synthetic data (</w:t>
      </w:r>
      <w:r w:rsidR="009B6BCC">
        <w:rPr>
          <w:rFonts w:ascii="Times New Roman" w:hAnsi="Times New Roman" w:cs="Times New Roman"/>
          <w:i/>
          <w:iCs/>
          <w:sz w:val="20"/>
          <w:szCs w:val="20"/>
        </w:rPr>
        <w:t>Syn *</w:t>
      </w:r>
      <w:r w:rsidRPr="0052786F">
        <w:rPr>
          <w:rFonts w:ascii="Times New Roman" w:hAnsi="Times New Roman" w:cs="Times New Roman"/>
          <w:i/>
          <w:iCs/>
          <w:sz w:val="20"/>
          <w:szCs w:val="20"/>
        </w:rPr>
        <w:t xml:space="preserve"> </w:t>
      </w:r>
      <w:r w:rsidR="009B6BCC">
        <w:rPr>
          <w:rFonts w:ascii="Times New Roman" w:hAnsi="Times New Roman" w:cs="Times New Roman"/>
          <w:i/>
          <w:iCs/>
          <w:sz w:val="20"/>
          <w:szCs w:val="20"/>
        </w:rPr>
        <w:t>Syn</w:t>
      </w:r>
      <w:r w:rsidRPr="0052786F">
        <w:rPr>
          <w:rFonts w:ascii="Times New Roman" w:hAnsi="Times New Roman" w:cs="Times New Roman"/>
          <w:i/>
          <w:iCs/>
          <w:sz w:val="20"/>
          <w:szCs w:val="20"/>
        </w:rPr>
        <w:t xml:space="preserve">), and cross-manifold validation (Real </w:t>
      </w:r>
      <w:r w:rsidR="009B6BCC">
        <w:rPr>
          <w:rFonts w:ascii="Times New Roman" w:hAnsi="Times New Roman" w:cs="Times New Roman"/>
          <w:i/>
          <w:iCs/>
          <w:sz w:val="20"/>
          <w:szCs w:val="20"/>
        </w:rPr>
        <w:t>* Syn</w:t>
      </w:r>
      <w:r w:rsidRPr="0052786F">
        <w:rPr>
          <w:rFonts w:ascii="Times New Roman" w:hAnsi="Times New Roman" w:cs="Times New Roman"/>
          <w:i/>
          <w:iCs/>
          <w:sz w:val="20"/>
          <w:szCs w:val="20"/>
        </w:rPr>
        <w:t>) to explicitly demonstrate the absence of generative mode collapse</w:t>
      </w:r>
    </w:p>
    <w:tbl>
      <w:tblPr>
        <w:tblStyle w:val="TableGrid"/>
        <w:tblW w:w="0" w:type="auto"/>
        <w:tblLook w:val="04A0" w:firstRow="1" w:lastRow="0" w:firstColumn="1" w:lastColumn="0" w:noHBand="0" w:noVBand="1"/>
      </w:tblPr>
      <w:tblGrid>
        <w:gridCol w:w="1929"/>
        <w:gridCol w:w="2213"/>
        <w:gridCol w:w="2054"/>
        <w:gridCol w:w="2133"/>
      </w:tblGrid>
      <w:tr w:rsidR="0052786F" w:rsidRPr="0052786F" w14:paraId="531F2EC2" w14:textId="77777777" w:rsidTr="0052786F">
        <w:tc>
          <w:tcPr>
            <w:tcW w:w="0" w:type="auto"/>
            <w:hideMark/>
          </w:tcPr>
          <w:p w14:paraId="651333D3" w14:textId="77777777" w:rsidR="0052786F" w:rsidRPr="0052786F" w:rsidRDefault="0052786F" w:rsidP="0052786F">
            <w:pPr>
              <w:widowControl/>
              <w:rPr>
                <w:rFonts w:ascii="Times New Roman" w:eastAsia="Times New Roman" w:hAnsi="Times New Roman" w:cs="Times New Roman"/>
                <w:b/>
                <w:bCs/>
                <w:color w:val="1F1F1F"/>
                <w:kern w:val="0"/>
                <w:sz w:val="24"/>
                <w:szCs w:val="24"/>
                <w14:ligatures w14:val="none"/>
              </w:rPr>
            </w:pPr>
            <w:r w:rsidRPr="0052786F">
              <w:rPr>
                <w:rFonts w:ascii="Times New Roman" w:eastAsia="Times New Roman" w:hAnsi="Times New Roman" w:cs="Times New Roman"/>
                <w:b/>
                <w:bCs/>
                <w:color w:val="1F1F1F"/>
                <w:kern w:val="0"/>
                <w:sz w:val="24"/>
                <w:szCs w:val="24"/>
                <w:bdr w:val="none" w:sz="0" w:space="0" w:color="auto" w:frame="1"/>
                <w14:ligatures w14:val="none"/>
              </w:rPr>
              <w:t>Cell Class</w:t>
            </w:r>
          </w:p>
        </w:tc>
        <w:tc>
          <w:tcPr>
            <w:tcW w:w="0" w:type="auto"/>
            <w:hideMark/>
          </w:tcPr>
          <w:p w14:paraId="2CB80783" w14:textId="77777777" w:rsidR="0052786F" w:rsidRPr="0052786F" w:rsidRDefault="0052786F" w:rsidP="00A635F0">
            <w:pPr>
              <w:widowControl/>
              <w:jc w:val="center"/>
              <w:rPr>
                <w:rFonts w:ascii="Times New Roman" w:eastAsia="Times New Roman" w:hAnsi="Times New Roman" w:cs="Times New Roman"/>
                <w:b/>
                <w:bCs/>
                <w:color w:val="1F1F1F"/>
                <w:kern w:val="0"/>
                <w:sz w:val="24"/>
                <w:szCs w:val="24"/>
                <w14:ligatures w14:val="none"/>
              </w:rPr>
            </w:pPr>
            <w:r w:rsidRPr="0052786F">
              <w:rPr>
                <w:rFonts w:ascii="Times New Roman" w:eastAsia="Times New Roman" w:hAnsi="Times New Roman" w:cs="Times New Roman"/>
                <w:b/>
                <w:bCs/>
                <w:color w:val="1F1F1F"/>
                <w:kern w:val="0"/>
                <w:sz w:val="24"/>
                <w:szCs w:val="24"/>
                <w:bdr w:val="none" w:sz="0" w:space="0" w:color="auto" w:frame="1"/>
                <w14:ligatures w14:val="none"/>
              </w:rPr>
              <w:t>Real × Real (Mean)</w:t>
            </w:r>
          </w:p>
        </w:tc>
        <w:tc>
          <w:tcPr>
            <w:tcW w:w="0" w:type="auto"/>
            <w:hideMark/>
          </w:tcPr>
          <w:p w14:paraId="2B04E89C" w14:textId="023EFDDE" w:rsidR="0052786F" w:rsidRPr="0052786F" w:rsidRDefault="009B6BCC" w:rsidP="00A635F0">
            <w:pPr>
              <w:widowControl/>
              <w:jc w:val="center"/>
              <w:rPr>
                <w:rFonts w:ascii="Times New Roman" w:eastAsia="Times New Roman" w:hAnsi="Times New Roman" w:cs="Times New Roman"/>
                <w:b/>
                <w:bCs/>
                <w:color w:val="1F1F1F"/>
                <w:kern w:val="0"/>
                <w:sz w:val="24"/>
                <w:szCs w:val="24"/>
                <w14:ligatures w14:val="none"/>
              </w:rPr>
            </w:pPr>
            <w:r w:rsidRPr="00A635F0">
              <w:rPr>
                <w:rFonts w:ascii="Times New Roman" w:eastAsia="Times New Roman" w:hAnsi="Times New Roman" w:cs="Times New Roman"/>
                <w:b/>
                <w:bCs/>
                <w:color w:val="1F1F1F"/>
                <w:kern w:val="0"/>
                <w:sz w:val="24"/>
                <w:szCs w:val="24"/>
                <w:bdr w:val="none" w:sz="0" w:space="0" w:color="auto" w:frame="1"/>
                <w14:ligatures w14:val="none"/>
              </w:rPr>
              <w:t>Syn</w:t>
            </w:r>
            <w:r w:rsidR="0052786F" w:rsidRPr="0052786F">
              <w:rPr>
                <w:rFonts w:ascii="Times New Roman" w:eastAsia="Times New Roman" w:hAnsi="Times New Roman" w:cs="Times New Roman"/>
                <w:b/>
                <w:bCs/>
                <w:color w:val="1F1F1F"/>
                <w:kern w:val="0"/>
                <w:sz w:val="24"/>
                <w:szCs w:val="24"/>
                <w:bdr w:val="none" w:sz="0" w:space="0" w:color="auto" w:frame="1"/>
                <w14:ligatures w14:val="none"/>
              </w:rPr>
              <w:t xml:space="preserve"> × </w:t>
            </w:r>
            <w:r w:rsidRPr="00A635F0">
              <w:rPr>
                <w:rFonts w:ascii="Times New Roman" w:eastAsia="Times New Roman" w:hAnsi="Times New Roman" w:cs="Times New Roman"/>
                <w:b/>
                <w:bCs/>
                <w:color w:val="1F1F1F"/>
                <w:kern w:val="0"/>
                <w:sz w:val="24"/>
                <w:szCs w:val="24"/>
                <w:bdr w:val="none" w:sz="0" w:space="0" w:color="auto" w:frame="1"/>
                <w14:ligatures w14:val="none"/>
              </w:rPr>
              <w:t>Syn</w:t>
            </w:r>
            <w:r w:rsidR="0052786F" w:rsidRPr="0052786F">
              <w:rPr>
                <w:rFonts w:ascii="Times New Roman" w:eastAsia="Times New Roman" w:hAnsi="Times New Roman" w:cs="Times New Roman"/>
                <w:b/>
                <w:bCs/>
                <w:color w:val="1F1F1F"/>
                <w:kern w:val="0"/>
                <w:sz w:val="24"/>
                <w:szCs w:val="24"/>
                <w:bdr w:val="none" w:sz="0" w:space="0" w:color="auto" w:frame="1"/>
                <w14:ligatures w14:val="none"/>
              </w:rPr>
              <w:t xml:space="preserve"> (Mean)</w:t>
            </w:r>
          </w:p>
        </w:tc>
        <w:tc>
          <w:tcPr>
            <w:tcW w:w="0" w:type="auto"/>
            <w:hideMark/>
          </w:tcPr>
          <w:p w14:paraId="765C6F1A" w14:textId="228350CA" w:rsidR="0052786F" w:rsidRPr="0052786F" w:rsidRDefault="0052786F" w:rsidP="00A635F0">
            <w:pPr>
              <w:widowControl/>
              <w:jc w:val="center"/>
              <w:rPr>
                <w:rFonts w:ascii="Times New Roman" w:eastAsia="Times New Roman" w:hAnsi="Times New Roman" w:cs="Times New Roman"/>
                <w:b/>
                <w:bCs/>
                <w:color w:val="1F1F1F"/>
                <w:kern w:val="0"/>
                <w:sz w:val="24"/>
                <w:szCs w:val="24"/>
                <w14:ligatures w14:val="none"/>
              </w:rPr>
            </w:pPr>
            <w:r w:rsidRPr="0052786F">
              <w:rPr>
                <w:rFonts w:ascii="Times New Roman" w:eastAsia="Times New Roman" w:hAnsi="Times New Roman" w:cs="Times New Roman"/>
                <w:b/>
                <w:bCs/>
                <w:color w:val="1F1F1F"/>
                <w:kern w:val="0"/>
                <w:sz w:val="24"/>
                <w:szCs w:val="24"/>
                <w:bdr w:val="none" w:sz="0" w:space="0" w:color="auto" w:frame="1"/>
                <w14:ligatures w14:val="none"/>
              </w:rPr>
              <w:t xml:space="preserve">Real × </w:t>
            </w:r>
            <w:r w:rsidR="009B6BCC" w:rsidRPr="00A635F0">
              <w:rPr>
                <w:rFonts w:ascii="Times New Roman" w:eastAsia="Times New Roman" w:hAnsi="Times New Roman" w:cs="Times New Roman"/>
                <w:b/>
                <w:bCs/>
                <w:color w:val="1F1F1F"/>
                <w:kern w:val="0"/>
                <w:sz w:val="24"/>
                <w:szCs w:val="24"/>
                <w:bdr w:val="none" w:sz="0" w:space="0" w:color="auto" w:frame="1"/>
                <w14:ligatures w14:val="none"/>
              </w:rPr>
              <w:t>Syn</w:t>
            </w:r>
            <w:r w:rsidRPr="0052786F">
              <w:rPr>
                <w:rFonts w:ascii="Times New Roman" w:eastAsia="Times New Roman" w:hAnsi="Times New Roman" w:cs="Times New Roman"/>
                <w:b/>
                <w:bCs/>
                <w:color w:val="1F1F1F"/>
                <w:kern w:val="0"/>
                <w:sz w:val="24"/>
                <w:szCs w:val="24"/>
                <w:bdr w:val="none" w:sz="0" w:space="0" w:color="auto" w:frame="1"/>
                <w14:ligatures w14:val="none"/>
              </w:rPr>
              <w:t xml:space="preserve"> (Mean)</w:t>
            </w:r>
          </w:p>
        </w:tc>
      </w:tr>
      <w:tr w:rsidR="000B166A" w:rsidRPr="0052786F" w14:paraId="74247A2E" w14:textId="77777777" w:rsidTr="009D7D05">
        <w:tc>
          <w:tcPr>
            <w:tcW w:w="0" w:type="auto"/>
            <w:hideMark/>
          </w:tcPr>
          <w:p w14:paraId="6E519B1F" w14:textId="38FD8FDB"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Monocyte</w:t>
            </w:r>
          </w:p>
        </w:tc>
        <w:tc>
          <w:tcPr>
            <w:tcW w:w="0" w:type="auto"/>
            <w:vAlign w:val="bottom"/>
            <w:hideMark/>
          </w:tcPr>
          <w:p w14:paraId="4BB8DB83" w14:textId="3D4C7C2A"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0.7894</w:t>
            </w:r>
          </w:p>
        </w:tc>
        <w:tc>
          <w:tcPr>
            <w:tcW w:w="0" w:type="auto"/>
            <w:vAlign w:val="bottom"/>
            <w:hideMark/>
          </w:tcPr>
          <w:p w14:paraId="0DCA161F" w14:textId="6BA00989"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0.7974</w:t>
            </w:r>
          </w:p>
        </w:tc>
        <w:tc>
          <w:tcPr>
            <w:tcW w:w="0" w:type="auto"/>
            <w:vAlign w:val="bottom"/>
            <w:hideMark/>
          </w:tcPr>
          <w:p w14:paraId="1CBF5B76" w14:textId="28EAD80D"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0.7769</w:t>
            </w:r>
          </w:p>
        </w:tc>
      </w:tr>
      <w:tr w:rsidR="000B166A" w:rsidRPr="0052786F" w14:paraId="67485A6E" w14:textId="77777777" w:rsidTr="009D7D05">
        <w:tc>
          <w:tcPr>
            <w:tcW w:w="0" w:type="auto"/>
            <w:hideMark/>
          </w:tcPr>
          <w:p w14:paraId="36703F62" w14:textId="1C4A7E90"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Lymphocyte</w:t>
            </w:r>
          </w:p>
        </w:tc>
        <w:tc>
          <w:tcPr>
            <w:tcW w:w="0" w:type="auto"/>
            <w:vAlign w:val="bottom"/>
            <w:hideMark/>
          </w:tcPr>
          <w:p w14:paraId="0B3C5212" w14:textId="64C621A2"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0.8291</w:t>
            </w:r>
          </w:p>
        </w:tc>
        <w:tc>
          <w:tcPr>
            <w:tcW w:w="0" w:type="auto"/>
            <w:vAlign w:val="bottom"/>
            <w:hideMark/>
          </w:tcPr>
          <w:p w14:paraId="24252A3F" w14:textId="4AF62966"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0.8318</w:t>
            </w:r>
          </w:p>
        </w:tc>
        <w:tc>
          <w:tcPr>
            <w:tcW w:w="0" w:type="auto"/>
            <w:vAlign w:val="bottom"/>
            <w:hideMark/>
          </w:tcPr>
          <w:p w14:paraId="40D28515" w14:textId="4886FDF0"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0.8201</w:t>
            </w:r>
          </w:p>
        </w:tc>
      </w:tr>
      <w:tr w:rsidR="000B166A" w:rsidRPr="0052786F" w14:paraId="5D1A3687" w14:textId="77777777" w:rsidTr="009D7D05">
        <w:tc>
          <w:tcPr>
            <w:tcW w:w="0" w:type="auto"/>
            <w:hideMark/>
          </w:tcPr>
          <w:p w14:paraId="5DC22C10" w14:textId="37DFCFD6"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Eosinophil</w:t>
            </w:r>
          </w:p>
        </w:tc>
        <w:tc>
          <w:tcPr>
            <w:tcW w:w="0" w:type="auto"/>
            <w:vAlign w:val="bottom"/>
            <w:hideMark/>
          </w:tcPr>
          <w:p w14:paraId="7D21568C" w14:textId="00875302"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0.8149</w:t>
            </w:r>
          </w:p>
        </w:tc>
        <w:tc>
          <w:tcPr>
            <w:tcW w:w="0" w:type="auto"/>
            <w:vAlign w:val="bottom"/>
            <w:hideMark/>
          </w:tcPr>
          <w:p w14:paraId="030238EA" w14:textId="50496A80"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0.8374</w:t>
            </w:r>
          </w:p>
        </w:tc>
        <w:tc>
          <w:tcPr>
            <w:tcW w:w="0" w:type="auto"/>
            <w:vAlign w:val="bottom"/>
            <w:hideMark/>
          </w:tcPr>
          <w:p w14:paraId="074E2CD2" w14:textId="17BAFA0C"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0.811</w:t>
            </w:r>
          </w:p>
        </w:tc>
      </w:tr>
      <w:tr w:rsidR="000B166A" w:rsidRPr="0052786F" w14:paraId="6681BF4F" w14:textId="77777777" w:rsidTr="009D7D05">
        <w:tc>
          <w:tcPr>
            <w:tcW w:w="0" w:type="auto"/>
            <w:hideMark/>
          </w:tcPr>
          <w:p w14:paraId="51AAB964" w14:textId="648C2C6D"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Basophil</w:t>
            </w:r>
          </w:p>
        </w:tc>
        <w:tc>
          <w:tcPr>
            <w:tcW w:w="0" w:type="auto"/>
            <w:vAlign w:val="bottom"/>
            <w:hideMark/>
          </w:tcPr>
          <w:p w14:paraId="1D971283" w14:textId="1E8DEDF6"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0.7918</w:t>
            </w:r>
          </w:p>
        </w:tc>
        <w:tc>
          <w:tcPr>
            <w:tcW w:w="0" w:type="auto"/>
            <w:vAlign w:val="bottom"/>
            <w:hideMark/>
          </w:tcPr>
          <w:p w14:paraId="47ADF59E" w14:textId="0AF27059"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0.7956</w:t>
            </w:r>
          </w:p>
        </w:tc>
        <w:tc>
          <w:tcPr>
            <w:tcW w:w="0" w:type="auto"/>
            <w:vAlign w:val="bottom"/>
            <w:hideMark/>
          </w:tcPr>
          <w:p w14:paraId="77B499EB" w14:textId="49914611"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0.7866</w:t>
            </w:r>
          </w:p>
        </w:tc>
      </w:tr>
      <w:tr w:rsidR="000B166A" w:rsidRPr="0052786F" w14:paraId="7339B964" w14:textId="77777777" w:rsidTr="009D7D05">
        <w:tc>
          <w:tcPr>
            <w:tcW w:w="0" w:type="auto"/>
            <w:hideMark/>
          </w:tcPr>
          <w:p w14:paraId="1A952C1E" w14:textId="621BEE27"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Neutrophil</w:t>
            </w:r>
          </w:p>
        </w:tc>
        <w:tc>
          <w:tcPr>
            <w:tcW w:w="0" w:type="auto"/>
            <w:vAlign w:val="bottom"/>
            <w:hideMark/>
          </w:tcPr>
          <w:p w14:paraId="67CA3C62" w14:textId="701073F9"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0.8141</w:t>
            </w:r>
          </w:p>
        </w:tc>
        <w:tc>
          <w:tcPr>
            <w:tcW w:w="0" w:type="auto"/>
            <w:vAlign w:val="bottom"/>
            <w:hideMark/>
          </w:tcPr>
          <w:p w14:paraId="547B725D" w14:textId="776B3B93"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0.8214</w:t>
            </w:r>
          </w:p>
        </w:tc>
        <w:tc>
          <w:tcPr>
            <w:tcW w:w="0" w:type="auto"/>
            <w:vAlign w:val="bottom"/>
            <w:hideMark/>
          </w:tcPr>
          <w:p w14:paraId="1EDF2FCE" w14:textId="78D1D4BD"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0.7963</w:t>
            </w:r>
          </w:p>
        </w:tc>
      </w:tr>
      <w:tr w:rsidR="000B166A" w:rsidRPr="0052786F" w14:paraId="5D276B66" w14:textId="77777777" w:rsidTr="009D7D05">
        <w:tc>
          <w:tcPr>
            <w:tcW w:w="0" w:type="auto"/>
            <w:hideMark/>
          </w:tcPr>
          <w:p w14:paraId="088A1D14" w14:textId="0AECE151"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Myeloblast</w:t>
            </w:r>
          </w:p>
        </w:tc>
        <w:tc>
          <w:tcPr>
            <w:tcW w:w="0" w:type="auto"/>
            <w:vAlign w:val="bottom"/>
            <w:hideMark/>
          </w:tcPr>
          <w:p w14:paraId="358A4389" w14:textId="633E1ECB"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0.8335</w:t>
            </w:r>
          </w:p>
        </w:tc>
        <w:tc>
          <w:tcPr>
            <w:tcW w:w="0" w:type="auto"/>
            <w:vAlign w:val="bottom"/>
            <w:hideMark/>
          </w:tcPr>
          <w:p w14:paraId="144DAC40" w14:textId="19830E45"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0.835</w:t>
            </w:r>
          </w:p>
        </w:tc>
        <w:tc>
          <w:tcPr>
            <w:tcW w:w="0" w:type="auto"/>
            <w:vAlign w:val="bottom"/>
            <w:hideMark/>
          </w:tcPr>
          <w:p w14:paraId="02D5BFB0" w14:textId="0E0D691F"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0.8222</w:t>
            </w:r>
          </w:p>
        </w:tc>
      </w:tr>
      <w:tr w:rsidR="000B166A" w:rsidRPr="0052786F" w14:paraId="5DB23023" w14:textId="77777777" w:rsidTr="009D7D05">
        <w:tc>
          <w:tcPr>
            <w:tcW w:w="0" w:type="auto"/>
            <w:hideMark/>
          </w:tcPr>
          <w:p w14:paraId="4C500531" w14:textId="727FDE19"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Promyelocyte</w:t>
            </w:r>
          </w:p>
        </w:tc>
        <w:tc>
          <w:tcPr>
            <w:tcW w:w="0" w:type="auto"/>
            <w:vAlign w:val="bottom"/>
            <w:hideMark/>
          </w:tcPr>
          <w:p w14:paraId="34E4112D" w14:textId="10FEFFEA"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0.8021</w:t>
            </w:r>
          </w:p>
        </w:tc>
        <w:tc>
          <w:tcPr>
            <w:tcW w:w="0" w:type="auto"/>
            <w:vAlign w:val="bottom"/>
            <w:hideMark/>
          </w:tcPr>
          <w:p w14:paraId="2C73C62A" w14:textId="1AA555BF"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0.8201</w:t>
            </w:r>
          </w:p>
        </w:tc>
        <w:tc>
          <w:tcPr>
            <w:tcW w:w="0" w:type="auto"/>
            <w:vAlign w:val="bottom"/>
            <w:hideMark/>
          </w:tcPr>
          <w:p w14:paraId="7085F26D" w14:textId="4A13E783"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0.8056</w:t>
            </w:r>
          </w:p>
        </w:tc>
      </w:tr>
      <w:tr w:rsidR="000B166A" w:rsidRPr="0052786F" w14:paraId="5E56A115" w14:textId="77777777" w:rsidTr="009D7D05">
        <w:tc>
          <w:tcPr>
            <w:tcW w:w="0" w:type="auto"/>
            <w:hideMark/>
          </w:tcPr>
          <w:p w14:paraId="17EDA854" w14:textId="31B8B38C"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Promonocyte</w:t>
            </w:r>
          </w:p>
        </w:tc>
        <w:tc>
          <w:tcPr>
            <w:tcW w:w="0" w:type="auto"/>
            <w:vAlign w:val="bottom"/>
            <w:hideMark/>
          </w:tcPr>
          <w:p w14:paraId="135F4A6D" w14:textId="71BC872B"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0.7529</w:t>
            </w:r>
          </w:p>
        </w:tc>
        <w:tc>
          <w:tcPr>
            <w:tcW w:w="0" w:type="auto"/>
            <w:vAlign w:val="bottom"/>
            <w:hideMark/>
          </w:tcPr>
          <w:p w14:paraId="49B6FC02" w14:textId="03EA4012"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0.815</w:t>
            </w:r>
          </w:p>
        </w:tc>
        <w:tc>
          <w:tcPr>
            <w:tcW w:w="0" w:type="auto"/>
            <w:vAlign w:val="bottom"/>
            <w:hideMark/>
          </w:tcPr>
          <w:p w14:paraId="0BEEAC5A" w14:textId="7D3A716A"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0.7622</w:t>
            </w:r>
          </w:p>
        </w:tc>
      </w:tr>
      <w:tr w:rsidR="000B166A" w:rsidRPr="0052786F" w14:paraId="30D2FBA9" w14:textId="77777777" w:rsidTr="009D7D05">
        <w:tc>
          <w:tcPr>
            <w:tcW w:w="0" w:type="auto"/>
            <w:hideMark/>
          </w:tcPr>
          <w:p w14:paraId="3C6E78CC" w14:textId="7FEE2D0A" w:rsidR="000B166A" w:rsidRPr="0052786F" w:rsidRDefault="000B166A" w:rsidP="000B166A">
            <w:pPr>
              <w:widowControl/>
              <w:rPr>
                <w:rFonts w:ascii="Times New Roman" w:eastAsia="Times New Roman" w:hAnsi="Times New Roman" w:cs="Times New Roman"/>
                <w:color w:val="1F1F1F"/>
                <w:kern w:val="0"/>
                <w:sz w:val="24"/>
                <w:szCs w:val="24"/>
                <w14:ligatures w14:val="none"/>
              </w:rPr>
            </w:pPr>
            <w:proofErr w:type="spellStart"/>
            <w:r w:rsidRPr="0052786F">
              <w:rPr>
                <w:rFonts w:ascii="Times New Roman" w:eastAsia="Times New Roman" w:hAnsi="Times New Roman" w:cs="Times New Roman"/>
                <w:color w:val="1F1F1F"/>
                <w:kern w:val="0"/>
                <w:sz w:val="24"/>
                <w:szCs w:val="24"/>
                <w:bdr w:val="none" w:sz="0" w:space="0" w:color="auto" w:frame="1"/>
                <w14:ligatures w14:val="none"/>
              </w:rPr>
              <w:t>Monoblast</w:t>
            </w:r>
            <w:proofErr w:type="spellEnd"/>
          </w:p>
        </w:tc>
        <w:tc>
          <w:tcPr>
            <w:tcW w:w="0" w:type="auto"/>
            <w:vAlign w:val="bottom"/>
            <w:hideMark/>
          </w:tcPr>
          <w:p w14:paraId="751CFF9A" w14:textId="07AB33E3"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0.7591</w:t>
            </w:r>
          </w:p>
        </w:tc>
        <w:tc>
          <w:tcPr>
            <w:tcW w:w="0" w:type="auto"/>
            <w:vAlign w:val="bottom"/>
            <w:hideMark/>
          </w:tcPr>
          <w:p w14:paraId="74869A72" w14:textId="7CD05ACE"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0.7802</w:t>
            </w:r>
          </w:p>
        </w:tc>
        <w:tc>
          <w:tcPr>
            <w:tcW w:w="0" w:type="auto"/>
            <w:vAlign w:val="bottom"/>
            <w:hideMark/>
          </w:tcPr>
          <w:p w14:paraId="6AE01002" w14:textId="02A7CBB7"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0.7447</w:t>
            </w:r>
          </w:p>
        </w:tc>
      </w:tr>
      <w:tr w:rsidR="000B166A" w:rsidRPr="0052786F" w14:paraId="27155DCA" w14:textId="77777777" w:rsidTr="009D7D05">
        <w:tc>
          <w:tcPr>
            <w:tcW w:w="0" w:type="auto"/>
            <w:hideMark/>
          </w:tcPr>
          <w:p w14:paraId="290D61A1" w14:textId="6E388765"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Lymphoblast</w:t>
            </w:r>
          </w:p>
        </w:tc>
        <w:tc>
          <w:tcPr>
            <w:tcW w:w="0" w:type="auto"/>
            <w:vAlign w:val="bottom"/>
            <w:hideMark/>
          </w:tcPr>
          <w:p w14:paraId="01673229" w14:textId="6037A2CD"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0.854</w:t>
            </w:r>
          </w:p>
        </w:tc>
        <w:tc>
          <w:tcPr>
            <w:tcW w:w="0" w:type="auto"/>
            <w:vAlign w:val="bottom"/>
            <w:hideMark/>
          </w:tcPr>
          <w:p w14:paraId="6EFC0C1C" w14:textId="7197870A"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0.851</w:t>
            </w:r>
          </w:p>
        </w:tc>
        <w:tc>
          <w:tcPr>
            <w:tcW w:w="0" w:type="auto"/>
            <w:vAlign w:val="bottom"/>
            <w:hideMark/>
          </w:tcPr>
          <w:p w14:paraId="5669775F" w14:textId="5B99F08B"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0.8372</w:t>
            </w:r>
          </w:p>
        </w:tc>
      </w:tr>
      <w:tr w:rsidR="000B166A" w:rsidRPr="0052786F" w14:paraId="399829AF" w14:textId="77777777" w:rsidTr="009D7D05">
        <w:tc>
          <w:tcPr>
            <w:tcW w:w="0" w:type="auto"/>
            <w:hideMark/>
          </w:tcPr>
          <w:p w14:paraId="79BBE5E5" w14:textId="6E0A4D75" w:rsidR="000B166A" w:rsidRPr="0052786F" w:rsidRDefault="000B166A" w:rsidP="000B166A">
            <w:pPr>
              <w:widowControl/>
              <w:rPr>
                <w:rFonts w:ascii="Times New Roman" w:eastAsia="Times New Roman" w:hAnsi="Times New Roman" w:cs="Times New Roman"/>
                <w:color w:val="1F1F1F"/>
                <w:kern w:val="0"/>
                <w:sz w:val="24"/>
                <w:szCs w:val="24"/>
                <w14:ligatures w14:val="none"/>
              </w:rPr>
            </w:pPr>
            <w:r w:rsidRPr="0052786F">
              <w:rPr>
                <w:rFonts w:ascii="Times New Roman" w:eastAsia="Times New Roman" w:hAnsi="Times New Roman" w:cs="Times New Roman"/>
                <w:color w:val="1F1F1F"/>
                <w:kern w:val="0"/>
                <w:sz w:val="24"/>
                <w:szCs w:val="24"/>
                <w:bdr w:val="none" w:sz="0" w:space="0" w:color="auto" w:frame="1"/>
                <w14:ligatures w14:val="none"/>
              </w:rPr>
              <w:t>Plasma Leukemia</w:t>
            </w:r>
          </w:p>
        </w:tc>
        <w:tc>
          <w:tcPr>
            <w:tcW w:w="0" w:type="auto"/>
            <w:vAlign w:val="bottom"/>
            <w:hideMark/>
          </w:tcPr>
          <w:p w14:paraId="386F8864" w14:textId="6F6AD904"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0.8229</w:t>
            </w:r>
          </w:p>
        </w:tc>
        <w:tc>
          <w:tcPr>
            <w:tcW w:w="0" w:type="auto"/>
            <w:vAlign w:val="bottom"/>
            <w:hideMark/>
          </w:tcPr>
          <w:p w14:paraId="29D02418" w14:textId="5CEF3113"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0.8176</w:t>
            </w:r>
          </w:p>
        </w:tc>
        <w:tc>
          <w:tcPr>
            <w:tcW w:w="0" w:type="auto"/>
            <w:vAlign w:val="bottom"/>
            <w:hideMark/>
          </w:tcPr>
          <w:p w14:paraId="3105764D" w14:textId="1B6D75EE" w:rsidR="000B166A" w:rsidRPr="0052786F" w:rsidRDefault="000B166A" w:rsidP="00A635F0">
            <w:pPr>
              <w:widowControl/>
              <w:jc w:val="center"/>
              <w:rPr>
                <w:rFonts w:ascii="Times New Roman" w:eastAsia="Times New Roman" w:hAnsi="Times New Roman" w:cs="Times New Roman"/>
                <w:color w:val="1F1F1F"/>
                <w:kern w:val="0"/>
                <w:sz w:val="24"/>
                <w:szCs w:val="24"/>
                <w14:ligatures w14:val="none"/>
              </w:rPr>
            </w:pPr>
            <w:r w:rsidRPr="000B166A">
              <w:rPr>
                <w:rFonts w:ascii="Times New Roman" w:hAnsi="Times New Roman" w:cs="Times New Roman"/>
                <w:color w:val="000000"/>
              </w:rPr>
              <w:t>0.8136</w:t>
            </w:r>
          </w:p>
        </w:tc>
      </w:tr>
    </w:tbl>
    <w:p w14:paraId="4FC21851" w14:textId="77777777" w:rsidR="000D3E60" w:rsidRDefault="000D3E60">
      <w:pPr>
        <w:rPr>
          <w:rFonts w:ascii="Times New Roman" w:hAnsi="Times New Roman" w:cs="Times New Roman"/>
          <w:sz w:val="16"/>
          <w:szCs w:val="16"/>
        </w:rPr>
      </w:pPr>
    </w:p>
    <w:p w14:paraId="23F18499" w14:textId="77777777" w:rsidR="00FF0512" w:rsidRPr="00B76DE7" w:rsidRDefault="00FF0512" w:rsidP="00FF0512">
      <w:pPr>
        <w:rPr>
          <w:rFonts w:ascii="Times New Roman" w:hAnsi="Times New Roman" w:cs="Times New Roman"/>
          <w:b/>
          <w:bCs/>
          <w:sz w:val="24"/>
          <w:szCs w:val="24"/>
        </w:rPr>
      </w:pPr>
      <w:r w:rsidRPr="00B76DE7">
        <w:rPr>
          <w:rFonts w:ascii="Times New Roman" w:hAnsi="Times New Roman" w:cs="Times New Roman"/>
          <w:b/>
          <w:bCs/>
          <w:sz w:val="24"/>
          <w:szCs w:val="20"/>
        </w:rPr>
        <w:t xml:space="preserve">Supplementary Note 4: In-Domain Morphological Regression and Uncertainty </w:t>
      </w:r>
      <w:r w:rsidRPr="00B76DE7">
        <w:rPr>
          <w:rFonts w:ascii="Times New Roman" w:hAnsi="Times New Roman" w:cs="Times New Roman"/>
          <w:b/>
          <w:bCs/>
          <w:sz w:val="24"/>
          <w:szCs w:val="24"/>
        </w:rPr>
        <w:t>Calibration</w:t>
      </w:r>
    </w:p>
    <w:p w14:paraId="7D9D910F" w14:textId="77777777" w:rsidR="002959E1" w:rsidRPr="00B76DE7" w:rsidRDefault="00FF0512" w:rsidP="00FF0512">
      <w:pPr>
        <w:rPr>
          <w:rFonts w:ascii="Times New Roman" w:hAnsi="Times New Roman" w:cs="Times New Roman"/>
          <w:sz w:val="24"/>
          <w:szCs w:val="24"/>
        </w:rPr>
      </w:pPr>
      <w:r w:rsidRPr="00B76DE7">
        <w:rPr>
          <w:rFonts w:ascii="Times New Roman" w:hAnsi="Times New Roman" w:cs="Times New Roman"/>
          <w:b/>
          <w:bCs/>
          <w:sz w:val="24"/>
          <w:szCs w:val="24"/>
        </w:rPr>
        <w:t>Morphological Trait Calibration and Generalization</w:t>
      </w:r>
      <w:r w:rsidRPr="00B76DE7">
        <w:rPr>
          <w:rFonts w:ascii="Times New Roman" w:hAnsi="Times New Roman" w:cs="Times New Roman"/>
          <w:sz w:val="24"/>
          <w:szCs w:val="24"/>
        </w:rPr>
        <w:t xml:space="preserve"> </w:t>
      </w:r>
    </w:p>
    <w:p w14:paraId="1DF6DF59" w14:textId="4E6BD3BB" w:rsidR="00FF0512" w:rsidRPr="00FF0512" w:rsidRDefault="00FF0512" w:rsidP="00FF0512">
      <w:pPr>
        <w:rPr>
          <w:rFonts w:ascii="Times New Roman" w:hAnsi="Times New Roman" w:cs="Times New Roman"/>
          <w:sz w:val="20"/>
          <w:szCs w:val="20"/>
        </w:rPr>
      </w:pPr>
      <w:r w:rsidRPr="00FF0512">
        <w:rPr>
          <w:rFonts w:ascii="Times New Roman" w:hAnsi="Times New Roman" w:cs="Times New Roman"/>
          <w:sz w:val="20"/>
          <w:szCs w:val="20"/>
        </w:rPr>
        <w:t xml:space="preserve">To explicitly verify that the diagnostic network successfully mapped latent representations to physical biological realities, we evaluated the auxiliary morphological regression head across the internal holdout validation set (n = </w:t>
      </w:r>
      <w:r w:rsidR="007F017E">
        <w:rPr>
          <w:rFonts w:ascii="Times New Roman" w:hAnsi="Times New Roman" w:cs="Times New Roman"/>
          <w:sz w:val="20"/>
          <w:szCs w:val="20"/>
        </w:rPr>
        <w:t>3,174</w:t>
      </w:r>
      <w:r w:rsidRPr="00FF0512">
        <w:rPr>
          <w:rFonts w:ascii="Times New Roman" w:hAnsi="Times New Roman" w:cs="Times New Roman"/>
          <w:sz w:val="20"/>
          <w:szCs w:val="20"/>
        </w:rPr>
        <w:t>). The network demonstrated robust morphological grounding, achieving an overall macro-averaged Mean Absolute Error (MAE) of 0.</w:t>
      </w:r>
      <w:r w:rsidR="004753DB">
        <w:rPr>
          <w:rFonts w:ascii="Times New Roman" w:hAnsi="Times New Roman" w:cs="Times New Roman"/>
          <w:sz w:val="20"/>
          <w:szCs w:val="20"/>
        </w:rPr>
        <w:t>1974</w:t>
      </w:r>
      <w:r w:rsidRPr="00FF0512">
        <w:rPr>
          <w:rFonts w:ascii="Times New Roman" w:hAnsi="Times New Roman" w:cs="Times New Roman"/>
          <w:sz w:val="20"/>
          <w:szCs w:val="20"/>
        </w:rPr>
        <w:t xml:space="preserve"> across all normalized phenotypic constraints (</w:t>
      </w:r>
      <w:r w:rsidRPr="00FF0512">
        <w:rPr>
          <w:rFonts w:ascii="Times New Roman" w:hAnsi="Times New Roman" w:cs="Times New Roman"/>
          <w:b/>
          <w:bCs/>
          <w:sz w:val="20"/>
          <w:szCs w:val="20"/>
        </w:rPr>
        <w:t>Supplementary Table S4</w:t>
      </w:r>
      <w:r w:rsidRPr="00FF0512">
        <w:rPr>
          <w:rFonts w:ascii="Times New Roman" w:hAnsi="Times New Roman" w:cs="Times New Roman"/>
          <w:sz w:val="20"/>
          <w:szCs w:val="20"/>
        </w:rPr>
        <w:t>). Crucially, to prove that the framework did not overfit to the generative manifold and could safely generalize to real-world clinical variance, this identical regression head was deployed on the independent external clinical cohort. The network maintained a highly stable external macro-averaged MAE of 0.</w:t>
      </w:r>
      <w:r w:rsidR="004753DB">
        <w:rPr>
          <w:rFonts w:ascii="Times New Roman" w:hAnsi="Times New Roman" w:cs="Times New Roman"/>
          <w:sz w:val="20"/>
          <w:szCs w:val="20"/>
        </w:rPr>
        <w:t>1092</w:t>
      </w:r>
      <w:r w:rsidRPr="00FF0512">
        <w:rPr>
          <w:rFonts w:ascii="Times New Roman" w:hAnsi="Times New Roman" w:cs="Times New Roman"/>
          <w:sz w:val="20"/>
          <w:szCs w:val="20"/>
        </w:rPr>
        <w:t xml:space="preserve"> (</w:t>
      </w:r>
      <w:r w:rsidRPr="00FF0512">
        <w:rPr>
          <w:rFonts w:ascii="Times New Roman" w:hAnsi="Times New Roman" w:cs="Times New Roman"/>
          <w:b/>
          <w:bCs/>
          <w:sz w:val="20"/>
          <w:szCs w:val="20"/>
        </w:rPr>
        <w:t>Supplementary Table S5</w:t>
      </w:r>
      <w:r w:rsidRPr="00FF0512">
        <w:rPr>
          <w:rFonts w:ascii="Times New Roman" w:hAnsi="Times New Roman" w:cs="Times New Roman"/>
          <w:sz w:val="20"/>
          <w:szCs w:val="20"/>
        </w:rPr>
        <w:t>). This negligible generalization gap confirms that the multi-level feature fusion architecture successfully learned invariant cytological rules rather than memorizing domain-specific optical artifacts.</w:t>
      </w:r>
    </w:p>
    <w:p w14:paraId="22280109" w14:textId="77777777" w:rsidR="00FF0512" w:rsidRPr="00FF0512" w:rsidRDefault="00FF0512" w:rsidP="00FF0512">
      <w:pPr>
        <w:rPr>
          <w:rFonts w:ascii="Times New Roman" w:hAnsi="Times New Roman" w:cs="Times New Roman"/>
          <w:sz w:val="20"/>
          <w:szCs w:val="20"/>
        </w:rPr>
      </w:pPr>
      <w:r w:rsidRPr="00FF0512">
        <w:rPr>
          <w:rFonts w:ascii="Times New Roman" w:hAnsi="Times New Roman" w:cs="Times New Roman"/>
          <w:b/>
          <w:bCs/>
          <w:sz w:val="20"/>
          <w:szCs w:val="20"/>
        </w:rPr>
        <w:t>Baseline Metacognitive Uncertainty</w:t>
      </w:r>
    </w:p>
    <w:p w14:paraId="26D4E68F" w14:textId="2DC19680" w:rsidR="0055503C" w:rsidRDefault="00330B93" w:rsidP="00DB6B56">
      <w:pPr>
        <w:rPr>
          <w:rFonts w:ascii="Times New Roman" w:hAnsi="Times New Roman" w:cs="Times New Roman"/>
          <w:sz w:val="20"/>
          <w:szCs w:val="20"/>
        </w:rPr>
      </w:pPr>
      <w:r w:rsidRPr="00330B93">
        <w:rPr>
          <w:rFonts w:ascii="Times New Roman" w:hAnsi="Times New Roman" w:cs="Times New Roman"/>
          <w:sz w:val="20"/>
          <w:szCs w:val="20"/>
        </w:rPr>
        <w:t xml:space="preserve">To establish a quantitative baseline for the model's metacognitive calibration and diagnostic performance, predictive variance was initially assessed on the internal validation cohort (n = 3,174). Because this cohort comprises data drawn directly from the expanded generative manifold and the primary training domain, the network demonstrated exceptional baseline metrics, achieving an overall initial accuracy of 99.56% (3,160 correct </w:t>
      </w:r>
      <w:r w:rsidRPr="00330B93">
        <w:rPr>
          <w:rFonts w:ascii="Times New Roman" w:hAnsi="Times New Roman" w:cs="Times New Roman"/>
          <w:sz w:val="20"/>
          <w:szCs w:val="20"/>
        </w:rPr>
        <w:lastRenderedPageBreak/>
        <w:t xml:space="preserve">predictions). The architecture established highly robust decision boundaries even for rare pathological precursors, yielding an F1-score of 0.98 for myeloblasts, 0.99 for promonocytes, and 0.99 for </w:t>
      </w:r>
      <w:proofErr w:type="spellStart"/>
      <w:r w:rsidRPr="00330B93">
        <w:rPr>
          <w:rFonts w:ascii="Times New Roman" w:hAnsi="Times New Roman" w:cs="Times New Roman"/>
          <w:sz w:val="20"/>
          <w:szCs w:val="20"/>
        </w:rPr>
        <w:t>monoblasts</w:t>
      </w:r>
      <w:proofErr w:type="spellEnd"/>
      <w:r w:rsidRPr="00330B93">
        <w:rPr>
          <w:rFonts w:ascii="Times New Roman" w:hAnsi="Times New Roman" w:cs="Times New Roman"/>
          <w:sz w:val="20"/>
          <w:szCs w:val="20"/>
        </w:rPr>
        <w:t>. Furthermore, the model maintained perfect 1.00 precision, recall, and F1-scores across all mature leukocyte classes and specific critical malignancies, including promyelocytes, lymphoblasts, and plasma leukemia</w:t>
      </w:r>
      <w:r>
        <w:rPr>
          <w:rFonts w:ascii="Times New Roman" w:hAnsi="Times New Roman" w:cs="Times New Roman"/>
          <w:sz w:val="20"/>
          <w:szCs w:val="20"/>
        </w:rPr>
        <w:t xml:space="preserve">. </w:t>
      </w:r>
      <w:r w:rsidR="00FF0512" w:rsidRPr="00FF0512">
        <w:rPr>
          <w:rFonts w:ascii="Times New Roman" w:hAnsi="Times New Roman" w:cs="Times New Roman"/>
          <w:sz w:val="20"/>
          <w:szCs w:val="20"/>
        </w:rPr>
        <w:t>Applying the identical predictive variance threshold utilized for the external clinical cohort, the model flagged only a single boundary-case cell for human review</w:t>
      </w:r>
      <w:r w:rsidR="00F35FAA">
        <w:rPr>
          <w:rFonts w:ascii="Times New Roman" w:hAnsi="Times New Roman" w:cs="Times New Roman"/>
          <w:sz w:val="20"/>
          <w:szCs w:val="20"/>
        </w:rPr>
        <w:t xml:space="preserve"> </w:t>
      </w:r>
      <w:r w:rsidR="00F35FAA" w:rsidRPr="00F35FAA">
        <w:rPr>
          <w:rFonts w:ascii="Times New Roman" w:hAnsi="Times New Roman" w:cs="Times New Roman"/>
          <w:b/>
          <w:bCs/>
          <w:sz w:val="20"/>
          <w:szCs w:val="20"/>
        </w:rPr>
        <w:t>(Supplementary Figure S3)</w:t>
      </w:r>
      <w:r w:rsidR="00F35FAA">
        <w:rPr>
          <w:rFonts w:ascii="Times New Roman" w:hAnsi="Times New Roman" w:cs="Times New Roman"/>
          <w:b/>
          <w:bCs/>
          <w:sz w:val="20"/>
          <w:szCs w:val="20"/>
        </w:rPr>
        <w:t>.</w:t>
      </w:r>
      <w:r w:rsidR="00FF0512" w:rsidRPr="00FF0512">
        <w:rPr>
          <w:rFonts w:ascii="Times New Roman" w:hAnsi="Times New Roman" w:cs="Times New Roman"/>
          <w:sz w:val="20"/>
          <w:szCs w:val="20"/>
        </w:rPr>
        <w:t xml:space="preserve"> </w:t>
      </w:r>
      <w:r w:rsidR="0055503C" w:rsidRPr="0055503C">
        <w:rPr>
          <w:rFonts w:ascii="Times New Roman" w:hAnsi="Times New Roman" w:cs="Times New Roman"/>
          <w:sz w:val="20"/>
          <w:szCs w:val="20"/>
        </w:rPr>
        <w:t xml:space="preserve">Applying the identical predictive variance threshold utilized for the </w:t>
      </w:r>
      <w:r w:rsidR="000742F8">
        <w:rPr>
          <w:rFonts w:ascii="Times New Roman" w:hAnsi="Times New Roman" w:cs="Times New Roman"/>
          <w:sz w:val="20"/>
          <w:szCs w:val="20"/>
        </w:rPr>
        <w:t>interna</w:t>
      </w:r>
      <w:r w:rsidR="0055503C" w:rsidRPr="0055503C">
        <w:rPr>
          <w:rFonts w:ascii="Times New Roman" w:hAnsi="Times New Roman" w:cs="Times New Roman"/>
          <w:sz w:val="20"/>
          <w:szCs w:val="20"/>
        </w:rPr>
        <w:t>l clinical cohort, the model flagged 14 boundary-case cells for human review (a 0.44% deferral rate). Upon independent expert confirmation, it was determined that 4 of these deferred images were actually classified correctly by the model's primary head, 2 represented genuinely atypical cellular presentations, and the remaining 8 were true misclassifications safely intercepted. The highly saturated confidence distribution on this internal dataset confirms that the architecture appropriately scales its epistemic uncertainty to halt predictions when exposed to highly transitionary or ambiguous clinical variance.</w:t>
      </w:r>
    </w:p>
    <w:p w14:paraId="3DE0BD6F" w14:textId="596C49E5" w:rsidR="004466BE" w:rsidRDefault="004466BE" w:rsidP="00DB6B56">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E97250A" wp14:editId="2A5BCCF4">
            <wp:extent cx="5731510" cy="1956435"/>
            <wp:effectExtent l="0" t="0" r="2540" b="5715"/>
            <wp:docPr id="1669243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43770" name="Picture 16692437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956435"/>
                    </a:xfrm>
                    <a:prstGeom prst="rect">
                      <a:avLst/>
                    </a:prstGeom>
                  </pic:spPr>
                </pic:pic>
              </a:graphicData>
            </a:graphic>
          </wp:inline>
        </w:drawing>
      </w:r>
    </w:p>
    <w:p w14:paraId="49422DA0" w14:textId="7BE290FA" w:rsidR="005822E8" w:rsidRPr="00FF0512" w:rsidRDefault="005822E8" w:rsidP="00DB6B56">
      <w:pPr>
        <w:rPr>
          <w:rFonts w:ascii="Times New Roman" w:hAnsi="Times New Roman" w:cs="Times New Roman"/>
          <w:sz w:val="20"/>
          <w:szCs w:val="20"/>
        </w:rPr>
      </w:pPr>
      <w:r w:rsidRPr="005822E8">
        <w:rPr>
          <w:rFonts w:ascii="Times New Roman" w:hAnsi="Times New Roman" w:cs="Times New Roman"/>
          <w:b/>
          <w:bCs/>
          <w:sz w:val="20"/>
          <w:szCs w:val="20"/>
        </w:rPr>
        <w:t>Supplementary Figure S</w:t>
      </w:r>
      <w:r w:rsidR="00014B4E">
        <w:rPr>
          <w:rFonts w:ascii="Times New Roman" w:hAnsi="Times New Roman" w:cs="Times New Roman"/>
          <w:b/>
          <w:bCs/>
          <w:sz w:val="20"/>
          <w:szCs w:val="20"/>
        </w:rPr>
        <w:t>3</w:t>
      </w:r>
      <w:r w:rsidRPr="005822E8">
        <w:rPr>
          <w:rFonts w:ascii="Times New Roman" w:hAnsi="Times New Roman" w:cs="Times New Roman"/>
          <w:b/>
          <w:bCs/>
          <w:sz w:val="20"/>
          <w:szCs w:val="20"/>
        </w:rPr>
        <w:t>: Uncertainty-driven deferral of a morphologically ambiguous leukocyte.</w:t>
      </w:r>
      <w:r w:rsidRPr="005822E8">
        <w:rPr>
          <w:rFonts w:ascii="Times New Roman" w:hAnsi="Times New Roman" w:cs="Times New Roman"/>
          <w:sz w:val="20"/>
          <w:szCs w:val="20"/>
        </w:rPr>
        <w:t xml:space="preserve"> This panel details the single cellular instance (</w:t>
      </w:r>
      <w:r w:rsidRPr="005822E8">
        <w:rPr>
          <w:rFonts w:ascii="Times New Roman" w:hAnsi="Times New Roman" w:cs="Times New Roman"/>
          <w:i/>
          <w:iCs/>
          <w:sz w:val="20"/>
          <w:szCs w:val="20"/>
        </w:rPr>
        <w:t>n</w:t>
      </w:r>
      <w:r w:rsidRPr="005822E8">
        <w:rPr>
          <w:rFonts w:ascii="Times New Roman" w:hAnsi="Times New Roman" w:cs="Times New Roman"/>
          <w:sz w:val="20"/>
          <w:szCs w:val="20"/>
        </w:rPr>
        <w:t xml:space="preserve"> = 1</w:t>
      </w:r>
      <w:r w:rsidR="001810A9">
        <w:rPr>
          <w:rFonts w:ascii="Times New Roman" w:hAnsi="Times New Roman" w:cs="Times New Roman"/>
          <w:sz w:val="20"/>
          <w:szCs w:val="20"/>
        </w:rPr>
        <w:t>4</w:t>
      </w:r>
      <w:r w:rsidRPr="005822E8">
        <w:rPr>
          <w:rFonts w:ascii="Times New Roman" w:hAnsi="Times New Roman" w:cs="Times New Roman"/>
          <w:sz w:val="20"/>
          <w:szCs w:val="20"/>
        </w:rPr>
        <w:t xml:space="preserve"> out of </w:t>
      </w:r>
      <w:r w:rsidR="001810A9">
        <w:rPr>
          <w:rFonts w:ascii="Times New Roman" w:hAnsi="Times New Roman" w:cs="Times New Roman"/>
          <w:sz w:val="20"/>
          <w:szCs w:val="20"/>
        </w:rPr>
        <w:t>3</w:t>
      </w:r>
      <w:r w:rsidRPr="005822E8">
        <w:rPr>
          <w:rFonts w:ascii="Times New Roman" w:hAnsi="Times New Roman" w:cs="Times New Roman"/>
          <w:sz w:val="20"/>
          <w:szCs w:val="20"/>
        </w:rPr>
        <w:t>,</w:t>
      </w:r>
      <w:r w:rsidR="001810A9">
        <w:rPr>
          <w:rFonts w:ascii="Times New Roman" w:hAnsi="Times New Roman" w:cs="Times New Roman"/>
          <w:sz w:val="20"/>
          <w:szCs w:val="20"/>
        </w:rPr>
        <w:t>174</w:t>
      </w:r>
      <w:r w:rsidRPr="005822E8">
        <w:rPr>
          <w:rFonts w:ascii="Times New Roman" w:hAnsi="Times New Roman" w:cs="Times New Roman"/>
          <w:sz w:val="20"/>
          <w:szCs w:val="20"/>
        </w:rPr>
        <w:t>) autonomously flagged for expert review during the internal holdout validation. While the primary diagnostic head misclassified the cell as a myeloblast, the GUR-Gate's auxiliary variance head successfully detected significant out-of-distribution feature conflict. This yielded a predictive uncertainty score (</w:t>
      </w:r>
      <m:oMath>
        <m:sSup>
          <m:sSupPr>
            <m:ctrlPr>
              <w:rPr>
                <w:rFonts w:ascii="Cambria Math" w:hAnsi="Cambria Math" w:cs="Times New Roman"/>
                <w:i/>
                <w:sz w:val="24"/>
                <w:szCs w:val="24"/>
              </w:rPr>
            </m:ctrlPr>
          </m:sSupPr>
          <m:e>
            <m:r>
              <w:rPr>
                <w:rFonts w:ascii="Cambria Math" w:hAnsi="Cambria Math" w:cs="Cambria Math"/>
                <w:sz w:val="24"/>
                <w:szCs w:val="24"/>
              </w:rPr>
              <m:t>σ</m:t>
            </m:r>
          </m:e>
          <m:sup>
            <m:r>
              <w:rPr>
                <w:rFonts w:ascii="Cambria Math" w:hAnsi="Cambria Math" w:cs="Times New Roman"/>
                <w:sz w:val="24"/>
                <w:szCs w:val="24"/>
              </w:rPr>
              <m:t>2</m:t>
            </m:r>
          </m:sup>
        </m:sSup>
      </m:oMath>
      <w:r w:rsidRPr="005822E8">
        <w:rPr>
          <w:rFonts w:ascii="Times New Roman" w:hAnsi="Times New Roman" w:cs="Times New Roman"/>
          <w:sz w:val="20"/>
          <w:szCs w:val="20"/>
        </w:rPr>
        <w:t xml:space="preserve"> = 0.5</w:t>
      </w:r>
      <w:r w:rsidR="00165B73">
        <w:rPr>
          <w:rFonts w:ascii="Times New Roman" w:hAnsi="Times New Roman" w:cs="Times New Roman"/>
          <w:sz w:val="20"/>
          <w:szCs w:val="20"/>
        </w:rPr>
        <w:t>4</w:t>
      </w:r>
      <w:r w:rsidRPr="005822E8">
        <w:rPr>
          <w:rFonts w:ascii="Times New Roman" w:hAnsi="Times New Roman" w:cs="Times New Roman"/>
          <w:sz w:val="20"/>
          <w:szCs w:val="20"/>
        </w:rPr>
        <w:t>82</w:t>
      </w:r>
      <w:r w:rsidR="00165B73">
        <w:rPr>
          <w:rFonts w:ascii="Times New Roman" w:hAnsi="Times New Roman" w:cs="Times New Roman"/>
          <w:sz w:val="20"/>
          <w:szCs w:val="20"/>
        </w:rPr>
        <w:t xml:space="preserve"> – 0.7044</w:t>
      </w:r>
      <w:r w:rsidRPr="005822E8">
        <w:rPr>
          <w:rFonts w:ascii="Times New Roman" w:hAnsi="Times New Roman" w:cs="Times New Roman"/>
          <w:sz w:val="20"/>
          <w:szCs w:val="20"/>
        </w:rPr>
        <w:t>) that explicitly crossed the established threshold, triggering the margin penalty and halting the autonomous prediction. The ground truth of this specimen is a promyelocyte. Biologically, this cell exhibits extreme phenotypic overlap; specifically, it presents with an unusually high nucleocytoplasmic ratio and relatively sparse primary azurophilic granulation, features that closely mimic the preceding myeloblast stage and obscure the cell's true maturation status. The successful isolation of this boundary-case presentation demonstrates that the framework's heteroscedastic uncertainty calibration effectively prevents silent algorithmic failures, establishing a robust, clinical-grade safety net</w:t>
      </w:r>
    </w:p>
    <w:p w14:paraId="7BD47FF5" w14:textId="77777777" w:rsidR="002959E1" w:rsidRPr="002959E1" w:rsidRDefault="002959E1" w:rsidP="002959E1">
      <w:pPr>
        <w:rPr>
          <w:rFonts w:ascii="Times New Roman" w:hAnsi="Times New Roman" w:cs="Times New Roman"/>
          <w:b/>
          <w:bCs/>
          <w:sz w:val="16"/>
          <w:szCs w:val="16"/>
        </w:rPr>
      </w:pPr>
      <w:r w:rsidRPr="002959E1">
        <w:rPr>
          <w:rFonts w:ascii="Times New Roman" w:hAnsi="Times New Roman" w:cs="Times New Roman"/>
          <w:b/>
          <w:bCs/>
          <w:sz w:val="16"/>
          <w:szCs w:val="16"/>
        </w:rPr>
        <w:t>Supplementary Table S4: Morphological Regression Calibration</w:t>
      </w:r>
    </w:p>
    <w:p w14:paraId="40E28654" w14:textId="21A9E987" w:rsidR="00FF0512" w:rsidRDefault="002959E1">
      <w:pPr>
        <w:rPr>
          <w:rFonts w:ascii="Times New Roman" w:hAnsi="Times New Roman" w:cs="Times New Roman"/>
          <w:sz w:val="16"/>
          <w:szCs w:val="16"/>
        </w:rPr>
      </w:pPr>
      <w:r w:rsidRPr="002959E1">
        <w:rPr>
          <w:rFonts w:ascii="Times New Roman" w:hAnsi="Times New Roman" w:cs="Times New Roman"/>
          <w:i/>
          <w:iCs/>
          <w:sz w:val="16"/>
          <w:szCs w:val="16"/>
        </w:rPr>
        <w:t xml:space="preserve">Mean absolute error (MAE) of the explicitly modeled phenotypic traits evaluated across the internal holdout validation cohort (n = </w:t>
      </w:r>
      <w:r w:rsidR="00655C94">
        <w:rPr>
          <w:rFonts w:ascii="Times New Roman" w:hAnsi="Times New Roman" w:cs="Times New Roman"/>
          <w:i/>
          <w:iCs/>
          <w:sz w:val="16"/>
          <w:szCs w:val="16"/>
        </w:rPr>
        <w:t>3174</w:t>
      </w:r>
      <w:r w:rsidRPr="002959E1">
        <w:rPr>
          <w:rFonts w:ascii="Times New Roman" w:hAnsi="Times New Roman" w:cs="Times New Roman"/>
          <w:i/>
          <w:iCs/>
          <w:sz w:val="16"/>
          <w:szCs w:val="16"/>
        </w:rPr>
        <w:t>).</w:t>
      </w:r>
    </w:p>
    <w:tbl>
      <w:tblPr>
        <w:tblStyle w:val="TableGrid"/>
        <w:tblW w:w="0" w:type="auto"/>
        <w:tblLook w:val="04A0" w:firstRow="1" w:lastRow="0" w:firstColumn="1" w:lastColumn="0" w:noHBand="0" w:noVBand="1"/>
      </w:tblPr>
      <w:tblGrid>
        <w:gridCol w:w="4508"/>
        <w:gridCol w:w="4508"/>
      </w:tblGrid>
      <w:tr w:rsidR="002959E1" w14:paraId="660E29B6" w14:textId="77777777" w:rsidTr="00AC5CC8">
        <w:tc>
          <w:tcPr>
            <w:tcW w:w="4508" w:type="dxa"/>
            <w:vAlign w:val="center"/>
          </w:tcPr>
          <w:p w14:paraId="0035F8F7" w14:textId="1B9E7A01" w:rsidR="002959E1" w:rsidRPr="00EF6AD1" w:rsidRDefault="002959E1" w:rsidP="002959E1">
            <w:pPr>
              <w:rPr>
                <w:rFonts w:ascii="Times New Roman" w:hAnsi="Times New Roman" w:cs="Times New Roman"/>
              </w:rPr>
            </w:pPr>
            <w:r w:rsidRPr="002959E1">
              <w:rPr>
                <w:rFonts w:ascii="Times New Roman" w:hAnsi="Times New Roman" w:cs="Times New Roman"/>
                <w:b/>
                <w:bCs/>
              </w:rPr>
              <w:t>Phenotypic Trait</w:t>
            </w:r>
          </w:p>
        </w:tc>
        <w:tc>
          <w:tcPr>
            <w:tcW w:w="4508" w:type="dxa"/>
            <w:vAlign w:val="center"/>
          </w:tcPr>
          <w:p w14:paraId="319CC3BE" w14:textId="29BB2DCA" w:rsidR="002959E1" w:rsidRPr="00EF6AD1" w:rsidRDefault="002959E1" w:rsidP="002959E1">
            <w:pPr>
              <w:rPr>
                <w:rFonts w:ascii="Times New Roman" w:hAnsi="Times New Roman" w:cs="Times New Roman"/>
              </w:rPr>
            </w:pPr>
            <w:r w:rsidRPr="002959E1">
              <w:rPr>
                <w:rFonts w:ascii="Times New Roman" w:hAnsi="Times New Roman" w:cs="Times New Roman"/>
                <w:b/>
                <w:bCs/>
              </w:rPr>
              <w:t>Mean Absolute Error (MAE)</w:t>
            </w:r>
          </w:p>
        </w:tc>
      </w:tr>
      <w:tr w:rsidR="002959E1" w14:paraId="70867F84" w14:textId="77777777" w:rsidTr="00AC5CC8">
        <w:tc>
          <w:tcPr>
            <w:tcW w:w="4508" w:type="dxa"/>
            <w:vAlign w:val="center"/>
          </w:tcPr>
          <w:p w14:paraId="4863239A" w14:textId="569A15DF" w:rsidR="00EF6AD1" w:rsidRPr="00EF6AD1" w:rsidRDefault="002959E1" w:rsidP="002959E1">
            <w:pPr>
              <w:rPr>
                <w:rFonts w:ascii="Times New Roman" w:hAnsi="Times New Roman" w:cs="Times New Roman"/>
              </w:rPr>
            </w:pPr>
            <w:r w:rsidRPr="002959E1">
              <w:rPr>
                <w:rFonts w:ascii="Times New Roman" w:hAnsi="Times New Roman" w:cs="Times New Roman"/>
              </w:rPr>
              <w:t>Relative Nuclear Area</w:t>
            </w:r>
          </w:p>
        </w:tc>
        <w:tc>
          <w:tcPr>
            <w:tcW w:w="4508" w:type="dxa"/>
            <w:vAlign w:val="center"/>
          </w:tcPr>
          <w:p w14:paraId="1E59A7C9" w14:textId="0CDDE333" w:rsidR="002959E1" w:rsidRPr="00EF6AD1" w:rsidRDefault="00780C28" w:rsidP="002959E1">
            <w:pPr>
              <w:rPr>
                <w:rFonts w:ascii="Times New Roman" w:hAnsi="Times New Roman" w:cs="Times New Roman"/>
              </w:rPr>
            </w:pPr>
            <w:r w:rsidRPr="00780C28">
              <w:rPr>
                <w:rFonts w:ascii="Times New Roman" w:hAnsi="Times New Roman" w:cs="Times New Roman"/>
              </w:rPr>
              <w:t>0.1081</w:t>
            </w:r>
          </w:p>
        </w:tc>
      </w:tr>
      <w:tr w:rsidR="002959E1" w14:paraId="57953C80" w14:textId="77777777" w:rsidTr="00AC5CC8">
        <w:tc>
          <w:tcPr>
            <w:tcW w:w="4508" w:type="dxa"/>
            <w:vAlign w:val="center"/>
          </w:tcPr>
          <w:p w14:paraId="72D6DF50" w14:textId="6D0A3412" w:rsidR="002959E1" w:rsidRPr="00EF6AD1" w:rsidRDefault="002959E1" w:rsidP="002959E1">
            <w:pPr>
              <w:rPr>
                <w:rFonts w:ascii="Times New Roman" w:hAnsi="Times New Roman" w:cs="Times New Roman"/>
              </w:rPr>
            </w:pPr>
            <w:r w:rsidRPr="002959E1">
              <w:rPr>
                <w:rFonts w:ascii="Times New Roman" w:hAnsi="Times New Roman" w:cs="Times New Roman"/>
              </w:rPr>
              <w:t>Logarithmic N:C Ratio</w:t>
            </w:r>
          </w:p>
        </w:tc>
        <w:tc>
          <w:tcPr>
            <w:tcW w:w="4508" w:type="dxa"/>
            <w:vAlign w:val="center"/>
          </w:tcPr>
          <w:p w14:paraId="384203B6" w14:textId="2ADD2384" w:rsidR="002959E1" w:rsidRPr="00EF6AD1" w:rsidRDefault="00655C94" w:rsidP="002959E1">
            <w:pPr>
              <w:rPr>
                <w:rFonts w:ascii="Times New Roman" w:hAnsi="Times New Roman" w:cs="Times New Roman"/>
              </w:rPr>
            </w:pPr>
            <w:r w:rsidRPr="00655C94">
              <w:rPr>
                <w:rFonts w:ascii="Times New Roman" w:hAnsi="Times New Roman" w:cs="Times New Roman"/>
              </w:rPr>
              <w:t>0.2728</w:t>
            </w:r>
          </w:p>
        </w:tc>
      </w:tr>
      <w:tr w:rsidR="002959E1" w14:paraId="5B04E564" w14:textId="77777777" w:rsidTr="00AC5CC8">
        <w:tc>
          <w:tcPr>
            <w:tcW w:w="4508" w:type="dxa"/>
            <w:vAlign w:val="center"/>
          </w:tcPr>
          <w:p w14:paraId="133EDD1C" w14:textId="315A3AB1" w:rsidR="002959E1" w:rsidRPr="00EF6AD1" w:rsidRDefault="002959E1" w:rsidP="002959E1">
            <w:pPr>
              <w:rPr>
                <w:rFonts w:ascii="Times New Roman" w:hAnsi="Times New Roman" w:cs="Times New Roman"/>
              </w:rPr>
            </w:pPr>
            <w:r w:rsidRPr="002959E1">
              <w:rPr>
                <w:rFonts w:ascii="Times New Roman" w:hAnsi="Times New Roman" w:cs="Times New Roman"/>
              </w:rPr>
              <w:t>Normalized Nuclear Contour</w:t>
            </w:r>
          </w:p>
        </w:tc>
        <w:tc>
          <w:tcPr>
            <w:tcW w:w="4508" w:type="dxa"/>
            <w:vAlign w:val="center"/>
          </w:tcPr>
          <w:p w14:paraId="6DB53025" w14:textId="19B5E4AC" w:rsidR="002959E1" w:rsidRPr="00EF6AD1" w:rsidRDefault="00655C94" w:rsidP="002959E1">
            <w:pPr>
              <w:rPr>
                <w:rFonts w:ascii="Times New Roman" w:hAnsi="Times New Roman" w:cs="Times New Roman"/>
              </w:rPr>
            </w:pPr>
            <w:r w:rsidRPr="00655C94">
              <w:rPr>
                <w:rFonts w:ascii="Times New Roman" w:hAnsi="Times New Roman" w:cs="Times New Roman"/>
              </w:rPr>
              <w:t>0.8780</w:t>
            </w:r>
          </w:p>
        </w:tc>
      </w:tr>
      <w:tr w:rsidR="002959E1" w:rsidRPr="002959E1" w14:paraId="30BA35AD" w14:textId="77777777" w:rsidTr="002959E1">
        <w:tc>
          <w:tcPr>
            <w:tcW w:w="0" w:type="auto"/>
            <w:hideMark/>
          </w:tcPr>
          <w:p w14:paraId="00C3D62E"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rPr>
              <w:t>Nuclear Sphericity</w:t>
            </w:r>
          </w:p>
        </w:tc>
        <w:tc>
          <w:tcPr>
            <w:tcW w:w="0" w:type="auto"/>
            <w:hideMark/>
          </w:tcPr>
          <w:p w14:paraId="73FC4A45" w14:textId="7B876E32" w:rsidR="002959E1" w:rsidRPr="002959E1" w:rsidRDefault="00780C28" w:rsidP="00EF6AD1">
            <w:pPr>
              <w:spacing w:line="259" w:lineRule="auto"/>
              <w:rPr>
                <w:rFonts w:ascii="Times New Roman" w:hAnsi="Times New Roman" w:cs="Times New Roman"/>
              </w:rPr>
            </w:pPr>
            <w:r w:rsidRPr="00780C28">
              <w:rPr>
                <w:rFonts w:ascii="Times New Roman" w:hAnsi="Times New Roman" w:cs="Times New Roman"/>
              </w:rPr>
              <w:t xml:space="preserve"> </w:t>
            </w:r>
            <w:r w:rsidR="00655C94" w:rsidRPr="00655C94">
              <w:rPr>
                <w:rFonts w:ascii="Times New Roman" w:hAnsi="Times New Roman" w:cs="Times New Roman"/>
              </w:rPr>
              <w:t>0.0923</w:t>
            </w:r>
          </w:p>
        </w:tc>
      </w:tr>
      <w:tr w:rsidR="002959E1" w:rsidRPr="002959E1" w14:paraId="5CC05544" w14:textId="77777777" w:rsidTr="002959E1">
        <w:tc>
          <w:tcPr>
            <w:tcW w:w="0" w:type="auto"/>
            <w:hideMark/>
          </w:tcPr>
          <w:p w14:paraId="72A9EF8F"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rPr>
              <w:t>Nuclear Eccentricity</w:t>
            </w:r>
          </w:p>
        </w:tc>
        <w:tc>
          <w:tcPr>
            <w:tcW w:w="0" w:type="auto"/>
            <w:hideMark/>
          </w:tcPr>
          <w:p w14:paraId="7C582640" w14:textId="4D77D18E" w:rsidR="002959E1" w:rsidRPr="002959E1" w:rsidRDefault="00655C94" w:rsidP="00EF6AD1">
            <w:pPr>
              <w:spacing w:line="259" w:lineRule="auto"/>
              <w:rPr>
                <w:rFonts w:ascii="Times New Roman" w:hAnsi="Times New Roman" w:cs="Times New Roman"/>
              </w:rPr>
            </w:pPr>
            <w:r w:rsidRPr="00655C94">
              <w:rPr>
                <w:rFonts w:ascii="Times New Roman" w:hAnsi="Times New Roman" w:cs="Times New Roman"/>
              </w:rPr>
              <w:t>0.1029</w:t>
            </w:r>
          </w:p>
        </w:tc>
      </w:tr>
      <w:tr w:rsidR="002959E1" w:rsidRPr="002959E1" w14:paraId="29B094F6" w14:textId="77777777" w:rsidTr="002959E1">
        <w:tc>
          <w:tcPr>
            <w:tcW w:w="0" w:type="auto"/>
            <w:hideMark/>
          </w:tcPr>
          <w:p w14:paraId="599400D2"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rPr>
              <w:t>Mean Chromatin Density</w:t>
            </w:r>
          </w:p>
        </w:tc>
        <w:tc>
          <w:tcPr>
            <w:tcW w:w="0" w:type="auto"/>
            <w:hideMark/>
          </w:tcPr>
          <w:p w14:paraId="1DF06071" w14:textId="6D5DA550" w:rsidR="002959E1" w:rsidRPr="002959E1" w:rsidRDefault="00655C94" w:rsidP="00EF6AD1">
            <w:pPr>
              <w:spacing w:line="259" w:lineRule="auto"/>
              <w:rPr>
                <w:rFonts w:ascii="Times New Roman" w:hAnsi="Times New Roman" w:cs="Times New Roman"/>
              </w:rPr>
            </w:pPr>
            <w:r w:rsidRPr="00655C94">
              <w:rPr>
                <w:rFonts w:ascii="Times New Roman" w:hAnsi="Times New Roman" w:cs="Times New Roman"/>
              </w:rPr>
              <w:t>0.0863</w:t>
            </w:r>
          </w:p>
        </w:tc>
      </w:tr>
      <w:tr w:rsidR="002959E1" w:rsidRPr="002959E1" w14:paraId="21335232" w14:textId="77777777" w:rsidTr="002959E1">
        <w:tc>
          <w:tcPr>
            <w:tcW w:w="0" w:type="auto"/>
            <w:hideMark/>
          </w:tcPr>
          <w:p w14:paraId="764F66E6"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rPr>
              <w:t>Chromatin Heterogeneity</w:t>
            </w:r>
          </w:p>
        </w:tc>
        <w:tc>
          <w:tcPr>
            <w:tcW w:w="0" w:type="auto"/>
            <w:hideMark/>
          </w:tcPr>
          <w:p w14:paraId="5F2B74F9" w14:textId="74EA3F65" w:rsidR="002959E1" w:rsidRPr="002959E1" w:rsidRDefault="00655C94" w:rsidP="00EF6AD1">
            <w:pPr>
              <w:spacing w:line="259" w:lineRule="auto"/>
              <w:rPr>
                <w:rFonts w:ascii="Times New Roman" w:hAnsi="Times New Roman" w:cs="Times New Roman"/>
              </w:rPr>
            </w:pPr>
            <w:r w:rsidRPr="00655C94">
              <w:rPr>
                <w:rFonts w:ascii="Times New Roman" w:hAnsi="Times New Roman" w:cs="Times New Roman"/>
              </w:rPr>
              <w:t>0.0085</w:t>
            </w:r>
          </w:p>
        </w:tc>
      </w:tr>
      <w:tr w:rsidR="002959E1" w:rsidRPr="002959E1" w14:paraId="557D6DA1" w14:textId="77777777" w:rsidTr="002959E1">
        <w:tc>
          <w:tcPr>
            <w:tcW w:w="0" w:type="auto"/>
            <w:hideMark/>
          </w:tcPr>
          <w:p w14:paraId="48E5048E"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rPr>
              <w:t>Chromatin Entropy</w:t>
            </w:r>
          </w:p>
        </w:tc>
        <w:tc>
          <w:tcPr>
            <w:tcW w:w="0" w:type="auto"/>
            <w:hideMark/>
          </w:tcPr>
          <w:p w14:paraId="14ECA4DD" w14:textId="449F265D" w:rsidR="002959E1" w:rsidRPr="002959E1" w:rsidRDefault="00655C94" w:rsidP="00EF6AD1">
            <w:pPr>
              <w:spacing w:line="259" w:lineRule="auto"/>
              <w:rPr>
                <w:rFonts w:ascii="Times New Roman" w:hAnsi="Times New Roman" w:cs="Times New Roman"/>
              </w:rPr>
            </w:pPr>
            <w:r w:rsidRPr="00655C94">
              <w:rPr>
                <w:rFonts w:ascii="Times New Roman" w:hAnsi="Times New Roman" w:cs="Times New Roman"/>
              </w:rPr>
              <w:t>0.0308</w:t>
            </w:r>
          </w:p>
        </w:tc>
      </w:tr>
      <w:tr w:rsidR="002959E1" w:rsidRPr="002959E1" w14:paraId="572675B3" w14:textId="77777777" w:rsidTr="002959E1">
        <w:tc>
          <w:tcPr>
            <w:tcW w:w="0" w:type="auto"/>
            <w:hideMark/>
          </w:tcPr>
          <w:p w14:paraId="47E38DEF" w14:textId="77777777" w:rsidR="002959E1" w:rsidRPr="002959E1" w:rsidRDefault="002959E1" w:rsidP="00EF6AD1">
            <w:pPr>
              <w:spacing w:line="259" w:lineRule="auto"/>
              <w:rPr>
                <w:rFonts w:ascii="Times New Roman" w:hAnsi="Times New Roman" w:cs="Times New Roman"/>
              </w:rPr>
            </w:pPr>
            <w:r w:rsidRPr="002959E1">
              <w:rPr>
                <w:rFonts w:ascii="Times New Roman" w:hAnsi="Times New Roman" w:cs="Times New Roman"/>
                <w:b/>
                <w:bCs/>
              </w:rPr>
              <w:t>Overall Calibration Error</w:t>
            </w:r>
          </w:p>
        </w:tc>
        <w:tc>
          <w:tcPr>
            <w:tcW w:w="0" w:type="auto"/>
            <w:hideMark/>
          </w:tcPr>
          <w:p w14:paraId="7FC8D87F" w14:textId="37486E2F" w:rsidR="002959E1" w:rsidRPr="007F017E" w:rsidRDefault="000A499C" w:rsidP="00EF6AD1">
            <w:pPr>
              <w:spacing w:line="259" w:lineRule="auto"/>
              <w:rPr>
                <w:rFonts w:ascii="Times New Roman" w:hAnsi="Times New Roman" w:cs="Times New Roman"/>
                <w:b/>
                <w:bCs/>
              </w:rPr>
            </w:pPr>
            <w:r w:rsidRPr="007F017E">
              <w:rPr>
                <w:rFonts w:ascii="Times New Roman" w:hAnsi="Times New Roman" w:cs="Times New Roman"/>
                <w:b/>
                <w:bCs/>
              </w:rPr>
              <w:t>0.1974</w:t>
            </w:r>
          </w:p>
        </w:tc>
      </w:tr>
    </w:tbl>
    <w:p w14:paraId="23E5A715" w14:textId="77777777" w:rsidR="002959E1" w:rsidRDefault="002959E1">
      <w:pPr>
        <w:rPr>
          <w:rFonts w:ascii="Times New Roman" w:hAnsi="Times New Roman" w:cs="Times New Roman"/>
          <w:sz w:val="16"/>
          <w:szCs w:val="16"/>
        </w:rPr>
      </w:pPr>
    </w:p>
    <w:p w14:paraId="76E2A47D" w14:textId="073E0A33" w:rsidR="002959E1" w:rsidRDefault="002959E1">
      <w:pPr>
        <w:rPr>
          <w:rFonts w:ascii="Times New Roman" w:hAnsi="Times New Roman" w:cs="Times New Roman"/>
          <w:i/>
          <w:iCs/>
          <w:sz w:val="16"/>
          <w:szCs w:val="16"/>
        </w:rPr>
      </w:pPr>
      <w:r w:rsidRPr="002959E1">
        <w:rPr>
          <w:rFonts w:ascii="Times New Roman" w:hAnsi="Times New Roman" w:cs="Times New Roman"/>
          <w:b/>
          <w:bCs/>
          <w:sz w:val="16"/>
          <w:szCs w:val="16"/>
        </w:rPr>
        <w:t>Supplementary Table S5: External Cohort Morphological Regression Calibration</w:t>
      </w:r>
      <w:r w:rsidRPr="002959E1">
        <w:rPr>
          <w:rFonts w:ascii="Times New Roman" w:hAnsi="Times New Roman" w:cs="Times New Roman"/>
          <w:sz w:val="16"/>
          <w:szCs w:val="16"/>
        </w:rPr>
        <w:t xml:space="preserve"> </w:t>
      </w:r>
      <w:r w:rsidRPr="002959E1">
        <w:rPr>
          <w:rFonts w:ascii="Times New Roman" w:hAnsi="Times New Roman" w:cs="Times New Roman"/>
          <w:i/>
          <w:iCs/>
          <w:sz w:val="16"/>
          <w:szCs w:val="16"/>
        </w:rPr>
        <w:t>Mean absolute error (MAE) of the explicitly modeled phenotypic traits evaluated across the independent external clinical cohort, demonstrating robust out-of-distribution morphological grounding.</w:t>
      </w:r>
    </w:p>
    <w:tbl>
      <w:tblPr>
        <w:tblStyle w:val="TableGrid"/>
        <w:tblW w:w="9016" w:type="dxa"/>
        <w:tblLook w:val="04A0" w:firstRow="1" w:lastRow="0" w:firstColumn="1" w:lastColumn="0" w:noHBand="0" w:noVBand="1"/>
      </w:tblPr>
      <w:tblGrid>
        <w:gridCol w:w="4508"/>
        <w:gridCol w:w="4508"/>
      </w:tblGrid>
      <w:tr w:rsidR="002959E1" w14:paraId="60FFC1F5" w14:textId="77777777" w:rsidTr="002959E1">
        <w:tc>
          <w:tcPr>
            <w:tcW w:w="4508" w:type="dxa"/>
          </w:tcPr>
          <w:p w14:paraId="73994811" w14:textId="59527E88" w:rsidR="002959E1" w:rsidRPr="00EF6AD1" w:rsidRDefault="002959E1" w:rsidP="002959E1">
            <w:pPr>
              <w:rPr>
                <w:rFonts w:ascii="Times New Roman" w:hAnsi="Times New Roman" w:cs="Times New Roman"/>
              </w:rPr>
            </w:pPr>
            <w:r w:rsidRPr="002959E1">
              <w:rPr>
                <w:rFonts w:ascii="Times New Roman" w:hAnsi="Times New Roman" w:cs="Times New Roman"/>
                <w:b/>
                <w:bCs/>
              </w:rPr>
              <w:lastRenderedPageBreak/>
              <w:t>Phenotypic Trait</w:t>
            </w:r>
          </w:p>
        </w:tc>
        <w:tc>
          <w:tcPr>
            <w:tcW w:w="4508" w:type="dxa"/>
          </w:tcPr>
          <w:p w14:paraId="5A6EA012" w14:textId="70B7C1F6" w:rsidR="002959E1" w:rsidRPr="00EF6AD1" w:rsidRDefault="002959E1" w:rsidP="002959E1">
            <w:pPr>
              <w:rPr>
                <w:rFonts w:ascii="Times New Roman" w:hAnsi="Times New Roman" w:cs="Times New Roman"/>
              </w:rPr>
            </w:pPr>
            <w:r w:rsidRPr="002959E1">
              <w:rPr>
                <w:rFonts w:ascii="Times New Roman" w:hAnsi="Times New Roman" w:cs="Times New Roman"/>
                <w:b/>
                <w:bCs/>
              </w:rPr>
              <w:t>Mean Absolute Error (MAE)</w:t>
            </w:r>
          </w:p>
        </w:tc>
      </w:tr>
      <w:tr w:rsidR="002959E1" w14:paraId="4FA49BE4" w14:textId="77777777" w:rsidTr="002959E1">
        <w:tc>
          <w:tcPr>
            <w:tcW w:w="4508" w:type="dxa"/>
          </w:tcPr>
          <w:p w14:paraId="4EC0B1AA" w14:textId="6FC415EA" w:rsidR="002959E1" w:rsidRPr="00EF6AD1" w:rsidRDefault="002959E1" w:rsidP="002959E1">
            <w:pPr>
              <w:rPr>
                <w:rFonts w:ascii="Times New Roman" w:hAnsi="Times New Roman" w:cs="Times New Roman"/>
              </w:rPr>
            </w:pPr>
            <w:bookmarkStart w:id="1" w:name="_Hlk234917969"/>
            <w:r w:rsidRPr="002959E1">
              <w:rPr>
                <w:rFonts w:ascii="Times New Roman" w:hAnsi="Times New Roman" w:cs="Times New Roman"/>
              </w:rPr>
              <w:t>Relative Nuclear Area</w:t>
            </w:r>
            <w:bookmarkEnd w:id="1"/>
          </w:p>
        </w:tc>
        <w:tc>
          <w:tcPr>
            <w:tcW w:w="4508" w:type="dxa"/>
          </w:tcPr>
          <w:p w14:paraId="516CA28B" w14:textId="52C6DCBA" w:rsidR="002959E1" w:rsidRPr="00EF6AD1" w:rsidRDefault="00655C94" w:rsidP="002959E1">
            <w:pPr>
              <w:rPr>
                <w:rFonts w:ascii="Times New Roman" w:hAnsi="Times New Roman" w:cs="Times New Roman"/>
              </w:rPr>
            </w:pPr>
            <w:bookmarkStart w:id="2" w:name="_Hlk234917994"/>
            <w:r w:rsidRPr="00655C94">
              <w:rPr>
                <w:rFonts w:ascii="Times New Roman" w:hAnsi="Times New Roman" w:cs="Times New Roman"/>
              </w:rPr>
              <w:t>0.0669</w:t>
            </w:r>
            <w:bookmarkEnd w:id="2"/>
          </w:p>
        </w:tc>
      </w:tr>
      <w:tr w:rsidR="002959E1" w14:paraId="3296DA5A" w14:textId="77777777" w:rsidTr="002959E1">
        <w:tc>
          <w:tcPr>
            <w:tcW w:w="4508" w:type="dxa"/>
          </w:tcPr>
          <w:p w14:paraId="78FD5B28" w14:textId="4903075A" w:rsidR="002959E1" w:rsidRPr="00EF6AD1" w:rsidRDefault="002959E1" w:rsidP="002959E1">
            <w:pPr>
              <w:rPr>
                <w:rFonts w:ascii="Times New Roman" w:hAnsi="Times New Roman" w:cs="Times New Roman"/>
              </w:rPr>
            </w:pPr>
            <w:r w:rsidRPr="002959E1">
              <w:rPr>
                <w:rFonts w:ascii="Times New Roman" w:hAnsi="Times New Roman" w:cs="Times New Roman"/>
              </w:rPr>
              <w:t>Logarithmic N:C Ratio</w:t>
            </w:r>
          </w:p>
        </w:tc>
        <w:tc>
          <w:tcPr>
            <w:tcW w:w="4508" w:type="dxa"/>
          </w:tcPr>
          <w:p w14:paraId="2A9F0BDD" w14:textId="1BB52812" w:rsidR="002959E1" w:rsidRPr="00EF6AD1" w:rsidRDefault="000A499C" w:rsidP="002959E1">
            <w:pPr>
              <w:rPr>
                <w:rFonts w:ascii="Times New Roman" w:hAnsi="Times New Roman" w:cs="Times New Roman"/>
              </w:rPr>
            </w:pPr>
            <w:r w:rsidRPr="000A499C">
              <w:rPr>
                <w:rFonts w:ascii="Times New Roman" w:hAnsi="Times New Roman" w:cs="Times New Roman"/>
              </w:rPr>
              <w:t>0.2407</w:t>
            </w:r>
          </w:p>
        </w:tc>
      </w:tr>
      <w:tr w:rsidR="002959E1" w14:paraId="0118C15E" w14:textId="77777777" w:rsidTr="002959E1">
        <w:tc>
          <w:tcPr>
            <w:tcW w:w="4508" w:type="dxa"/>
          </w:tcPr>
          <w:p w14:paraId="604389F5" w14:textId="270A5F09" w:rsidR="002959E1" w:rsidRPr="00EF6AD1" w:rsidRDefault="002959E1" w:rsidP="002959E1">
            <w:pPr>
              <w:rPr>
                <w:rFonts w:ascii="Times New Roman" w:hAnsi="Times New Roman" w:cs="Times New Roman"/>
              </w:rPr>
            </w:pPr>
            <w:r w:rsidRPr="002959E1">
              <w:rPr>
                <w:rFonts w:ascii="Times New Roman" w:hAnsi="Times New Roman" w:cs="Times New Roman"/>
              </w:rPr>
              <w:t>Normalized Nuclear Contour</w:t>
            </w:r>
          </w:p>
        </w:tc>
        <w:tc>
          <w:tcPr>
            <w:tcW w:w="4508" w:type="dxa"/>
          </w:tcPr>
          <w:p w14:paraId="1A105EFD" w14:textId="1C02B9C1" w:rsidR="002959E1" w:rsidRPr="00EF6AD1" w:rsidRDefault="00655C94" w:rsidP="002959E1">
            <w:pPr>
              <w:rPr>
                <w:rFonts w:ascii="Times New Roman" w:hAnsi="Times New Roman" w:cs="Times New Roman"/>
              </w:rPr>
            </w:pPr>
            <w:r w:rsidRPr="00655C94">
              <w:rPr>
                <w:rFonts w:ascii="Times New Roman" w:hAnsi="Times New Roman" w:cs="Times New Roman"/>
              </w:rPr>
              <w:t>0.4318</w:t>
            </w:r>
          </w:p>
        </w:tc>
      </w:tr>
      <w:tr w:rsidR="002959E1" w14:paraId="09DAFA90" w14:textId="77777777" w:rsidTr="002959E1">
        <w:tc>
          <w:tcPr>
            <w:tcW w:w="4508" w:type="dxa"/>
          </w:tcPr>
          <w:p w14:paraId="2DBEE221" w14:textId="38755FFA" w:rsidR="002959E1" w:rsidRPr="00EF6AD1" w:rsidRDefault="002959E1" w:rsidP="002959E1">
            <w:pPr>
              <w:rPr>
                <w:rFonts w:ascii="Times New Roman" w:hAnsi="Times New Roman" w:cs="Times New Roman"/>
              </w:rPr>
            </w:pPr>
            <w:r w:rsidRPr="002959E1">
              <w:rPr>
                <w:rFonts w:ascii="Times New Roman" w:hAnsi="Times New Roman" w:cs="Times New Roman"/>
              </w:rPr>
              <w:t>Nuclear Sphericity</w:t>
            </w:r>
          </w:p>
        </w:tc>
        <w:tc>
          <w:tcPr>
            <w:tcW w:w="4508" w:type="dxa"/>
          </w:tcPr>
          <w:p w14:paraId="0EF5E190" w14:textId="3F1EEF93" w:rsidR="002959E1" w:rsidRPr="00EF6AD1" w:rsidRDefault="00655C94" w:rsidP="002959E1">
            <w:pPr>
              <w:rPr>
                <w:rFonts w:ascii="Times New Roman" w:hAnsi="Times New Roman" w:cs="Times New Roman"/>
              </w:rPr>
            </w:pPr>
            <w:r w:rsidRPr="00655C94">
              <w:rPr>
                <w:rFonts w:ascii="Times New Roman" w:hAnsi="Times New Roman" w:cs="Times New Roman"/>
              </w:rPr>
              <w:t>0.0512</w:t>
            </w:r>
          </w:p>
        </w:tc>
      </w:tr>
      <w:tr w:rsidR="002959E1" w14:paraId="0B7F5FDF" w14:textId="77777777" w:rsidTr="002959E1">
        <w:tc>
          <w:tcPr>
            <w:tcW w:w="4508" w:type="dxa"/>
          </w:tcPr>
          <w:p w14:paraId="30CB2CB5" w14:textId="50B1AAE7" w:rsidR="002959E1" w:rsidRPr="00EF6AD1" w:rsidRDefault="002959E1" w:rsidP="002959E1">
            <w:pPr>
              <w:rPr>
                <w:rFonts w:ascii="Times New Roman" w:hAnsi="Times New Roman" w:cs="Times New Roman"/>
              </w:rPr>
            </w:pPr>
            <w:r w:rsidRPr="002959E1">
              <w:rPr>
                <w:rFonts w:ascii="Times New Roman" w:hAnsi="Times New Roman" w:cs="Times New Roman"/>
              </w:rPr>
              <w:t>Nuclear Eccentricity</w:t>
            </w:r>
          </w:p>
        </w:tc>
        <w:tc>
          <w:tcPr>
            <w:tcW w:w="4508" w:type="dxa"/>
          </w:tcPr>
          <w:p w14:paraId="7D7EFB65" w14:textId="4A5A3A36" w:rsidR="002959E1" w:rsidRPr="00EF6AD1" w:rsidRDefault="00655C94" w:rsidP="002959E1">
            <w:pPr>
              <w:rPr>
                <w:rFonts w:ascii="Times New Roman" w:hAnsi="Times New Roman" w:cs="Times New Roman"/>
              </w:rPr>
            </w:pPr>
            <w:r w:rsidRPr="00655C94">
              <w:rPr>
                <w:rFonts w:ascii="Times New Roman" w:hAnsi="Times New Roman" w:cs="Times New Roman"/>
              </w:rPr>
              <w:t>0.0195</w:t>
            </w:r>
          </w:p>
        </w:tc>
      </w:tr>
      <w:tr w:rsidR="002959E1" w14:paraId="219F5FD6" w14:textId="77777777" w:rsidTr="002959E1">
        <w:tc>
          <w:tcPr>
            <w:tcW w:w="4508" w:type="dxa"/>
          </w:tcPr>
          <w:p w14:paraId="308DA7C8" w14:textId="633237B9" w:rsidR="002959E1" w:rsidRPr="00EF6AD1" w:rsidRDefault="002959E1" w:rsidP="002959E1">
            <w:pPr>
              <w:rPr>
                <w:rFonts w:ascii="Times New Roman" w:hAnsi="Times New Roman" w:cs="Times New Roman"/>
              </w:rPr>
            </w:pPr>
            <w:r w:rsidRPr="002959E1">
              <w:rPr>
                <w:rFonts w:ascii="Times New Roman" w:hAnsi="Times New Roman" w:cs="Times New Roman"/>
              </w:rPr>
              <w:t>Mean Chromatin Density</w:t>
            </w:r>
          </w:p>
        </w:tc>
        <w:tc>
          <w:tcPr>
            <w:tcW w:w="4508" w:type="dxa"/>
          </w:tcPr>
          <w:p w14:paraId="456A7F38" w14:textId="58655A80" w:rsidR="002959E1" w:rsidRPr="00EF6AD1" w:rsidRDefault="00655C94" w:rsidP="002959E1">
            <w:pPr>
              <w:rPr>
                <w:rFonts w:ascii="Times New Roman" w:hAnsi="Times New Roman" w:cs="Times New Roman"/>
              </w:rPr>
            </w:pPr>
            <w:r w:rsidRPr="00655C94">
              <w:rPr>
                <w:rFonts w:ascii="Times New Roman" w:hAnsi="Times New Roman" w:cs="Times New Roman"/>
              </w:rPr>
              <w:t>0.0459</w:t>
            </w:r>
          </w:p>
        </w:tc>
      </w:tr>
      <w:tr w:rsidR="002959E1" w14:paraId="149635F2" w14:textId="77777777" w:rsidTr="002959E1">
        <w:tc>
          <w:tcPr>
            <w:tcW w:w="4508" w:type="dxa"/>
          </w:tcPr>
          <w:p w14:paraId="7A2C5C12" w14:textId="01495EA0" w:rsidR="002959E1" w:rsidRPr="00EF6AD1" w:rsidRDefault="002959E1" w:rsidP="002959E1">
            <w:pPr>
              <w:rPr>
                <w:rFonts w:ascii="Times New Roman" w:hAnsi="Times New Roman" w:cs="Times New Roman"/>
              </w:rPr>
            </w:pPr>
            <w:r w:rsidRPr="002959E1">
              <w:rPr>
                <w:rFonts w:ascii="Times New Roman" w:hAnsi="Times New Roman" w:cs="Times New Roman"/>
              </w:rPr>
              <w:t>Chromatin Heterogeneity</w:t>
            </w:r>
          </w:p>
        </w:tc>
        <w:tc>
          <w:tcPr>
            <w:tcW w:w="4508" w:type="dxa"/>
          </w:tcPr>
          <w:p w14:paraId="12D51BBF" w14:textId="78338613" w:rsidR="002959E1" w:rsidRPr="00EF6AD1" w:rsidRDefault="00655C94" w:rsidP="002959E1">
            <w:pPr>
              <w:rPr>
                <w:rFonts w:ascii="Times New Roman" w:hAnsi="Times New Roman" w:cs="Times New Roman"/>
              </w:rPr>
            </w:pPr>
            <w:r w:rsidRPr="00655C94">
              <w:rPr>
                <w:rFonts w:ascii="Times New Roman" w:hAnsi="Times New Roman" w:cs="Times New Roman"/>
              </w:rPr>
              <w:t>0.0048</w:t>
            </w:r>
          </w:p>
        </w:tc>
      </w:tr>
      <w:tr w:rsidR="002959E1" w14:paraId="409B8342" w14:textId="77777777" w:rsidTr="002959E1">
        <w:tc>
          <w:tcPr>
            <w:tcW w:w="4508" w:type="dxa"/>
          </w:tcPr>
          <w:p w14:paraId="61A04A4C" w14:textId="35FAC594" w:rsidR="002959E1" w:rsidRPr="00EF6AD1" w:rsidRDefault="002959E1" w:rsidP="002959E1">
            <w:pPr>
              <w:rPr>
                <w:rFonts w:ascii="Times New Roman" w:hAnsi="Times New Roman" w:cs="Times New Roman"/>
              </w:rPr>
            </w:pPr>
            <w:r w:rsidRPr="002959E1">
              <w:rPr>
                <w:rFonts w:ascii="Times New Roman" w:hAnsi="Times New Roman" w:cs="Times New Roman"/>
              </w:rPr>
              <w:t>Chromatin Entropy</w:t>
            </w:r>
          </w:p>
        </w:tc>
        <w:tc>
          <w:tcPr>
            <w:tcW w:w="4508" w:type="dxa"/>
          </w:tcPr>
          <w:p w14:paraId="5D4F2717" w14:textId="09314EC1" w:rsidR="002959E1" w:rsidRPr="00EF6AD1" w:rsidRDefault="00655C94" w:rsidP="002959E1">
            <w:pPr>
              <w:rPr>
                <w:rFonts w:ascii="Times New Roman" w:hAnsi="Times New Roman" w:cs="Times New Roman"/>
              </w:rPr>
            </w:pPr>
            <w:bookmarkStart w:id="3" w:name="_Hlk234918018"/>
            <w:r w:rsidRPr="00655C94">
              <w:rPr>
                <w:rFonts w:ascii="Times New Roman" w:hAnsi="Times New Roman" w:cs="Times New Roman"/>
              </w:rPr>
              <w:t>0.0130</w:t>
            </w:r>
            <w:bookmarkEnd w:id="3"/>
          </w:p>
        </w:tc>
      </w:tr>
      <w:tr w:rsidR="002959E1" w14:paraId="378A1039" w14:textId="77777777" w:rsidTr="002959E1">
        <w:tc>
          <w:tcPr>
            <w:tcW w:w="4508" w:type="dxa"/>
          </w:tcPr>
          <w:p w14:paraId="29075604" w14:textId="2A5FC26E" w:rsidR="002959E1" w:rsidRPr="00EF6AD1" w:rsidRDefault="002959E1" w:rsidP="002959E1">
            <w:pPr>
              <w:rPr>
                <w:rFonts w:ascii="Times New Roman" w:hAnsi="Times New Roman" w:cs="Times New Roman"/>
              </w:rPr>
            </w:pPr>
            <w:r w:rsidRPr="002959E1">
              <w:rPr>
                <w:rFonts w:ascii="Times New Roman" w:hAnsi="Times New Roman" w:cs="Times New Roman"/>
                <w:b/>
                <w:bCs/>
              </w:rPr>
              <w:t>Overall External Calibration Error</w:t>
            </w:r>
          </w:p>
        </w:tc>
        <w:tc>
          <w:tcPr>
            <w:tcW w:w="4508" w:type="dxa"/>
          </w:tcPr>
          <w:p w14:paraId="197BA588" w14:textId="6CB138C9" w:rsidR="002959E1" w:rsidRPr="00EF6AD1" w:rsidRDefault="000A499C" w:rsidP="002959E1">
            <w:pPr>
              <w:rPr>
                <w:rFonts w:ascii="Times New Roman" w:hAnsi="Times New Roman" w:cs="Times New Roman"/>
              </w:rPr>
            </w:pPr>
            <w:bookmarkStart w:id="4" w:name="_Hlk234917873"/>
            <w:r>
              <w:rPr>
                <w:rFonts w:ascii="Times New Roman" w:hAnsi="Times New Roman" w:cs="Times New Roman"/>
                <w:b/>
                <w:bCs/>
              </w:rPr>
              <w:t>0.1092</w:t>
            </w:r>
            <w:bookmarkEnd w:id="4"/>
          </w:p>
        </w:tc>
      </w:tr>
    </w:tbl>
    <w:p w14:paraId="60A0F48E" w14:textId="77777777" w:rsidR="002959E1" w:rsidRPr="00B76DE7" w:rsidRDefault="002959E1">
      <w:pPr>
        <w:rPr>
          <w:rFonts w:ascii="Times New Roman" w:hAnsi="Times New Roman" w:cs="Times New Roman"/>
          <w:sz w:val="18"/>
          <w:szCs w:val="16"/>
        </w:rPr>
      </w:pPr>
    </w:p>
    <w:p w14:paraId="5508FCA3" w14:textId="77777777" w:rsidR="00EF6AD1" w:rsidRPr="00B76DE7" w:rsidRDefault="00EF6AD1" w:rsidP="00EF6AD1">
      <w:pPr>
        <w:rPr>
          <w:rFonts w:ascii="Times New Roman" w:hAnsi="Times New Roman" w:cs="Times New Roman"/>
          <w:b/>
          <w:bCs/>
          <w:sz w:val="24"/>
        </w:rPr>
      </w:pPr>
      <w:r w:rsidRPr="00B76DE7">
        <w:rPr>
          <w:rFonts w:ascii="Times New Roman" w:hAnsi="Times New Roman" w:cs="Times New Roman"/>
          <w:b/>
          <w:bCs/>
          <w:sz w:val="24"/>
        </w:rPr>
        <w:t>Supplementary Note 5: Architectural Specifications of the GUR-Gate Framework</w:t>
      </w:r>
    </w:p>
    <w:p w14:paraId="54D0D4ED" w14:textId="77777777" w:rsidR="00EF6AD1" w:rsidRPr="00B76DE7" w:rsidRDefault="00EF6AD1" w:rsidP="00EF6AD1">
      <w:pPr>
        <w:rPr>
          <w:rFonts w:ascii="Times New Roman" w:hAnsi="Times New Roman" w:cs="Times New Roman"/>
          <w:sz w:val="24"/>
        </w:rPr>
      </w:pPr>
      <w:r w:rsidRPr="00B76DE7">
        <w:rPr>
          <w:rFonts w:ascii="Times New Roman" w:hAnsi="Times New Roman" w:cs="Times New Roman"/>
          <w:b/>
          <w:bCs/>
          <w:sz w:val="24"/>
        </w:rPr>
        <w:t>Hierarchical Feature Extraction via Adapted ResNet-50</w:t>
      </w:r>
    </w:p>
    <w:p w14:paraId="6A856E86" w14:textId="011742C3" w:rsidR="00EF6AD1" w:rsidRPr="00EF6AD1" w:rsidRDefault="00EF6AD1" w:rsidP="00EF6AD1">
      <w:pPr>
        <w:rPr>
          <w:rFonts w:ascii="Times New Roman" w:hAnsi="Times New Roman" w:cs="Times New Roman"/>
        </w:rPr>
      </w:pPr>
      <w:r w:rsidRPr="00EF6AD1">
        <w:rPr>
          <w:rFonts w:ascii="Times New Roman" w:hAnsi="Times New Roman" w:cs="Times New Roman"/>
        </w:rPr>
        <w:t>The foundational diagnostic backbone of the Generative Uncertainty-anchored Retrieval Gate (GUR-Gate) utilizes an adapted ResNet-50 architecture</w:t>
      </w:r>
      <w:r w:rsidR="00F72FAA">
        <w:rPr>
          <w:rFonts w:ascii="Times New Roman" w:hAnsi="Times New Roman" w:cs="Times New Roman"/>
        </w:rPr>
        <w:fldChar w:fldCharType="begin"/>
      </w:r>
      <w:r w:rsidR="00F72FAA">
        <w:rPr>
          <w:rFonts w:ascii="Times New Roman" w:hAnsi="Times New Roman" w:cs="Times New Roman"/>
        </w:rPr>
        <w:instrText xml:space="preserve"> ADDIN EN.CITE &lt;EndNote&gt;&lt;Cite&gt;&lt;Author&gt;He&lt;/Author&gt;&lt;Year&gt;2016&lt;/Year&gt;&lt;RecNum&gt;588&lt;/RecNum&gt;&lt;DisplayText&gt;&lt;style face="superscript"&gt;13&lt;/style&gt;&lt;/DisplayText&gt;&lt;record&gt;&lt;rec-number&gt;588&lt;/rec-number&gt;&lt;foreign-keys&gt;&lt;key app="EN" db-id="0azeet5dsvd0fiedwfqvwt2jp9d5stfsrwvw" timestamp="1784033251"&gt;588&lt;/key&gt;&lt;/foreign-keys&gt;&lt;ref-type name="Conference Proceedings"&gt;10&lt;/ref-type&gt;&lt;contributors&gt;&lt;authors&gt;&lt;author&gt;He, Kaiming&lt;/author&gt;&lt;author&gt;Zhang, Xiangyu&lt;/author&gt;&lt;author&gt;Ren, Shaoqing&lt;/author&gt;&lt;author&gt;Sun, Jian&lt;/author&gt;&lt;/authors&gt;&lt;/contributors&gt;&lt;titles&gt;&lt;title&gt;Deep residual learning for image recognition&lt;/title&gt;&lt;secondary-title&gt;Proceedings of the IEEE conference on computer vision and pattern recognition&lt;/secondary-title&gt;&lt;/titles&gt;&lt;pages&gt;770-778&lt;/pages&gt;&lt;dates&gt;&lt;year&gt;2016&lt;/year&gt;&lt;/dates&gt;&lt;urls&gt;&lt;/urls&gt;&lt;/record&gt;&lt;/Cite&gt;&lt;/EndNote&gt;</w:instrText>
      </w:r>
      <w:r w:rsidR="00F72FAA">
        <w:rPr>
          <w:rFonts w:ascii="Times New Roman" w:hAnsi="Times New Roman" w:cs="Times New Roman"/>
        </w:rPr>
        <w:fldChar w:fldCharType="separate"/>
      </w:r>
      <w:r w:rsidR="00F72FAA" w:rsidRPr="00F72FAA">
        <w:rPr>
          <w:rFonts w:ascii="Times New Roman" w:hAnsi="Times New Roman" w:cs="Times New Roman"/>
          <w:noProof/>
          <w:vertAlign w:val="superscript"/>
        </w:rPr>
        <w:t>13</w:t>
      </w:r>
      <w:r w:rsidR="00F72FAA">
        <w:rPr>
          <w:rFonts w:ascii="Times New Roman" w:hAnsi="Times New Roman" w:cs="Times New Roman"/>
        </w:rPr>
        <w:fldChar w:fldCharType="end"/>
      </w:r>
      <w:r w:rsidRPr="00EF6AD1">
        <w:rPr>
          <w:rFonts w:ascii="Times New Roman" w:hAnsi="Times New Roman" w:cs="Times New Roman"/>
        </w:rPr>
        <w:t xml:space="preserve"> engineered for multi-level feature fusion</w:t>
      </w:r>
      <w:r w:rsidR="004E51AE">
        <w:rPr>
          <w:rFonts w:ascii="Times New Roman" w:hAnsi="Times New Roman" w:cs="Times New Roman"/>
        </w:rPr>
        <w:fldChar w:fldCharType="begin"/>
      </w:r>
      <w:r w:rsidR="004E51AE">
        <w:rPr>
          <w:rFonts w:ascii="Times New Roman" w:hAnsi="Times New Roman" w:cs="Times New Roman"/>
        </w:rPr>
        <w:instrText xml:space="preserve"> ADDIN EN.CITE &lt;EndNote&gt;&lt;Cite&gt;&lt;Author&gt;Lin&lt;/Author&gt;&lt;Year&gt;2017&lt;/Year&gt;&lt;RecNum&gt;591&lt;/RecNum&gt;&lt;DisplayText&gt;&lt;style face="superscript"&gt;15&lt;/style&gt;&lt;/DisplayText&gt;&lt;record&gt;&lt;rec-number&gt;591&lt;/rec-number&gt;&lt;foreign-keys&gt;&lt;key app="EN" db-id="0azeet5dsvd0fiedwfqvwt2jp9d5stfsrwvw" timestamp="1784033939"&gt;591&lt;/key&gt;&lt;/foreign-keys&gt;&lt;ref-type name="Conference Proceedings"&gt;10&lt;/ref-type&gt;&lt;contributors&gt;&lt;authors&gt;&lt;author&gt;Lin, Tsung-Yi&lt;/author&gt;&lt;author&gt;Dollár, Piotr&lt;/author&gt;&lt;author&gt;Girshick, Ross&lt;/author&gt;&lt;author&gt;He, Kaiming&lt;/author&gt;&lt;author&gt;Hariharan, Bharath&lt;/author&gt;&lt;author&gt;Belongie, Serge&lt;/author&gt;&lt;/authors&gt;&lt;/contributors&gt;&lt;titles&gt;&lt;title&gt;Feature pyramid networks for object detection&lt;/title&gt;&lt;secondary-title&gt;Proceedings of the IEEE conference on computer vision and pattern recognition&lt;/secondary-title&gt;&lt;/titles&gt;&lt;pages&gt;2117-2125&lt;/pages&gt;&lt;dates&gt;&lt;year&gt;2017&lt;/year&gt;&lt;/dates&gt;&lt;urls&gt;&lt;/urls&gt;&lt;/record&gt;&lt;/Cite&gt;&lt;/EndNote&gt;</w:instrText>
      </w:r>
      <w:r w:rsidR="004E51AE">
        <w:rPr>
          <w:rFonts w:ascii="Times New Roman" w:hAnsi="Times New Roman" w:cs="Times New Roman"/>
        </w:rPr>
        <w:fldChar w:fldCharType="separate"/>
      </w:r>
      <w:r w:rsidR="004E51AE" w:rsidRPr="004E51AE">
        <w:rPr>
          <w:rFonts w:ascii="Times New Roman" w:hAnsi="Times New Roman" w:cs="Times New Roman"/>
          <w:noProof/>
          <w:vertAlign w:val="superscript"/>
        </w:rPr>
        <w:t>15</w:t>
      </w:r>
      <w:r w:rsidR="004E51AE">
        <w:rPr>
          <w:rFonts w:ascii="Times New Roman" w:hAnsi="Times New Roman" w:cs="Times New Roman"/>
        </w:rPr>
        <w:fldChar w:fldCharType="end"/>
      </w:r>
      <w:r w:rsidRPr="00EF6AD1">
        <w:rPr>
          <w:rFonts w:ascii="Times New Roman" w:hAnsi="Times New Roman" w:cs="Times New Roman"/>
        </w:rPr>
        <w:t>. Standard deep convolutional networks typically suffer from spatial information loss at deeper, highly abstracted layers. To successfully differentiate highly ambiguous leukemic sub-lineages, it is imperative to preserve high-frequency cytological textures (e.g., azurophilic granulation and Auer rods) while simultaneously capturing global morphometrics (e.g., the overall nucleocytoplasmic ratio). Consequently, our architecture bypasses standard terminal pooling by extracting intermediate activation maps across multiple residual blocks. These multi-scale feature embeddings are concatenated and passed through a custom projection head, ensuring that the final latent representation is deeply grounded in physical, biologically interpretable morphology rather than spurious background artifacts.</w:t>
      </w:r>
    </w:p>
    <w:p w14:paraId="1BEDF023" w14:textId="77777777" w:rsidR="00EF6AD1" w:rsidRPr="00B76DE7" w:rsidRDefault="00EF6AD1" w:rsidP="00EF6AD1">
      <w:pPr>
        <w:rPr>
          <w:rFonts w:ascii="Times New Roman" w:hAnsi="Times New Roman" w:cs="Times New Roman"/>
          <w:sz w:val="24"/>
        </w:rPr>
      </w:pPr>
      <w:r w:rsidRPr="00B76DE7">
        <w:rPr>
          <w:rFonts w:ascii="Times New Roman" w:hAnsi="Times New Roman" w:cs="Times New Roman"/>
          <w:b/>
          <w:bCs/>
          <w:sz w:val="24"/>
        </w:rPr>
        <w:t>Heteroscedastic Uncertainty Calibration and Metacognitive Triage</w:t>
      </w:r>
    </w:p>
    <w:p w14:paraId="12221FF2" w14:textId="6E19ACE9" w:rsidR="00EF6AD1" w:rsidRPr="00EF6AD1" w:rsidRDefault="00EF6AD1" w:rsidP="00EF6AD1">
      <w:pPr>
        <w:rPr>
          <w:rFonts w:ascii="Times New Roman" w:hAnsi="Times New Roman" w:cs="Times New Roman"/>
        </w:rPr>
      </w:pPr>
      <w:r w:rsidRPr="00EF6AD1">
        <w:rPr>
          <w:rFonts w:ascii="Times New Roman" w:hAnsi="Times New Roman" w:cs="Times New Roman"/>
        </w:rPr>
        <w:t xml:space="preserve">The core algorithmic safety mechanism of the framework is its metacognitive triage capability, driven by heteroscedastic uncertainty calibration. Rather than relying on raw </w:t>
      </w:r>
      <w:proofErr w:type="spellStart"/>
      <w:r w:rsidRPr="00EF6AD1">
        <w:rPr>
          <w:rFonts w:ascii="Times New Roman" w:hAnsi="Times New Roman" w:cs="Times New Roman"/>
        </w:rPr>
        <w:t>softmax</w:t>
      </w:r>
      <w:proofErr w:type="spellEnd"/>
      <w:r w:rsidRPr="00EF6AD1">
        <w:rPr>
          <w:rFonts w:ascii="Times New Roman" w:hAnsi="Times New Roman" w:cs="Times New Roman"/>
        </w:rPr>
        <w:t xml:space="preserve"> probabilities</w:t>
      </w:r>
      <w:r>
        <w:rPr>
          <w:rFonts w:ascii="Times New Roman" w:hAnsi="Times New Roman" w:cs="Times New Roman"/>
        </w:rPr>
        <w:t xml:space="preserve">, </w:t>
      </w:r>
      <w:r w:rsidRPr="00EF6AD1">
        <w:rPr>
          <w:rFonts w:ascii="Times New Roman" w:hAnsi="Times New Roman" w:cs="Times New Roman"/>
        </w:rPr>
        <w:t>which are notoriously overconfident when exposed to out-of-distribution (OOD) hematological presentations</w:t>
      </w:r>
      <w:r w:rsidR="00830BB1">
        <w:rPr>
          <w:rFonts w:ascii="Times New Roman" w:hAnsi="Times New Roman" w:cs="Times New Roman"/>
        </w:rPr>
        <w:fldChar w:fldCharType="begin"/>
      </w:r>
      <w:r w:rsidR="00830BB1">
        <w:rPr>
          <w:rFonts w:ascii="Times New Roman" w:hAnsi="Times New Roman" w:cs="Times New Roman"/>
        </w:rPr>
        <w:instrText xml:space="preserve"> ADDIN EN.CITE &lt;EndNote&gt;&lt;Cite&gt;&lt;Author&gt;Hendrycks&lt;/Author&gt;&lt;Year&gt;2016&lt;/Year&gt;&lt;RecNum&gt;594&lt;/RecNum&gt;&lt;DisplayText&gt;&lt;style face="superscript"&gt;16&lt;/style&gt;&lt;/DisplayText&gt;&lt;record&gt;&lt;rec-number&gt;594&lt;/rec-number&gt;&lt;foreign-keys&gt;&lt;key app="EN" db-id="0azeet5dsvd0fiedwfqvwt2jp9d5stfsrwvw" timestamp="1784037300"&gt;594&lt;/key&gt;&lt;/foreign-keys&gt;&lt;ref-type name="Journal Article"&gt;17&lt;/ref-type&gt;&lt;contributors&gt;&lt;authors&gt;&lt;author&gt;Hendrycks, Dan&lt;/author&gt;&lt;author&gt;Gimpel, Kevin&lt;/author&gt;&lt;/authors&gt;&lt;/contributors&gt;&lt;titles&gt;&lt;title&gt;A baseline for detecting misclassified and out-of-distribution examples in neural networks&lt;/title&gt;&lt;secondary-title&gt;arXiv preprint arXiv:1610.02136&lt;/secondary-title&gt;&lt;/titles&gt;&lt;periodical&gt;&lt;full-title&gt;arXiv preprint arXiv:1610.02136&lt;/full-title&gt;&lt;/periodical&gt;&lt;dates&gt;&lt;year&gt;2016&lt;/year&gt;&lt;/dates&gt;&lt;urls&gt;&lt;/urls&gt;&lt;/record&gt;&lt;/Cite&gt;&lt;/EndNote&gt;</w:instrText>
      </w:r>
      <w:r w:rsidR="00830BB1">
        <w:rPr>
          <w:rFonts w:ascii="Times New Roman" w:hAnsi="Times New Roman" w:cs="Times New Roman"/>
        </w:rPr>
        <w:fldChar w:fldCharType="separate"/>
      </w:r>
      <w:r w:rsidR="00830BB1" w:rsidRPr="00830BB1">
        <w:rPr>
          <w:rFonts w:ascii="Times New Roman" w:hAnsi="Times New Roman" w:cs="Times New Roman"/>
          <w:noProof/>
          <w:vertAlign w:val="superscript"/>
        </w:rPr>
        <w:t>16</w:t>
      </w:r>
      <w:r w:rsidR="00830BB1">
        <w:rPr>
          <w:rFonts w:ascii="Times New Roman" w:hAnsi="Times New Roman" w:cs="Times New Roman"/>
        </w:rPr>
        <w:fldChar w:fldCharType="end"/>
      </w:r>
      <w:r>
        <w:rPr>
          <w:rFonts w:ascii="Times New Roman" w:hAnsi="Times New Roman" w:cs="Times New Roman"/>
        </w:rPr>
        <w:t xml:space="preserve">, </w:t>
      </w:r>
      <w:r w:rsidRPr="00EF6AD1">
        <w:rPr>
          <w:rFonts w:ascii="Times New Roman" w:hAnsi="Times New Roman" w:cs="Times New Roman"/>
        </w:rPr>
        <w:t>the GUR-Gate explicitly models predictive variance.</w:t>
      </w:r>
    </w:p>
    <w:p w14:paraId="4230475A" w14:textId="01DE5AF2" w:rsidR="00EF6AD1" w:rsidRPr="00EF6AD1" w:rsidRDefault="00EF6AD1" w:rsidP="00EF6AD1">
      <w:pPr>
        <w:rPr>
          <w:rFonts w:ascii="Times New Roman" w:hAnsi="Times New Roman" w:cs="Times New Roman"/>
        </w:rPr>
      </w:pPr>
      <w:r w:rsidRPr="00EF6AD1">
        <w:rPr>
          <w:rFonts w:ascii="Times New Roman" w:hAnsi="Times New Roman" w:cs="Times New Roman"/>
        </w:rPr>
        <w:t>During inference, the network outputs both a discrete class prediction and an associated continuous uncertainty scalar (</w:t>
      </w:r>
      <m:oMath>
        <m:sSup>
          <m:sSupPr>
            <m:ctrlPr>
              <w:rPr>
                <w:rFonts w:ascii="Cambria Math" w:hAnsi="Cambria Math" w:cs="Times New Roman"/>
                <w:i/>
                <w:sz w:val="24"/>
                <w:szCs w:val="24"/>
              </w:rPr>
            </m:ctrlPr>
          </m:sSupPr>
          <m:e>
            <m:r>
              <w:rPr>
                <w:rFonts w:ascii="Cambria Math" w:hAnsi="Cambria Math" w:cs="Cambria Math"/>
                <w:sz w:val="24"/>
                <w:szCs w:val="24"/>
              </w:rPr>
              <m:t>σ</m:t>
            </m:r>
          </m:e>
          <m:sup>
            <m:r>
              <w:rPr>
                <w:rFonts w:ascii="Cambria Math" w:hAnsi="Cambria Math" w:cs="Times New Roman"/>
                <w:sz w:val="24"/>
                <w:szCs w:val="24"/>
              </w:rPr>
              <m:t>2</m:t>
            </m:r>
          </m:sup>
        </m:sSup>
      </m:oMath>
      <w:r w:rsidRPr="00EF6AD1">
        <w:rPr>
          <w:rFonts w:ascii="Times New Roman" w:hAnsi="Times New Roman" w:cs="Times New Roman"/>
        </w:rPr>
        <w:t>) for every detected leukocyte. This variance acts as a mathematical proxy for the model's epistemic (lack of knowledge) and aleatoric (data noise) uncertainty</w:t>
      </w:r>
      <w:r w:rsidR="00156129">
        <w:rPr>
          <w:rFonts w:ascii="Times New Roman" w:hAnsi="Times New Roman" w:cs="Times New Roman"/>
        </w:rPr>
        <w:fldChar w:fldCharType="begin"/>
      </w:r>
      <w:r w:rsidR="00830BB1">
        <w:rPr>
          <w:rFonts w:ascii="Times New Roman" w:hAnsi="Times New Roman" w:cs="Times New Roman"/>
        </w:rPr>
        <w:instrText xml:space="preserve"> ADDIN EN.CITE &lt;EndNote&gt;&lt;Cite&gt;&lt;Author&gt;Kendall&lt;/Author&gt;&lt;Year&gt;2017&lt;/Year&gt;&lt;RecNum&gt;593&lt;/RecNum&gt;&lt;DisplayText&gt;&lt;style face="superscript"&gt;17&lt;/style&gt;&lt;/DisplayText&gt;&lt;record&gt;&lt;rec-number&gt;593&lt;/rec-number&gt;&lt;foreign-keys&gt;&lt;key app="EN" db-id="0azeet5dsvd0fiedwfqvwt2jp9d5stfsrwvw" timestamp="1784034626"&gt;593&lt;/key&gt;&lt;/foreign-keys&gt;&lt;ref-type name="Journal Article"&gt;17&lt;/ref-type&gt;&lt;contributors&gt;&lt;authors&gt;&lt;author&gt;Kendall, Alex&lt;/author&gt;&lt;author&gt;Gal, Yarin&lt;/author&gt;&lt;/authors&gt;&lt;/contributors&gt;&lt;titles&gt;&lt;title&gt;What uncertainties do we need in bayesian deep learning for computer vision?&lt;/title&gt;&lt;secondary-title&gt;Advances in neural information processing systems&lt;/secondary-title&gt;&lt;/titles&gt;&lt;periodical&gt;&lt;full-title&gt;Advances in neural information processing systems&lt;/full-title&gt;&lt;/periodical&gt;&lt;volume&gt;30&lt;/volume&gt;&lt;dates&gt;&lt;year&gt;2017&lt;/year&gt;&lt;/dates&gt;&lt;urls&gt;&lt;/urls&gt;&lt;/record&gt;&lt;/Cite&gt;&lt;/EndNote&gt;</w:instrText>
      </w:r>
      <w:r w:rsidR="00156129">
        <w:rPr>
          <w:rFonts w:ascii="Times New Roman" w:hAnsi="Times New Roman" w:cs="Times New Roman"/>
        </w:rPr>
        <w:fldChar w:fldCharType="separate"/>
      </w:r>
      <w:r w:rsidR="00830BB1" w:rsidRPr="00830BB1">
        <w:rPr>
          <w:rFonts w:ascii="Times New Roman" w:hAnsi="Times New Roman" w:cs="Times New Roman"/>
          <w:noProof/>
          <w:vertAlign w:val="superscript"/>
        </w:rPr>
        <w:t>17</w:t>
      </w:r>
      <w:r w:rsidR="00156129">
        <w:rPr>
          <w:rFonts w:ascii="Times New Roman" w:hAnsi="Times New Roman" w:cs="Times New Roman"/>
        </w:rPr>
        <w:fldChar w:fldCharType="end"/>
      </w:r>
      <w:r w:rsidRPr="00EF6AD1">
        <w:rPr>
          <w:rFonts w:ascii="Times New Roman" w:hAnsi="Times New Roman" w:cs="Times New Roman"/>
        </w:rPr>
        <w:t>. A strict margin penalty is enforced: if the predictive variance for a given cell exceeds a rigorously calibrated threshold, the GUR-Gate autonomously halts the prediction process. Instead of forcing a potentially fatal misclassification, the framework isolates and defers the specific anomalous cell to a human hematopathologist. This uncertainty-driven gating explicitly anchors the model to the known clinical manifold, ensuring safe deployment in long-tail, real-world hospital environments.</w:t>
      </w:r>
    </w:p>
    <w:p w14:paraId="512E29A0" w14:textId="77777777" w:rsidR="00EF6AD1" w:rsidRPr="00B76DE7" w:rsidRDefault="00EF6AD1" w:rsidP="00EF6AD1">
      <w:pPr>
        <w:rPr>
          <w:rFonts w:ascii="Times New Roman" w:hAnsi="Times New Roman" w:cs="Times New Roman"/>
          <w:sz w:val="24"/>
        </w:rPr>
      </w:pPr>
      <w:r w:rsidRPr="00B76DE7">
        <w:rPr>
          <w:rFonts w:ascii="Times New Roman" w:hAnsi="Times New Roman" w:cs="Times New Roman"/>
          <w:b/>
          <w:bCs/>
          <w:sz w:val="24"/>
        </w:rPr>
        <w:t>Multi-Objective Optimization Strategy</w:t>
      </w:r>
    </w:p>
    <w:p w14:paraId="72FFC879" w14:textId="5F44B0D0" w:rsidR="00EF6AD1" w:rsidRPr="00EF6AD1" w:rsidRDefault="00EF6AD1" w:rsidP="00EF6AD1">
      <w:pPr>
        <w:rPr>
          <w:rFonts w:ascii="Times New Roman" w:hAnsi="Times New Roman" w:cs="Times New Roman"/>
        </w:rPr>
      </w:pPr>
      <w:r w:rsidRPr="00EF6AD1">
        <w:rPr>
          <w:rFonts w:ascii="Times New Roman" w:hAnsi="Times New Roman" w:cs="Times New Roman"/>
        </w:rPr>
        <w:t>To enforce this morphological grounding and calibrated uncertainty, the network was trained using a joint multi-objective loss function. The primary diagnostic loss was governed by a standard Cross-Entropy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CE</m:t>
            </m:r>
          </m:sub>
        </m:sSub>
      </m:oMath>
      <w:r w:rsidRPr="00EF6AD1">
        <w:rPr>
          <w:rFonts w:ascii="Times New Roman" w:hAnsi="Times New Roman" w:cs="Times New Roman"/>
        </w:rPr>
        <w:t>) formulation to optimize categorical sub-lineage classification. Simultaneously, an auxiliary Mean Squared Error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MSE</m:t>
            </m:r>
          </m:sub>
        </m:sSub>
      </m:oMath>
      <w:r w:rsidRPr="00EF6AD1">
        <w:rPr>
          <w:rFonts w:ascii="Times New Roman" w:hAnsi="Times New Roman" w:cs="Times New Roman"/>
        </w:rPr>
        <w:t>)</w:t>
      </w:r>
      <w:r w:rsidR="00933C77">
        <w:rPr>
          <w:rFonts w:ascii="Times New Roman" w:hAnsi="Times New Roman" w:cs="Times New Roman"/>
        </w:rPr>
        <w:t xml:space="preserve"> The </w:t>
      </w:r>
      <w:r w:rsidRPr="00EF6AD1">
        <w:rPr>
          <w:rFonts w:ascii="Times New Roman" w:hAnsi="Times New Roman" w:cs="Times New Roman"/>
        </w:rPr>
        <w:t xml:space="preserve">regression head was utilized to continuously predict the explicitly modeled phenotypic traits (as detailed in </w:t>
      </w:r>
      <w:r w:rsidRPr="00EF6AD1">
        <w:rPr>
          <w:rFonts w:ascii="Times New Roman" w:hAnsi="Times New Roman" w:cs="Times New Roman"/>
          <w:b/>
          <w:bCs/>
        </w:rPr>
        <w:t>Supplementary Tables S4 and S5</w:t>
      </w:r>
      <w:r w:rsidRPr="00EF6AD1">
        <w:rPr>
          <w:rFonts w:ascii="Times New Roman" w:hAnsi="Times New Roman" w:cs="Times New Roman"/>
        </w:rPr>
        <w:t>). This dual-optimization strategy forces the network to learn latent features that are highly predictive of both the abstract disease state and the measurable physical geometry of the cell.</w:t>
      </w:r>
    </w:p>
    <w:p w14:paraId="57320496" w14:textId="77777777" w:rsidR="00F111CF" w:rsidRPr="00B76DE7" w:rsidRDefault="00F111CF" w:rsidP="00F111CF">
      <w:pPr>
        <w:rPr>
          <w:rFonts w:ascii="Times New Roman" w:hAnsi="Times New Roman" w:cs="Times New Roman"/>
          <w:b/>
          <w:bCs/>
          <w:sz w:val="24"/>
        </w:rPr>
      </w:pPr>
      <w:r w:rsidRPr="00B76DE7">
        <w:rPr>
          <w:rFonts w:ascii="Times New Roman" w:hAnsi="Times New Roman" w:cs="Times New Roman"/>
          <w:b/>
          <w:bCs/>
          <w:sz w:val="24"/>
        </w:rPr>
        <w:t xml:space="preserve">Supplementary Note 6: Spatial Interpretability via Gradient-Weighted Class Activation </w:t>
      </w:r>
      <w:r w:rsidRPr="00B76DE7">
        <w:rPr>
          <w:rFonts w:ascii="Times New Roman" w:hAnsi="Times New Roman" w:cs="Times New Roman"/>
          <w:b/>
          <w:bCs/>
          <w:sz w:val="24"/>
        </w:rPr>
        <w:lastRenderedPageBreak/>
        <w:t>Mapping (Grad-CAM)</w:t>
      </w:r>
    </w:p>
    <w:p w14:paraId="34E6D944" w14:textId="0A8B2EFB" w:rsidR="00F111CF" w:rsidRPr="00F111CF" w:rsidRDefault="00F111CF" w:rsidP="00F111CF">
      <w:pPr>
        <w:rPr>
          <w:rFonts w:ascii="Times New Roman" w:hAnsi="Times New Roman" w:cs="Times New Roman"/>
        </w:rPr>
      </w:pPr>
      <w:r w:rsidRPr="00F111CF">
        <w:rPr>
          <w:rFonts w:ascii="Times New Roman" w:hAnsi="Times New Roman" w:cs="Times New Roman"/>
        </w:rPr>
        <w:t>To rigorously validate the spatial attention of the diagnostic network, Grad-CAM was applied to the terminal residual block (Layer 4) of the adapted ResNet-50 backbone</w:t>
      </w:r>
      <w:r w:rsidR="00830BB1">
        <w:rPr>
          <w:rFonts w:ascii="Times New Roman" w:hAnsi="Times New Roman" w:cs="Times New Roman"/>
        </w:rPr>
        <w:fldChar w:fldCharType="begin"/>
      </w:r>
      <w:r w:rsidR="00830BB1">
        <w:rPr>
          <w:rFonts w:ascii="Times New Roman" w:hAnsi="Times New Roman" w:cs="Times New Roman"/>
        </w:rPr>
        <w:instrText xml:space="preserve"> ADDIN EN.CITE &lt;EndNote&gt;&lt;Cite&gt;&lt;Author&gt;Selvaraju&lt;/Author&gt;&lt;Year&gt;2020&lt;/Year&gt;&lt;RecNum&gt;595&lt;/RecNum&gt;&lt;DisplayText&gt;&lt;style face="superscript"&gt;18&lt;/style&gt;&lt;/DisplayText&gt;&lt;record&gt;&lt;rec-number&gt;595&lt;/rec-number&gt;&lt;foreign-keys&gt;&lt;key app="EN" db-id="0azeet5dsvd0fiedwfqvwt2jp9d5stfsrwvw" timestamp="1784037613"&gt;595&lt;/key&gt;&lt;/foreign-keys&gt;&lt;ref-type name="Journal Article"&gt;17&lt;/ref-type&gt;&lt;contributors&gt;&lt;authors&gt;&lt;author&gt;Selvaraju, Ramprasaath R&lt;/author&gt;&lt;author&gt;Cogswell, Michael&lt;/author&gt;&lt;author&gt;Das, Abhishek&lt;/author&gt;&lt;author&gt;Vedantam, Ramakrishna&lt;/author&gt;&lt;author&gt;Parikh, Devi&lt;/author&gt;&lt;author&gt;Batra, Dhruv&lt;/author&gt;&lt;/authors&gt;&lt;/contributors&gt;&lt;titles&gt;&lt;title&gt;Grad-CAM: visual explanations from deep networks via gradient-based localization&lt;/title&gt;&lt;secondary-title&gt;International journal of computer vision&lt;/secondary-title&gt;&lt;/titles&gt;&lt;periodical&gt;&lt;full-title&gt;International journal of computer vision&lt;/full-title&gt;&lt;/periodical&gt;&lt;pages&gt;336-359&lt;/pages&gt;&lt;volume&gt;128&lt;/volume&gt;&lt;number&gt;2&lt;/number&gt;&lt;dates&gt;&lt;year&gt;2020&lt;/year&gt;&lt;/dates&gt;&lt;isbn&gt;0920-5691&lt;/isbn&gt;&lt;urls&gt;&lt;/urls&gt;&lt;/record&gt;&lt;/Cite&gt;&lt;/EndNote&gt;</w:instrText>
      </w:r>
      <w:r w:rsidR="00830BB1">
        <w:rPr>
          <w:rFonts w:ascii="Times New Roman" w:hAnsi="Times New Roman" w:cs="Times New Roman"/>
        </w:rPr>
        <w:fldChar w:fldCharType="separate"/>
      </w:r>
      <w:r w:rsidR="00830BB1" w:rsidRPr="00830BB1">
        <w:rPr>
          <w:rFonts w:ascii="Times New Roman" w:hAnsi="Times New Roman" w:cs="Times New Roman"/>
          <w:noProof/>
          <w:vertAlign w:val="superscript"/>
        </w:rPr>
        <w:t>18</w:t>
      </w:r>
      <w:r w:rsidR="00830BB1">
        <w:rPr>
          <w:rFonts w:ascii="Times New Roman" w:hAnsi="Times New Roman" w:cs="Times New Roman"/>
        </w:rPr>
        <w:fldChar w:fldCharType="end"/>
      </w:r>
      <w:r w:rsidRPr="00F111CF">
        <w:rPr>
          <w:rFonts w:ascii="Times New Roman" w:hAnsi="Times New Roman" w:cs="Times New Roman"/>
        </w:rPr>
        <w:t>. Because the framework utilizes multi-level feature fusion, targeting this specific deep convolutional layer allows for the visualization of the maximum spatial receptive field immediately prior to the continuous features being flattened and routed through the Margin-Penalized Retrieval Feature Gate (GUR-Gate).</w:t>
      </w:r>
    </w:p>
    <w:p w14:paraId="1729D953" w14:textId="4766200E" w:rsidR="00F111CF" w:rsidRPr="00F111CF" w:rsidRDefault="00F111CF" w:rsidP="00F111CF">
      <w:pPr>
        <w:rPr>
          <w:rFonts w:ascii="Times New Roman" w:hAnsi="Times New Roman" w:cs="Times New Roman"/>
        </w:rPr>
      </w:pPr>
      <w:r w:rsidRPr="00F111CF">
        <w:rPr>
          <w:rFonts w:ascii="Times New Roman" w:hAnsi="Times New Roman" w:cs="Times New Roman"/>
        </w:rPr>
        <w:t xml:space="preserve">During inference, the gradients of the predicted sub-lineage logit were computed with respect to these terminal activation maps, globally averaged, and passed through a </w:t>
      </w:r>
      <w:proofErr w:type="spellStart"/>
      <w:r w:rsidRPr="00F111CF">
        <w:rPr>
          <w:rFonts w:ascii="Times New Roman" w:hAnsi="Times New Roman" w:cs="Times New Roman"/>
        </w:rPr>
        <w:t>ReLU</w:t>
      </w:r>
      <w:proofErr w:type="spellEnd"/>
      <w:r w:rsidRPr="00F111CF">
        <w:rPr>
          <w:rFonts w:ascii="Times New Roman" w:hAnsi="Times New Roman" w:cs="Times New Roman"/>
        </w:rPr>
        <w:t xml:space="preserve"> activation. This mathematical isolation ensures that only the spatial features that positively contributed to the final diagnostic classification</w:t>
      </w:r>
      <w:r w:rsidR="00830BB1">
        <w:rPr>
          <w:rFonts w:ascii="Times New Roman" w:hAnsi="Times New Roman" w:cs="Times New Roman"/>
        </w:rPr>
        <w:fldChar w:fldCharType="begin"/>
      </w:r>
      <w:r w:rsidR="00830BB1">
        <w:rPr>
          <w:rFonts w:ascii="Times New Roman" w:hAnsi="Times New Roman" w:cs="Times New Roman"/>
        </w:rPr>
        <w:instrText xml:space="preserve"> ADDIN EN.CITE &lt;EndNote&gt;&lt;Cite&gt;&lt;Author&gt;Simonyan&lt;/Author&gt;&lt;Year&gt;2013&lt;/Year&gt;&lt;RecNum&gt;596&lt;/RecNum&gt;&lt;DisplayText&gt;&lt;style face="superscript"&gt;19&lt;/style&gt;&lt;/DisplayText&gt;&lt;record&gt;&lt;rec-number&gt;596&lt;/rec-number&gt;&lt;foreign-keys&gt;&lt;key app="EN" db-id="0azeet5dsvd0fiedwfqvwt2jp9d5stfsrwvw" timestamp="1784037749"&gt;596&lt;/key&gt;&lt;/foreign-keys&gt;&lt;ref-type name="Journal Article"&gt;17&lt;/ref-type&gt;&lt;contributors&gt;&lt;authors&gt;&lt;author&gt;Simonyan, Karen&lt;/author&gt;&lt;author&gt;Vedaldi, Andrea&lt;/author&gt;&lt;author&gt;Zisserman, Andrew&lt;/author&gt;&lt;/authors&gt;&lt;/contributors&gt;&lt;titles&gt;&lt;title&gt;Deep inside convolutional networks: Visualising image classification models and saliency maps&lt;/title&gt;&lt;secondary-title&gt;arXiv preprint arXiv:1312.6034&lt;/secondary-title&gt;&lt;/titles&gt;&lt;periodical&gt;&lt;full-title&gt;arXiv preprint arXiv:1312.6034&lt;/full-title&gt;&lt;/periodical&gt;&lt;dates&gt;&lt;year&gt;2013&lt;/year&gt;&lt;/dates&gt;&lt;urls&gt;&lt;/urls&gt;&lt;/record&gt;&lt;/Cite&gt;&lt;/EndNote&gt;</w:instrText>
      </w:r>
      <w:r w:rsidR="00830BB1">
        <w:rPr>
          <w:rFonts w:ascii="Times New Roman" w:hAnsi="Times New Roman" w:cs="Times New Roman"/>
        </w:rPr>
        <w:fldChar w:fldCharType="separate"/>
      </w:r>
      <w:r w:rsidR="00830BB1" w:rsidRPr="00830BB1">
        <w:rPr>
          <w:rFonts w:ascii="Times New Roman" w:hAnsi="Times New Roman" w:cs="Times New Roman"/>
          <w:noProof/>
          <w:vertAlign w:val="superscript"/>
        </w:rPr>
        <w:t>19</w:t>
      </w:r>
      <w:r w:rsidR="00830BB1">
        <w:rPr>
          <w:rFonts w:ascii="Times New Roman" w:hAnsi="Times New Roman" w:cs="Times New Roman"/>
        </w:rPr>
        <w:fldChar w:fldCharType="end"/>
      </w:r>
      <w:r w:rsidRPr="00F111CF">
        <w:rPr>
          <w:rFonts w:ascii="Times New Roman" w:hAnsi="Times New Roman" w:cs="Times New Roman"/>
        </w:rPr>
        <w:t xml:space="preserve"> are highlighted. As shown in </w:t>
      </w:r>
      <w:r w:rsidRPr="00F111CF">
        <w:rPr>
          <w:rFonts w:ascii="Times New Roman" w:hAnsi="Times New Roman" w:cs="Times New Roman"/>
          <w:b/>
          <w:bCs/>
        </w:rPr>
        <w:t>Supplementary Figure S4</w:t>
      </w:r>
      <w:r w:rsidRPr="00F111CF">
        <w:rPr>
          <w:rFonts w:ascii="Times New Roman" w:hAnsi="Times New Roman" w:cs="Times New Roman"/>
        </w:rPr>
        <w:t>, the resulting heatmaps confirm robust spatial localization on diagnostic cellular structures (nucleus and cytoplasm) while actively suppressing irrelevant background noise.</w:t>
      </w:r>
    </w:p>
    <w:p w14:paraId="3B8313E7" w14:textId="77777777" w:rsidR="00F111CF" w:rsidRPr="00F111CF" w:rsidRDefault="00F111CF" w:rsidP="00F111CF">
      <w:pPr>
        <w:rPr>
          <w:rFonts w:ascii="Times New Roman" w:hAnsi="Times New Roman" w:cs="Times New Roman"/>
        </w:rPr>
      </w:pPr>
      <w:r w:rsidRPr="00F111CF">
        <w:rPr>
          <w:rFonts w:ascii="Times New Roman" w:hAnsi="Times New Roman" w:cs="Times New Roman"/>
          <w:b/>
          <w:bCs/>
        </w:rPr>
        <w:t>Supplementary Figure S4: Spatial interpretability and saliency mapping across leukocyte sub-lineages.</w:t>
      </w:r>
      <w:r w:rsidRPr="00F111CF">
        <w:rPr>
          <w:rFonts w:ascii="Times New Roman" w:hAnsi="Times New Roman" w:cs="Times New Roman"/>
        </w:rPr>
        <w:t xml:space="preserve"> A comprehensive Grad-CAM analysis evaluating the network's visual attention across the 11 normal and malignant hematological classes. For each sub-lineage, the authentic clinical input image is displayed alongside its corresponding gradient-weighted heatmap overlay. The dense, high-activation regions (red/yellow) demonstrate that the network consistently localizes its predictive focus onto critical cytological structures, specifically the nuclear chromatin and granular cytoplasm. Crucially, the network exhibits no focal attention on the surrounding erythrocytes, plasma boundaries, or slide-preparation artifacts, confirming that the diagnostic decision-making is firmly grounded in biologically valid hematopathology rather than spurious environmental noise.</w:t>
      </w:r>
    </w:p>
    <w:p w14:paraId="60004BD0" w14:textId="77777777" w:rsidR="00EE0AAD" w:rsidRDefault="002C4FBB" w:rsidP="002C4FBB">
      <w:pPr>
        <w:rPr>
          <w:rFonts w:ascii="Times New Roman" w:hAnsi="Times New Roman" w:cs="Times New Roman"/>
        </w:rPr>
      </w:pPr>
      <w:r w:rsidRPr="002C4FBB">
        <w:rPr>
          <w:rFonts w:ascii="Times New Roman" w:hAnsi="Times New Roman" w:cs="Times New Roman"/>
          <w:noProof/>
          <w:bdr w:val="single" w:sz="12" w:space="0" w:color="auto"/>
        </w:rPr>
        <w:lastRenderedPageBreak/>
        <w:drawing>
          <wp:inline distT="0" distB="0" distL="0" distR="0" wp14:anchorId="204791CA" wp14:editId="79DCC3E5">
            <wp:extent cx="5731510" cy="4893310"/>
            <wp:effectExtent l="0" t="0" r="2540" b="2540"/>
            <wp:docPr id="6699140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14040" name="Picture 6699140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893310"/>
                    </a:xfrm>
                    <a:prstGeom prst="rect">
                      <a:avLst/>
                    </a:prstGeom>
                  </pic:spPr>
                </pic:pic>
              </a:graphicData>
            </a:graphic>
          </wp:inline>
        </w:drawing>
      </w:r>
      <w:r w:rsidRPr="002C4FBB">
        <w:rPr>
          <w:rFonts w:ascii="Times New Roman" w:hAnsi="Times New Roman" w:cs="Times New Roman"/>
          <w:b/>
          <w:bCs/>
        </w:rPr>
        <w:t>Supplementary Figure S4: Comprehensive spatial interpretability grid across all evaluated leukocyte lineages.</w:t>
      </w:r>
      <w:r w:rsidRPr="002C4FBB">
        <w:rPr>
          <w:rFonts w:ascii="Times New Roman" w:hAnsi="Times New Roman" w:cs="Times New Roman"/>
        </w:rPr>
        <w:t xml:space="preserve"> This 5x5 grid presents representative image pairs for each of the major normal and malignant leukocyte classes and subtypes classified by the GUR-Gate framework. For each cell type, the authentic microscopic input image is shown on the left, and its corresponding gradient-weighted heatmap overlay is displayed on the right. The dense, localized high-activation regions (red/yellow) demonstrate that the network consistently localizes its predictive attention to canonical pathological features</w:t>
      </w:r>
      <w:r>
        <w:rPr>
          <w:rFonts w:ascii="Times New Roman" w:hAnsi="Times New Roman" w:cs="Times New Roman"/>
        </w:rPr>
        <w:t xml:space="preserve">, </w:t>
      </w:r>
      <w:r w:rsidRPr="002C4FBB">
        <w:rPr>
          <w:rFonts w:ascii="Times New Roman" w:hAnsi="Times New Roman" w:cs="Times New Roman"/>
        </w:rPr>
        <w:t>such as nuclear chromatin architecture, lobulation patterns, and cytoplasmic granulation textures</w:t>
      </w:r>
      <w:r>
        <w:rPr>
          <w:rFonts w:ascii="Times New Roman" w:hAnsi="Times New Roman" w:cs="Times New Roman"/>
        </w:rPr>
        <w:t xml:space="preserve"> </w:t>
      </w:r>
      <w:r w:rsidRPr="002C4FBB">
        <w:rPr>
          <w:rFonts w:ascii="Times New Roman" w:hAnsi="Times New Roman" w:cs="Times New Roman"/>
        </w:rPr>
        <w:t>across the diverse hematological spectrum. The rigorous exclusion of background artifacts and non-target cells from the visual attention underscores the successful morphological grounding of the deep feature fusion architecture and its alignment with canonical human hematopathology.</w:t>
      </w:r>
    </w:p>
    <w:p w14:paraId="080FFED5" w14:textId="77777777" w:rsidR="0039441B" w:rsidRPr="0039441B" w:rsidRDefault="0039441B" w:rsidP="0039441B">
      <w:pPr>
        <w:rPr>
          <w:rFonts w:ascii="Times New Roman" w:hAnsi="Times New Roman" w:cs="Times New Roman"/>
          <w:b/>
          <w:bCs/>
        </w:rPr>
      </w:pPr>
      <w:r w:rsidRPr="0039441B">
        <w:rPr>
          <w:rFonts w:ascii="Times New Roman" w:hAnsi="Times New Roman" w:cs="Times New Roman"/>
          <w:b/>
          <w:bCs/>
        </w:rPr>
        <w:t>Supplementary Note 7: Prospective Clinical Cohort Validation</w:t>
      </w:r>
    </w:p>
    <w:p w14:paraId="00F42E21" w14:textId="764C08C3" w:rsidR="00643D40" w:rsidRPr="0039441B" w:rsidRDefault="0039441B" w:rsidP="0039441B">
      <w:pPr>
        <w:rPr>
          <w:rFonts w:ascii="Times New Roman" w:hAnsi="Times New Roman" w:cs="Times New Roman"/>
        </w:rPr>
      </w:pPr>
      <w:r w:rsidRPr="0039441B">
        <w:rPr>
          <w:rFonts w:ascii="Times New Roman" w:hAnsi="Times New Roman" w:cs="Times New Roman"/>
        </w:rPr>
        <w:t xml:space="preserve">To support the prospective clinical findings detailed in the main text, we conducted a comprehensive evaluation of the GUR-Gate framework on an expanded clinical cohort (N=968). This cohort notably included a morphologically complex, relapsed case of AML-M5 (promonocytic leukemia). </w:t>
      </w:r>
      <w:r w:rsidRPr="0039441B">
        <w:rPr>
          <w:rFonts w:ascii="Times New Roman" w:hAnsi="Times New Roman" w:cs="Times New Roman"/>
          <w:b/>
          <w:bCs/>
        </w:rPr>
        <w:t>Supplementary Figure S5</w:t>
      </w:r>
      <w:r w:rsidRPr="0039441B">
        <w:rPr>
          <w:rFonts w:ascii="Times New Roman" w:hAnsi="Times New Roman" w:cs="Times New Roman"/>
        </w:rPr>
        <w:t xml:space="preserve"> visualizes the framework's robust discriminative capacity and metacognitive safety mechanisms when challenged with the severe morphological distortions typical of relapsed malignancies. The latent space projection confirms that the architecture maintains strict inter-class separability, while the predictive variance distribution demonstrates the model's ability to safely isolate ambiguous cells by assigning higher uncertainty scores to erroneous or highly degraded presentations.</w:t>
      </w:r>
      <w:r w:rsidR="0055503C">
        <w:rPr>
          <w:rFonts w:ascii="Times New Roman" w:hAnsi="Times New Roman" w:cs="Times New Roman"/>
        </w:rPr>
        <w:t xml:space="preserve"> </w:t>
      </w:r>
      <w:r w:rsidR="0055503C" w:rsidRPr="0055503C">
        <w:rPr>
          <w:rFonts w:ascii="Times New Roman" w:hAnsi="Times New Roman" w:cs="Times New Roman"/>
        </w:rPr>
        <w:t xml:space="preserve">To explicitly verify the triage mechanism on the expanded prospective cohort, the 22 cells autonomously flagged by the predictive variance head were evaluated by a clinical specialist. The </w:t>
      </w:r>
      <w:r w:rsidR="0055503C" w:rsidRPr="0055503C">
        <w:rPr>
          <w:rFonts w:ascii="Times New Roman" w:hAnsi="Times New Roman" w:cs="Times New Roman"/>
        </w:rPr>
        <w:lastRenderedPageBreak/>
        <w:t>expert confirmed that 8 of the deferred instances were ultimately classified correctly by the diagnostic head, while the remaining 14 were true misclassifications. This mathematically demonstrates the network's robust capacity to safely intercept its own errors prior to clinical output when evaluating severely distorted relapsed malignancies.</w:t>
      </w:r>
    </w:p>
    <w:p w14:paraId="341CD3EE" w14:textId="6E04AFAE" w:rsidR="0039441B" w:rsidRDefault="0039441B" w:rsidP="002C4FBB">
      <w:pPr>
        <w:rPr>
          <w:rFonts w:ascii="Times New Roman" w:hAnsi="Times New Roman" w:cs="Times New Roman"/>
        </w:rPr>
      </w:pPr>
      <w:r>
        <w:rPr>
          <w:rFonts w:ascii="Times New Roman" w:hAnsi="Times New Roman" w:cs="Times New Roman"/>
          <w:noProof/>
        </w:rPr>
        <w:lastRenderedPageBreak/>
        <w:drawing>
          <wp:inline distT="0" distB="0" distL="0" distR="0" wp14:anchorId="44D48A04" wp14:editId="181194F5">
            <wp:extent cx="5426053" cy="8020050"/>
            <wp:effectExtent l="0" t="0" r="3810" b="0"/>
            <wp:docPr id="780846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46332" name="Picture 7808463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6053" cy="8020050"/>
                    </a:xfrm>
                    <a:prstGeom prst="rect">
                      <a:avLst/>
                    </a:prstGeom>
                  </pic:spPr>
                </pic:pic>
              </a:graphicData>
            </a:graphic>
          </wp:inline>
        </w:drawing>
      </w:r>
    </w:p>
    <w:p w14:paraId="30BACFAF" w14:textId="6CED9786" w:rsidR="0039441B" w:rsidRDefault="0039441B" w:rsidP="002C4FBB">
      <w:pPr>
        <w:rPr>
          <w:rFonts w:ascii="Times New Roman" w:hAnsi="Times New Roman" w:cs="Times New Roman"/>
        </w:rPr>
      </w:pPr>
      <w:r w:rsidRPr="0039441B">
        <w:rPr>
          <w:rFonts w:ascii="Times New Roman" w:hAnsi="Times New Roman" w:cs="Times New Roman"/>
          <w:b/>
          <w:bCs/>
        </w:rPr>
        <w:t xml:space="preserve">Supplementary Figure S5: </w:t>
      </w:r>
      <w:r w:rsidRPr="0039441B">
        <w:rPr>
          <w:rFonts w:ascii="Times New Roman" w:hAnsi="Times New Roman" w:cs="Times New Roman"/>
        </w:rPr>
        <w:t xml:space="preserve">Diagnostic performance, latent clustering, and metacognitive calibration on the expanded prospective clinical cohort (N=968). </w:t>
      </w:r>
      <w:r w:rsidRPr="0039441B">
        <w:rPr>
          <w:rFonts w:ascii="Times New Roman" w:hAnsi="Times New Roman" w:cs="Times New Roman"/>
          <w:b/>
          <w:bCs/>
        </w:rPr>
        <w:t>(a)</w:t>
      </w:r>
      <w:r w:rsidRPr="0039441B">
        <w:rPr>
          <w:rFonts w:ascii="Times New Roman" w:hAnsi="Times New Roman" w:cs="Times New Roman"/>
        </w:rPr>
        <w:t xml:space="preserve"> A 2D t-SNE projection of the contrastive latent space, demonstrating that the framework maintains robust feature clustering and strict topological </w:t>
      </w:r>
      <w:r w:rsidRPr="0039441B">
        <w:rPr>
          <w:rFonts w:ascii="Times New Roman" w:hAnsi="Times New Roman" w:cs="Times New Roman"/>
        </w:rPr>
        <w:lastRenderedPageBreak/>
        <w:t xml:space="preserve">separability across 11 leukocyte lineages, despite the heavy disease burden and morphological distortions of the relapsed cohort. </w:t>
      </w:r>
      <w:r w:rsidRPr="0039441B">
        <w:rPr>
          <w:rFonts w:ascii="Times New Roman" w:hAnsi="Times New Roman" w:cs="Times New Roman"/>
          <w:b/>
          <w:bCs/>
        </w:rPr>
        <w:t>(b)</w:t>
      </w:r>
      <w:r w:rsidRPr="0039441B">
        <w:rPr>
          <w:rFonts w:ascii="Times New Roman" w:hAnsi="Times New Roman" w:cs="Times New Roman"/>
        </w:rPr>
        <w:t xml:space="preserve"> Predictive variance (uncertainty) distributions for correct versus incorrect predictions. The GUR-Gate’s heteroscedastic variance head effectively separates confident, accurate predictions (</w:t>
      </w:r>
      <w:r>
        <w:rPr>
          <w:rFonts w:ascii="Times New Roman" w:hAnsi="Times New Roman" w:cs="Times New Roman"/>
        </w:rPr>
        <w:t>0.6019</w:t>
      </w:r>
      <w:r w:rsidRPr="0039441B">
        <w:rPr>
          <w:rFonts w:ascii="Times New Roman" w:hAnsi="Times New Roman" w:cs="Times New Roman"/>
        </w:rPr>
        <w:t>) from erroneous or highly ambiguous out-of-distribution cells (</w:t>
      </w:r>
      <w:r>
        <w:rPr>
          <w:rFonts w:ascii="Times New Roman" w:hAnsi="Times New Roman" w:cs="Times New Roman"/>
        </w:rPr>
        <w:t xml:space="preserve">0.6131) </w:t>
      </w:r>
      <w:r w:rsidRPr="0039441B">
        <w:rPr>
          <w:rFonts w:ascii="Times New Roman" w:hAnsi="Times New Roman" w:cs="Times New Roman"/>
        </w:rPr>
        <w:t xml:space="preserve">enabling safe, automated clinical triage. </w:t>
      </w:r>
      <w:r w:rsidRPr="0039441B">
        <w:rPr>
          <w:rFonts w:ascii="Times New Roman" w:hAnsi="Times New Roman" w:cs="Times New Roman"/>
          <w:b/>
          <w:bCs/>
        </w:rPr>
        <w:t>(c)</w:t>
      </w:r>
      <w:r w:rsidRPr="0039441B">
        <w:rPr>
          <w:rFonts w:ascii="Times New Roman" w:hAnsi="Times New Roman" w:cs="Times New Roman"/>
        </w:rPr>
        <w:t xml:space="preserve"> Comprehensive diagnostic confusion matrix detailing absolute predictive performance. The architecture exhibits strict diagonal dominance, notably achieving a 92.9% sensitivity and 98.7% specificity for the critical relapsed promonocyte (AML-M5) sub-lineage without degrading baseline performance on normal leukocyte populations.</w:t>
      </w:r>
    </w:p>
    <w:p w14:paraId="145EDEF7" w14:textId="3B318C56" w:rsidR="00F37B20" w:rsidRDefault="00F37B20" w:rsidP="002C4FBB">
      <w:pPr>
        <w:rPr>
          <w:rFonts w:ascii="Times New Roman" w:hAnsi="Times New Roman" w:cs="Times New Roman"/>
        </w:rPr>
      </w:pPr>
      <w:r w:rsidRPr="00F37B20">
        <w:rPr>
          <w:rFonts w:ascii="Times New Roman" w:hAnsi="Times New Roman" w:cs="Times New Roman"/>
        </w:rPr>
        <w:t>Extended Data Table 1 | Summary of evaluated clinical and synthetic cohorts</w:t>
      </w:r>
    </w:p>
    <w:tbl>
      <w:tblPr>
        <w:tblStyle w:val="PlainTable2"/>
        <w:tblW w:w="0" w:type="auto"/>
        <w:tblLook w:val="04A0" w:firstRow="1" w:lastRow="0" w:firstColumn="1" w:lastColumn="0" w:noHBand="0" w:noVBand="1"/>
      </w:tblPr>
      <w:tblGrid>
        <w:gridCol w:w="1980"/>
        <w:gridCol w:w="1188"/>
        <w:gridCol w:w="1152"/>
        <w:gridCol w:w="1980"/>
        <w:gridCol w:w="1350"/>
        <w:gridCol w:w="1376"/>
      </w:tblGrid>
      <w:tr w:rsidR="00F37B20" w:rsidRPr="00643D40" w14:paraId="465699EC" w14:textId="77777777" w:rsidTr="00632D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55E48F2"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Dataset Partition</w:t>
            </w:r>
          </w:p>
        </w:tc>
        <w:tc>
          <w:tcPr>
            <w:tcW w:w="1188" w:type="dxa"/>
            <w:hideMark/>
          </w:tcPr>
          <w:p w14:paraId="7D212A67" w14:textId="77777777" w:rsidR="00F37B20" w:rsidRPr="00643D40" w:rsidRDefault="00F37B20" w:rsidP="00245D9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 Images</w:t>
            </w:r>
          </w:p>
        </w:tc>
        <w:tc>
          <w:tcPr>
            <w:tcW w:w="1152" w:type="dxa"/>
            <w:hideMark/>
          </w:tcPr>
          <w:p w14:paraId="7C649DFC" w14:textId="77777777" w:rsidR="00F37B20" w:rsidRPr="00643D40" w:rsidRDefault="00F37B20" w:rsidP="00245D9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 Classes</w:t>
            </w:r>
          </w:p>
        </w:tc>
        <w:tc>
          <w:tcPr>
            <w:tcW w:w="1980" w:type="dxa"/>
            <w:hideMark/>
          </w:tcPr>
          <w:p w14:paraId="3B0DD464" w14:textId="77777777" w:rsidR="00F37B20" w:rsidRPr="00643D40" w:rsidRDefault="00F37B20" w:rsidP="00245D9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Image Composition</w:t>
            </w:r>
          </w:p>
        </w:tc>
        <w:tc>
          <w:tcPr>
            <w:tcW w:w="1350" w:type="dxa"/>
            <w:hideMark/>
          </w:tcPr>
          <w:p w14:paraId="1C99E64F" w14:textId="77777777" w:rsidR="00F37B20" w:rsidRPr="00643D40" w:rsidRDefault="00F37B20" w:rsidP="00245D9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Expert Validated</w:t>
            </w:r>
          </w:p>
        </w:tc>
        <w:tc>
          <w:tcPr>
            <w:tcW w:w="1376" w:type="dxa"/>
            <w:hideMark/>
          </w:tcPr>
          <w:p w14:paraId="57252057" w14:textId="77777777" w:rsidR="00F37B20" w:rsidRPr="00643D40" w:rsidRDefault="00F37B20" w:rsidP="00245D9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Uncertainty Triage</w:t>
            </w:r>
          </w:p>
        </w:tc>
      </w:tr>
      <w:tr w:rsidR="00F37B20" w:rsidRPr="00643D40" w14:paraId="42FD886E" w14:textId="77777777" w:rsidTr="00632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035BD74B"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Baseline Clinical Manifold</w:t>
            </w:r>
          </w:p>
        </w:tc>
        <w:tc>
          <w:tcPr>
            <w:tcW w:w="1188" w:type="dxa"/>
            <w:hideMark/>
          </w:tcPr>
          <w:p w14:paraId="755F0294"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1,333</w:t>
            </w:r>
          </w:p>
        </w:tc>
        <w:tc>
          <w:tcPr>
            <w:tcW w:w="1152" w:type="dxa"/>
            <w:hideMark/>
          </w:tcPr>
          <w:p w14:paraId="58F2D9A8"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11</w:t>
            </w:r>
          </w:p>
        </w:tc>
        <w:tc>
          <w:tcPr>
            <w:tcW w:w="1980" w:type="dxa"/>
            <w:hideMark/>
          </w:tcPr>
          <w:p w14:paraId="7794DF77"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100% Real</w:t>
            </w:r>
          </w:p>
        </w:tc>
        <w:tc>
          <w:tcPr>
            <w:tcW w:w="1350" w:type="dxa"/>
            <w:hideMark/>
          </w:tcPr>
          <w:p w14:paraId="254DC57A"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c>
          <w:tcPr>
            <w:tcW w:w="1376" w:type="dxa"/>
            <w:hideMark/>
          </w:tcPr>
          <w:p w14:paraId="339DACDE"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r>
      <w:tr w:rsidR="00F37B20" w:rsidRPr="00643D40" w14:paraId="3528A231" w14:textId="77777777" w:rsidTr="00632D60">
        <w:tc>
          <w:tcPr>
            <w:cnfStyle w:val="001000000000" w:firstRow="0" w:lastRow="0" w:firstColumn="1" w:lastColumn="0" w:oddVBand="0" w:evenVBand="0" w:oddHBand="0" w:evenHBand="0" w:firstRowFirstColumn="0" w:firstRowLastColumn="0" w:lastRowFirstColumn="0" w:lastRowLastColumn="0"/>
            <w:tcW w:w="1980" w:type="dxa"/>
            <w:hideMark/>
          </w:tcPr>
          <w:p w14:paraId="1367BE41"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Expanded Generative Dataset</w:t>
            </w:r>
          </w:p>
        </w:tc>
        <w:tc>
          <w:tcPr>
            <w:tcW w:w="1188" w:type="dxa"/>
            <w:hideMark/>
          </w:tcPr>
          <w:p w14:paraId="0DFA725F"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15,881</w:t>
            </w:r>
          </w:p>
        </w:tc>
        <w:tc>
          <w:tcPr>
            <w:tcW w:w="1152" w:type="dxa"/>
            <w:hideMark/>
          </w:tcPr>
          <w:p w14:paraId="5C02672C"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11</w:t>
            </w:r>
          </w:p>
        </w:tc>
        <w:tc>
          <w:tcPr>
            <w:tcW w:w="1980" w:type="dxa"/>
            <w:hideMark/>
          </w:tcPr>
          <w:p w14:paraId="633CF9D2"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Real + Synthetic</w:t>
            </w:r>
          </w:p>
        </w:tc>
        <w:tc>
          <w:tcPr>
            <w:tcW w:w="1350" w:type="dxa"/>
            <w:hideMark/>
          </w:tcPr>
          <w:p w14:paraId="3548CA47"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c>
          <w:tcPr>
            <w:tcW w:w="1376" w:type="dxa"/>
            <w:hideMark/>
          </w:tcPr>
          <w:p w14:paraId="4484C93A"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r>
      <w:tr w:rsidR="00F37B20" w:rsidRPr="00643D40" w14:paraId="11C16B00" w14:textId="77777777" w:rsidTr="00632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72E30FC2"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Internal Holdout Set</w:t>
            </w:r>
          </w:p>
        </w:tc>
        <w:tc>
          <w:tcPr>
            <w:tcW w:w="1188" w:type="dxa"/>
            <w:hideMark/>
          </w:tcPr>
          <w:p w14:paraId="0BE07D24"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3,174</w:t>
            </w:r>
          </w:p>
        </w:tc>
        <w:tc>
          <w:tcPr>
            <w:tcW w:w="1152" w:type="dxa"/>
            <w:hideMark/>
          </w:tcPr>
          <w:p w14:paraId="3E2D84B4"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11</w:t>
            </w:r>
          </w:p>
        </w:tc>
        <w:tc>
          <w:tcPr>
            <w:tcW w:w="1980" w:type="dxa"/>
            <w:hideMark/>
          </w:tcPr>
          <w:p w14:paraId="7348B0D3"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Real + Synthetic</w:t>
            </w:r>
          </w:p>
        </w:tc>
        <w:tc>
          <w:tcPr>
            <w:tcW w:w="1350" w:type="dxa"/>
            <w:hideMark/>
          </w:tcPr>
          <w:p w14:paraId="46B47AC6"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c>
          <w:tcPr>
            <w:tcW w:w="1376" w:type="dxa"/>
            <w:hideMark/>
          </w:tcPr>
          <w:p w14:paraId="14D6DBF8"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r>
      <w:tr w:rsidR="00F37B20" w:rsidRPr="00643D40" w14:paraId="0208D3DF" w14:textId="77777777" w:rsidTr="00632D60">
        <w:tc>
          <w:tcPr>
            <w:cnfStyle w:val="001000000000" w:firstRow="0" w:lastRow="0" w:firstColumn="1" w:lastColumn="0" w:oddVBand="0" w:evenVBand="0" w:oddHBand="0" w:evenHBand="0" w:firstRowFirstColumn="0" w:firstRowLastColumn="0" w:lastRowFirstColumn="0" w:lastRowLastColumn="0"/>
            <w:tcW w:w="1980" w:type="dxa"/>
            <w:hideMark/>
          </w:tcPr>
          <w:p w14:paraId="4432916D"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External Validation Cohort</w:t>
            </w:r>
          </w:p>
        </w:tc>
        <w:tc>
          <w:tcPr>
            <w:tcW w:w="1188" w:type="dxa"/>
            <w:hideMark/>
          </w:tcPr>
          <w:p w14:paraId="6301E5CD"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715</w:t>
            </w:r>
          </w:p>
        </w:tc>
        <w:tc>
          <w:tcPr>
            <w:tcW w:w="1152" w:type="dxa"/>
            <w:hideMark/>
          </w:tcPr>
          <w:p w14:paraId="5AD9D631"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11</w:t>
            </w:r>
          </w:p>
        </w:tc>
        <w:tc>
          <w:tcPr>
            <w:tcW w:w="1980" w:type="dxa"/>
            <w:hideMark/>
          </w:tcPr>
          <w:p w14:paraId="71FB0524"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100% Real</w:t>
            </w:r>
          </w:p>
        </w:tc>
        <w:tc>
          <w:tcPr>
            <w:tcW w:w="1350" w:type="dxa"/>
            <w:hideMark/>
          </w:tcPr>
          <w:p w14:paraId="46013322"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c>
          <w:tcPr>
            <w:tcW w:w="1376" w:type="dxa"/>
            <w:hideMark/>
          </w:tcPr>
          <w:p w14:paraId="37137F56" w14:textId="77777777" w:rsidR="00F37B20" w:rsidRPr="00643D40" w:rsidRDefault="00F37B20" w:rsidP="00245D9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r>
      <w:tr w:rsidR="00F37B20" w:rsidRPr="00643D40" w14:paraId="513835F2" w14:textId="77777777" w:rsidTr="00632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27B4CC62" w14:textId="77777777" w:rsidR="00F37B20" w:rsidRPr="00643D40" w:rsidRDefault="00F37B20" w:rsidP="00245D9E">
            <w:pPr>
              <w:spacing w:after="160" w:line="259" w:lineRule="auto"/>
              <w:rPr>
                <w:rFonts w:ascii="Times New Roman" w:hAnsi="Times New Roman" w:cs="Times New Roman"/>
              </w:rPr>
            </w:pPr>
            <w:r w:rsidRPr="00643D40">
              <w:rPr>
                <w:rFonts w:ascii="Times New Roman" w:hAnsi="Times New Roman" w:cs="Times New Roman"/>
              </w:rPr>
              <w:t>Expanded Prospective Cohort</w:t>
            </w:r>
          </w:p>
        </w:tc>
        <w:tc>
          <w:tcPr>
            <w:tcW w:w="1188" w:type="dxa"/>
            <w:hideMark/>
          </w:tcPr>
          <w:p w14:paraId="5E11922F"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968</w:t>
            </w:r>
          </w:p>
        </w:tc>
        <w:tc>
          <w:tcPr>
            <w:tcW w:w="1152" w:type="dxa"/>
            <w:hideMark/>
          </w:tcPr>
          <w:p w14:paraId="632209F6"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11</w:t>
            </w:r>
          </w:p>
        </w:tc>
        <w:tc>
          <w:tcPr>
            <w:tcW w:w="1980" w:type="dxa"/>
            <w:hideMark/>
          </w:tcPr>
          <w:p w14:paraId="2BE509FF"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Times New Roman" w:hAnsi="Times New Roman" w:cs="Times New Roman"/>
              </w:rPr>
              <w:t>100% Real</w:t>
            </w:r>
          </w:p>
        </w:tc>
        <w:tc>
          <w:tcPr>
            <w:tcW w:w="1350" w:type="dxa"/>
            <w:hideMark/>
          </w:tcPr>
          <w:p w14:paraId="0CBD3722"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c>
          <w:tcPr>
            <w:tcW w:w="1376" w:type="dxa"/>
            <w:hideMark/>
          </w:tcPr>
          <w:p w14:paraId="51F8CF5E" w14:textId="77777777" w:rsidR="00F37B20" w:rsidRPr="00643D40" w:rsidRDefault="00F37B20" w:rsidP="00245D9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3D40">
              <w:rPr>
                <w:rFonts w:ascii="Segoe UI Symbol" w:hAnsi="Segoe UI Symbol" w:cs="Segoe UI Symbol"/>
              </w:rPr>
              <w:t>✓</w:t>
            </w:r>
          </w:p>
        </w:tc>
      </w:tr>
    </w:tbl>
    <w:p w14:paraId="096B3803" w14:textId="77777777" w:rsidR="00F37B20" w:rsidRDefault="00F37B20" w:rsidP="002C4FBB">
      <w:pPr>
        <w:rPr>
          <w:rFonts w:ascii="Times New Roman" w:hAnsi="Times New Roman" w:cs="Times New Roman"/>
        </w:rPr>
      </w:pPr>
    </w:p>
    <w:p w14:paraId="3AA3B4DD" w14:textId="77777777" w:rsidR="00F37B20" w:rsidRDefault="00F37B20" w:rsidP="002C4FBB">
      <w:pPr>
        <w:rPr>
          <w:rFonts w:ascii="Times New Roman" w:hAnsi="Times New Roman" w:cs="Times New Roman"/>
        </w:rPr>
      </w:pPr>
    </w:p>
    <w:p w14:paraId="13CA630B" w14:textId="6391EEC9" w:rsidR="00EE0AAD" w:rsidRPr="00830BB1" w:rsidRDefault="00830BB1" w:rsidP="002C4FBB">
      <w:pPr>
        <w:rPr>
          <w:rFonts w:ascii="Times New Roman" w:hAnsi="Times New Roman" w:cs="Times New Roman"/>
          <w:b/>
          <w:bCs/>
          <w:sz w:val="24"/>
          <w:szCs w:val="24"/>
        </w:rPr>
      </w:pPr>
      <w:r w:rsidRPr="008A1BDD">
        <w:rPr>
          <w:rFonts w:ascii="Times New Roman" w:hAnsi="Times New Roman" w:cs="Times New Roman"/>
          <w:b/>
          <w:bCs/>
          <w:sz w:val="24"/>
          <w:szCs w:val="24"/>
        </w:rPr>
        <w:t>References</w:t>
      </w:r>
    </w:p>
    <w:p w14:paraId="13F303C0" w14:textId="77777777" w:rsidR="00830BB1" w:rsidRPr="00830BB1" w:rsidRDefault="00EE0AAD" w:rsidP="00830BB1">
      <w:pPr>
        <w:pStyle w:val="EndNoteBibliography"/>
        <w:spacing w:after="0"/>
        <w:rPr>
          <w:rFonts w:ascii="Times New Roman" w:hAnsi="Times New Roman" w:cs="Times New Roman"/>
        </w:rPr>
      </w:pPr>
      <w:r w:rsidRPr="00830BB1">
        <w:rPr>
          <w:rFonts w:ascii="Times New Roman" w:hAnsi="Times New Roman" w:cs="Times New Roman"/>
        </w:rPr>
        <w:fldChar w:fldCharType="begin"/>
      </w:r>
      <w:r w:rsidRPr="00830BB1">
        <w:rPr>
          <w:rFonts w:ascii="Times New Roman" w:hAnsi="Times New Roman" w:cs="Times New Roman"/>
        </w:rPr>
        <w:instrText xml:space="preserve"> ADDIN EN.REFLIST </w:instrText>
      </w:r>
      <w:r w:rsidRPr="00830BB1">
        <w:rPr>
          <w:rFonts w:ascii="Times New Roman" w:hAnsi="Times New Roman" w:cs="Times New Roman"/>
        </w:rPr>
        <w:fldChar w:fldCharType="separate"/>
      </w:r>
      <w:r w:rsidR="00830BB1" w:rsidRPr="00830BB1">
        <w:rPr>
          <w:rFonts w:ascii="Times New Roman" w:hAnsi="Times New Roman" w:cs="Times New Roman"/>
        </w:rPr>
        <w:t>1.</w:t>
      </w:r>
      <w:r w:rsidR="00830BB1" w:rsidRPr="00830BB1">
        <w:rPr>
          <w:rFonts w:ascii="Times New Roman" w:hAnsi="Times New Roman" w:cs="Times New Roman"/>
        </w:rPr>
        <w:tab/>
        <w:t xml:space="preserve">Association WM. World Medical Association Declaration of Helsinki: ethical principles for medical research involving human subjects. </w:t>
      </w:r>
      <w:r w:rsidR="00830BB1" w:rsidRPr="00830BB1">
        <w:rPr>
          <w:rFonts w:ascii="Times New Roman" w:hAnsi="Times New Roman" w:cs="Times New Roman"/>
          <w:i/>
        </w:rPr>
        <w:t>Jama</w:t>
      </w:r>
      <w:r w:rsidR="00830BB1" w:rsidRPr="00830BB1">
        <w:rPr>
          <w:rFonts w:ascii="Times New Roman" w:hAnsi="Times New Roman" w:cs="Times New Roman"/>
        </w:rPr>
        <w:t>. 2013;310(20):2191-2194.</w:t>
      </w:r>
    </w:p>
    <w:p w14:paraId="115AB881"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2.</w:t>
      </w:r>
      <w:r w:rsidRPr="00830BB1">
        <w:rPr>
          <w:rFonts w:ascii="Times New Roman" w:hAnsi="Times New Roman" w:cs="Times New Roman"/>
        </w:rPr>
        <w:tab/>
        <w:t xml:space="preserve">Palmer L, Briggs C, McFadden S, et al. ICSH recommendations for the standardization of nomenclature and grading of peripheral blood cell morphological features. </w:t>
      </w:r>
      <w:r w:rsidRPr="00830BB1">
        <w:rPr>
          <w:rFonts w:ascii="Times New Roman" w:hAnsi="Times New Roman" w:cs="Times New Roman"/>
          <w:i/>
        </w:rPr>
        <w:t>International journal of laboratory hematology</w:t>
      </w:r>
      <w:r w:rsidRPr="00830BB1">
        <w:rPr>
          <w:rFonts w:ascii="Times New Roman" w:hAnsi="Times New Roman" w:cs="Times New Roman"/>
        </w:rPr>
        <w:t>. 2015;37(3):287-303.</w:t>
      </w:r>
    </w:p>
    <w:p w14:paraId="51DCB45D"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3.</w:t>
      </w:r>
      <w:r w:rsidRPr="00830BB1">
        <w:rPr>
          <w:rFonts w:ascii="Times New Roman" w:hAnsi="Times New Roman" w:cs="Times New Roman"/>
        </w:rPr>
        <w:tab/>
        <w:t>Rombach R, Blattmann A, Lorenz D, Esser P, Ommer B. High-resolution image synthesis with latent diffusion models. Proceedings of the IEEE/CVF conference on computer vision and pattern recognition; 2022:10684-10695.</w:t>
      </w:r>
    </w:p>
    <w:p w14:paraId="6682DB64"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4.</w:t>
      </w:r>
      <w:r w:rsidRPr="00830BB1">
        <w:rPr>
          <w:rFonts w:ascii="Times New Roman" w:hAnsi="Times New Roman" w:cs="Times New Roman"/>
        </w:rPr>
        <w:tab/>
        <w:t xml:space="preserve">Meng C, He Y, Song Y, et al. Sdedit: Guided image synthesis and editing with stochastic differential equations. </w:t>
      </w:r>
      <w:r w:rsidRPr="00830BB1">
        <w:rPr>
          <w:rFonts w:ascii="Times New Roman" w:hAnsi="Times New Roman" w:cs="Times New Roman"/>
          <w:i/>
        </w:rPr>
        <w:t>arXiv preprint arXiv:210801073</w:t>
      </w:r>
      <w:r w:rsidRPr="00830BB1">
        <w:rPr>
          <w:rFonts w:ascii="Times New Roman" w:hAnsi="Times New Roman" w:cs="Times New Roman"/>
        </w:rPr>
        <w:t>. 2021.</w:t>
      </w:r>
    </w:p>
    <w:p w14:paraId="18E734AB"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5.</w:t>
      </w:r>
      <w:r w:rsidRPr="00830BB1">
        <w:rPr>
          <w:rFonts w:ascii="Times New Roman" w:hAnsi="Times New Roman" w:cs="Times New Roman"/>
        </w:rPr>
        <w:tab/>
        <w:t xml:space="preserve">Gal R, Alaluf Y, Atzmon Y, et al. An image is worth one word: Personalizing text-to-image generation using textual inversion. </w:t>
      </w:r>
      <w:r w:rsidRPr="00830BB1">
        <w:rPr>
          <w:rFonts w:ascii="Times New Roman" w:hAnsi="Times New Roman" w:cs="Times New Roman"/>
          <w:i/>
        </w:rPr>
        <w:t>arXiv preprint arXiv:220801618</w:t>
      </w:r>
      <w:r w:rsidRPr="00830BB1">
        <w:rPr>
          <w:rFonts w:ascii="Times New Roman" w:hAnsi="Times New Roman" w:cs="Times New Roman"/>
        </w:rPr>
        <w:t>. 2022.</w:t>
      </w:r>
    </w:p>
    <w:p w14:paraId="6F301D59"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6.</w:t>
      </w:r>
      <w:r w:rsidRPr="00830BB1">
        <w:rPr>
          <w:rFonts w:ascii="Times New Roman" w:hAnsi="Times New Roman" w:cs="Times New Roman"/>
        </w:rPr>
        <w:tab/>
        <w:t xml:space="preserve">Hu EJ, Shen Y, Wallis P, et al. Lora: Low-rank adaptation of large language models. </w:t>
      </w:r>
      <w:r w:rsidRPr="00830BB1">
        <w:rPr>
          <w:rFonts w:ascii="Times New Roman" w:hAnsi="Times New Roman" w:cs="Times New Roman"/>
          <w:i/>
        </w:rPr>
        <w:t>Iclr</w:t>
      </w:r>
      <w:r w:rsidRPr="00830BB1">
        <w:rPr>
          <w:rFonts w:ascii="Times New Roman" w:hAnsi="Times New Roman" w:cs="Times New Roman"/>
        </w:rPr>
        <w:t>. 2022;1(2):3.</w:t>
      </w:r>
    </w:p>
    <w:p w14:paraId="4E172596"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7.</w:t>
      </w:r>
      <w:r w:rsidRPr="00830BB1">
        <w:rPr>
          <w:rFonts w:ascii="Times New Roman" w:hAnsi="Times New Roman" w:cs="Times New Roman"/>
        </w:rPr>
        <w:tab/>
        <w:t>Radford A, Kim JW, Hallacy C, et al. Learning transferable visual models from natural language supervision. International conference on machine learning: PmLR; 2021:8748-8763.</w:t>
      </w:r>
    </w:p>
    <w:p w14:paraId="138ADCFB"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8.</w:t>
      </w:r>
      <w:r w:rsidRPr="00830BB1">
        <w:rPr>
          <w:rFonts w:ascii="Times New Roman" w:hAnsi="Times New Roman" w:cs="Times New Roman"/>
        </w:rPr>
        <w:tab/>
        <w:t xml:space="preserve">Chen X, Liang C, Huang D, et al. Symbolic discovery of optimization algorithms. </w:t>
      </w:r>
      <w:r w:rsidRPr="00830BB1">
        <w:rPr>
          <w:rFonts w:ascii="Times New Roman" w:hAnsi="Times New Roman" w:cs="Times New Roman"/>
          <w:i/>
        </w:rPr>
        <w:t>Advances in neural information processing systems</w:t>
      </w:r>
      <w:r w:rsidRPr="00830BB1">
        <w:rPr>
          <w:rFonts w:ascii="Times New Roman" w:hAnsi="Times New Roman" w:cs="Times New Roman"/>
        </w:rPr>
        <w:t>. 2023;36:49205-49233.</w:t>
      </w:r>
    </w:p>
    <w:p w14:paraId="07C82A55"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9.</w:t>
      </w:r>
      <w:r w:rsidRPr="00830BB1">
        <w:rPr>
          <w:rFonts w:ascii="Times New Roman" w:hAnsi="Times New Roman" w:cs="Times New Roman"/>
        </w:rPr>
        <w:tab/>
        <w:t xml:space="preserve">Lu C, Zhou Y, Bao F, Chen J, Li C, Zhu J. Dpm-solver++: Fast solver for guided sampling of </w:t>
      </w:r>
      <w:r w:rsidRPr="00830BB1">
        <w:rPr>
          <w:rFonts w:ascii="Times New Roman" w:hAnsi="Times New Roman" w:cs="Times New Roman"/>
        </w:rPr>
        <w:lastRenderedPageBreak/>
        <w:t xml:space="preserve">diffusion probabilistic models. </w:t>
      </w:r>
      <w:r w:rsidRPr="00830BB1">
        <w:rPr>
          <w:rFonts w:ascii="Times New Roman" w:hAnsi="Times New Roman" w:cs="Times New Roman"/>
          <w:i/>
        </w:rPr>
        <w:t>Machine Intelligence Research</w:t>
      </w:r>
      <w:r w:rsidRPr="00830BB1">
        <w:rPr>
          <w:rFonts w:ascii="Times New Roman" w:hAnsi="Times New Roman" w:cs="Times New Roman"/>
        </w:rPr>
        <w:t>. 2025;22(4):730-751.</w:t>
      </w:r>
    </w:p>
    <w:p w14:paraId="74D24B54"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10.</w:t>
      </w:r>
      <w:r w:rsidRPr="00830BB1">
        <w:rPr>
          <w:rFonts w:ascii="Times New Roman" w:hAnsi="Times New Roman" w:cs="Times New Roman"/>
        </w:rPr>
        <w:tab/>
        <w:t xml:space="preserve">Karras T, Aittala M, Aila T, Laine S. Elucidating the design space of diffusion-based generative models. </w:t>
      </w:r>
      <w:r w:rsidRPr="00830BB1">
        <w:rPr>
          <w:rFonts w:ascii="Times New Roman" w:hAnsi="Times New Roman" w:cs="Times New Roman"/>
          <w:i/>
        </w:rPr>
        <w:t>Advances in neural information processing systems</w:t>
      </w:r>
      <w:r w:rsidRPr="00830BB1">
        <w:rPr>
          <w:rFonts w:ascii="Times New Roman" w:hAnsi="Times New Roman" w:cs="Times New Roman"/>
        </w:rPr>
        <w:t>. 2022;35:26565-26577.</w:t>
      </w:r>
    </w:p>
    <w:p w14:paraId="5E959936"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11.</w:t>
      </w:r>
      <w:r w:rsidRPr="00830BB1">
        <w:rPr>
          <w:rFonts w:ascii="Times New Roman" w:hAnsi="Times New Roman" w:cs="Times New Roman"/>
        </w:rPr>
        <w:tab/>
        <w:t xml:space="preserve">Khoury JD, Solary E, Abla O, et al. The 5th edition of the World Health Organization classification of haematolymphoid tumours: myeloid and histiocytic/dendritic neoplasms. </w:t>
      </w:r>
      <w:r w:rsidRPr="00830BB1">
        <w:rPr>
          <w:rFonts w:ascii="Times New Roman" w:hAnsi="Times New Roman" w:cs="Times New Roman"/>
          <w:i/>
        </w:rPr>
        <w:t>leukemia</w:t>
      </w:r>
      <w:r w:rsidRPr="00830BB1">
        <w:rPr>
          <w:rFonts w:ascii="Times New Roman" w:hAnsi="Times New Roman" w:cs="Times New Roman"/>
        </w:rPr>
        <w:t>. 2022;36(7):1703-1719.</w:t>
      </w:r>
    </w:p>
    <w:p w14:paraId="11550DB5"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12.</w:t>
      </w:r>
      <w:r w:rsidRPr="00830BB1">
        <w:rPr>
          <w:rFonts w:ascii="Times New Roman" w:hAnsi="Times New Roman" w:cs="Times New Roman"/>
        </w:rPr>
        <w:tab/>
        <w:t>Deng J, Dong W, Socher R, Li L-J, Li K, Fei-Fei L. Imagenet: A large-scale hierarchical image database. 2009 IEEE conference on computer vision and pattern recognition: Ieee; 2009:248-255.</w:t>
      </w:r>
    </w:p>
    <w:p w14:paraId="5252A701"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13.</w:t>
      </w:r>
      <w:r w:rsidRPr="00830BB1">
        <w:rPr>
          <w:rFonts w:ascii="Times New Roman" w:hAnsi="Times New Roman" w:cs="Times New Roman"/>
        </w:rPr>
        <w:tab/>
        <w:t>He K, Zhang X, Ren S, Sun J. Deep residual learning for image recognition. Proceedings of the IEEE conference on computer vision and pattern recognition; 2016:770-778.</w:t>
      </w:r>
    </w:p>
    <w:p w14:paraId="1FBE2764"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14.</w:t>
      </w:r>
      <w:r w:rsidRPr="00830BB1">
        <w:rPr>
          <w:rFonts w:ascii="Times New Roman" w:hAnsi="Times New Roman" w:cs="Times New Roman"/>
        </w:rPr>
        <w:tab/>
        <w:t>Zhang R, Isola P, Efros AA, Shechtman E, Wang O. The unreasonable effectiveness of deep features as a perceptual metric. Proceedings of the IEEE conference on computer vision and pattern recognition; 2018:586-595.</w:t>
      </w:r>
    </w:p>
    <w:p w14:paraId="66B23DB6"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15.</w:t>
      </w:r>
      <w:r w:rsidRPr="00830BB1">
        <w:rPr>
          <w:rFonts w:ascii="Times New Roman" w:hAnsi="Times New Roman" w:cs="Times New Roman"/>
        </w:rPr>
        <w:tab/>
        <w:t>Lin T-Y, Dollár P, Girshick R, He K, Hariharan B, Belongie S. Feature pyramid networks for object detection. Proceedings of the IEEE conference on computer vision and pattern recognition; 2017:2117-2125.</w:t>
      </w:r>
    </w:p>
    <w:p w14:paraId="40C80E91"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16.</w:t>
      </w:r>
      <w:r w:rsidRPr="00830BB1">
        <w:rPr>
          <w:rFonts w:ascii="Times New Roman" w:hAnsi="Times New Roman" w:cs="Times New Roman"/>
        </w:rPr>
        <w:tab/>
        <w:t xml:space="preserve">Hendrycks D, Gimpel K. A baseline for detecting misclassified and out-of-distribution examples in neural networks. </w:t>
      </w:r>
      <w:r w:rsidRPr="00830BB1">
        <w:rPr>
          <w:rFonts w:ascii="Times New Roman" w:hAnsi="Times New Roman" w:cs="Times New Roman"/>
          <w:i/>
        </w:rPr>
        <w:t>arXiv preprint arXiv:161002136</w:t>
      </w:r>
      <w:r w:rsidRPr="00830BB1">
        <w:rPr>
          <w:rFonts w:ascii="Times New Roman" w:hAnsi="Times New Roman" w:cs="Times New Roman"/>
        </w:rPr>
        <w:t>. 2016.</w:t>
      </w:r>
    </w:p>
    <w:p w14:paraId="19CF3E9A"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17.</w:t>
      </w:r>
      <w:r w:rsidRPr="00830BB1">
        <w:rPr>
          <w:rFonts w:ascii="Times New Roman" w:hAnsi="Times New Roman" w:cs="Times New Roman"/>
        </w:rPr>
        <w:tab/>
        <w:t xml:space="preserve">Kendall A, Gal Y. What uncertainties do we need in bayesian deep learning for computer vision? </w:t>
      </w:r>
      <w:r w:rsidRPr="00830BB1">
        <w:rPr>
          <w:rFonts w:ascii="Times New Roman" w:hAnsi="Times New Roman" w:cs="Times New Roman"/>
          <w:i/>
        </w:rPr>
        <w:t>Advances in neural information processing systems</w:t>
      </w:r>
      <w:r w:rsidRPr="00830BB1">
        <w:rPr>
          <w:rFonts w:ascii="Times New Roman" w:hAnsi="Times New Roman" w:cs="Times New Roman"/>
        </w:rPr>
        <w:t>. 2017;30.</w:t>
      </w:r>
    </w:p>
    <w:p w14:paraId="32DA46FA" w14:textId="77777777" w:rsidR="00830BB1" w:rsidRPr="00830BB1" w:rsidRDefault="00830BB1" w:rsidP="00830BB1">
      <w:pPr>
        <w:pStyle w:val="EndNoteBibliography"/>
        <w:spacing w:after="0"/>
        <w:rPr>
          <w:rFonts w:ascii="Times New Roman" w:hAnsi="Times New Roman" w:cs="Times New Roman"/>
        </w:rPr>
      </w:pPr>
      <w:r w:rsidRPr="00830BB1">
        <w:rPr>
          <w:rFonts w:ascii="Times New Roman" w:hAnsi="Times New Roman" w:cs="Times New Roman"/>
        </w:rPr>
        <w:t>18.</w:t>
      </w:r>
      <w:r w:rsidRPr="00830BB1">
        <w:rPr>
          <w:rFonts w:ascii="Times New Roman" w:hAnsi="Times New Roman" w:cs="Times New Roman"/>
        </w:rPr>
        <w:tab/>
        <w:t xml:space="preserve">Selvaraju RR, Cogswell M, Das A, Vedantam R, Parikh D, Batra D. Grad-CAM: visual explanations from deep networks via gradient-based localization. </w:t>
      </w:r>
      <w:r w:rsidRPr="00830BB1">
        <w:rPr>
          <w:rFonts w:ascii="Times New Roman" w:hAnsi="Times New Roman" w:cs="Times New Roman"/>
          <w:i/>
        </w:rPr>
        <w:t>International journal of computer vision</w:t>
      </w:r>
      <w:r w:rsidRPr="00830BB1">
        <w:rPr>
          <w:rFonts w:ascii="Times New Roman" w:hAnsi="Times New Roman" w:cs="Times New Roman"/>
        </w:rPr>
        <w:t>. 2020;128(2):336-359.</w:t>
      </w:r>
    </w:p>
    <w:p w14:paraId="4ED35D27" w14:textId="77777777" w:rsidR="00830BB1" w:rsidRPr="00830BB1" w:rsidRDefault="00830BB1" w:rsidP="00830BB1">
      <w:pPr>
        <w:pStyle w:val="EndNoteBibliography"/>
        <w:rPr>
          <w:rFonts w:ascii="Times New Roman" w:hAnsi="Times New Roman" w:cs="Times New Roman"/>
        </w:rPr>
      </w:pPr>
      <w:r w:rsidRPr="00830BB1">
        <w:rPr>
          <w:rFonts w:ascii="Times New Roman" w:hAnsi="Times New Roman" w:cs="Times New Roman"/>
        </w:rPr>
        <w:t>19.</w:t>
      </w:r>
      <w:r w:rsidRPr="00830BB1">
        <w:rPr>
          <w:rFonts w:ascii="Times New Roman" w:hAnsi="Times New Roman" w:cs="Times New Roman"/>
        </w:rPr>
        <w:tab/>
        <w:t xml:space="preserve">Simonyan K, Vedaldi A, Zisserman A. Deep inside convolutional networks: Visualising image classification models and saliency maps. </w:t>
      </w:r>
      <w:r w:rsidRPr="00830BB1">
        <w:rPr>
          <w:rFonts w:ascii="Times New Roman" w:hAnsi="Times New Roman" w:cs="Times New Roman"/>
          <w:i/>
        </w:rPr>
        <w:t>arXiv preprint arXiv:13126034</w:t>
      </w:r>
      <w:r w:rsidRPr="00830BB1">
        <w:rPr>
          <w:rFonts w:ascii="Times New Roman" w:hAnsi="Times New Roman" w:cs="Times New Roman"/>
        </w:rPr>
        <w:t>. 2013.</w:t>
      </w:r>
    </w:p>
    <w:p w14:paraId="716A923D" w14:textId="4150AB95" w:rsidR="00EF6AD1" w:rsidRPr="00EF6AD1" w:rsidRDefault="00EE0AAD" w:rsidP="002C4FBB">
      <w:pPr>
        <w:rPr>
          <w:rFonts w:ascii="Times New Roman" w:hAnsi="Times New Roman" w:cs="Times New Roman"/>
        </w:rPr>
      </w:pPr>
      <w:r w:rsidRPr="00830BB1">
        <w:rPr>
          <w:rFonts w:ascii="Times New Roman" w:hAnsi="Times New Roman" w:cs="Times New Roman"/>
        </w:rPr>
        <w:fldChar w:fldCharType="end"/>
      </w:r>
    </w:p>
    <w:sectPr w:rsidR="00EF6AD1" w:rsidRPr="00EF6AD1" w:rsidSect="006D4E85">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73A2B" w14:textId="77777777" w:rsidR="00F61D44" w:rsidRDefault="00F61D44" w:rsidP="0019649F">
      <w:pPr>
        <w:spacing w:after="0" w:line="240" w:lineRule="auto"/>
      </w:pPr>
      <w:r>
        <w:separator/>
      </w:r>
    </w:p>
  </w:endnote>
  <w:endnote w:type="continuationSeparator" w:id="0">
    <w:p w14:paraId="5E4F4BCB" w14:textId="77777777" w:rsidR="00F61D44" w:rsidRDefault="00F61D44" w:rsidP="0019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Noto Serif CJK JP">
    <w:altName w:val="Cambria"/>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684352"/>
      <w:docPartObj>
        <w:docPartGallery w:val="Page Numbers (Bottom of Page)"/>
        <w:docPartUnique/>
      </w:docPartObj>
    </w:sdtPr>
    <w:sdtContent>
      <w:p w14:paraId="3A2BA3DE" w14:textId="796876D4" w:rsidR="00DB6A91" w:rsidRDefault="00DB6A91">
        <w:pPr>
          <w:pStyle w:val="Footer"/>
          <w:jc w:val="center"/>
        </w:pPr>
        <w:r>
          <w:t>S</w:t>
        </w:r>
        <w:r>
          <w:fldChar w:fldCharType="begin"/>
        </w:r>
        <w:r>
          <w:instrText>PAGE   \* MERGEFORMAT</w:instrText>
        </w:r>
        <w:r>
          <w:fldChar w:fldCharType="separate"/>
        </w:r>
        <w:r w:rsidR="00B76DE7" w:rsidRPr="00B76DE7">
          <w:rPr>
            <w:noProof/>
            <w:lang w:val="zh-CN"/>
          </w:rPr>
          <w:t>9</w:t>
        </w:r>
        <w:r>
          <w:fldChar w:fldCharType="end"/>
        </w:r>
      </w:p>
    </w:sdtContent>
  </w:sdt>
  <w:p w14:paraId="2F491675" w14:textId="77777777" w:rsidR="00DB6A91" w:rsidRDefault="00DB6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530D1" w14:textId="77777777" w:rsidR="00F61D44" w:rsidRDefault="00F61D44" w:rsidP="0019649F">
      <w:pPr>
        <w:spacing w:after="0" w:line="240" w:lineRule="auto"/>
      </w:pPr>
      <w:r>
        <w:separator/>
      </w:r>
    </w:p>
  </w:footnote>
  <w:footnote w:type="continuationSeparator" w:id="0">
    <w:p w14:paraId="30ABD5CF" w14:textId="77777777" w:rsidR="00F61D44" w:rsidRDefault="00F61D44" w:rsidP="00196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B31"/>
    <w:multiLevelType w:val="hybridMultilevel"/>
    <w:tmpl w:val="819A6308"/>
    <w:lvl w:ilvl="0" w:tplc="BF442240">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7B59E2"/>
    <w:multiLevelType w:val="hybridMultilevel"/>
    <w:tmpl w:val="D2ACB9CC"/>
    <w:lvl w:ilvl="0" w:tplc="CEF89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2E431F"/>
    <w:multiLevelType w:val="hybridMultilevel"/>
    <w:tmpl w:val="648E1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0454CC"/>
    <w:multiLevelType w:val="hybridMultilevel"/>
    <w:tmpl w:val="C7C67C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5BCF26"/>
    <w:multiLevelType w:val="hybridMultilevel"/>
    <w:tmpl w:val="00000000"/>
    <w:lvl w:ilvl="0" w:tplc="4502AC5C">
      <w:start w:val="1"/>
      <w:numFmt w:val="decimal"/>
      <w:lvlText w:val="%1."/>
      <w:lvlJc w:val="left"/>
      <w:pPr>
        <w:ind w:left="1019" w:hanging="300"/>
      </w:pPr>
      <w:rPr>
        <w:rFonts w:ascii="Times New Roman" w:eastAsia="Times New Roman" w:hAnsi="Times New Roman" w:cs="Times New Roman" w:hint="default"/>
        <w:b w:val="0"/>
        <w:bCs w:val="0"/>
        <w:i w:val="0"/>
        <w:iCs w:val="0"/>
        <w:spacing w:val="0"/>
        <w:w w:val="100"/>
        <w:sz w:val="24"/>
        <w:szCs w:val="24"/>
        <w:lang w:val="en-US" w:eastAsia="zh-CN" w:bidi="ar-SA"/>
      </w:rPr>
    </w:lvl>
    <w:lvl w:ilvl="1" w:tplc="FA846056">
      <w:numFmt w:val="bullet"/>
      <w:lvlText w:val="•"/>
      <w:lvlJc w:val="left"/>
      <w:pPr>
        <w:ind w:left="1811" w:hanging="300"/>
      </w:pPr>
      <w:rPr>
        <w:rFonts w:hint="default"/>
        <w:lang w:val="en-US" w:eastAsia="zh-CN" w:bidi="ar-SA"/>
      </w:rPr>
    </w:lvl>
    <w:lvl w:ilvl="2" w:tplc="2E26B09A">
      <w:numFmt w:val="bullet"/>
      <w:lvlText w:val="•"/>
      <w:lvlJc w:val="left"/>
      <w:pPr>
        <w:ind w:left="2602" w:hanging="300"/>
      </w:pPr>
      <w:rPr>
        <w:rFonts w:hint="default"/>
        <w:lang w:val="en-US" w:eastAsia="zh-CN" w:bidi="ar-SA"/>
      </w:rPr>
    </w:lvl>
    <w:lvl w:ilvl="3" w:tplc="955430F2">
      <w:numFmt w:val="bullet"/>
      <w:lvlText w:val="•"/>
      <w:lvlJc w:val="left"/>
      <w:pPr>
        <w:ind w:left="3393" w:hanging="300"/>
      </w:pPr>
      <w:rPr>
        <w:rFonts w:hint="default"/>
        <w:lang w:val="en-US" w:eastAsia="zh-CN" w:bidi="ar-SA"/>
      </w:rPr>
    </w:lvl>
    <w:lvl w:ilvl="4" w:tplc="027CC344">
      <w:numFmt w:val="bullet"/>
      <w:lvlText w:val="•"/>
      <w:lvlJc w:val="left"/>
      <w:pPr>
        <w:ind w:left="4184" w:hanging="300"/>
      </w:pPr>
      <w:rPr>
        <w:rFonts w:hint="default"/>
        <w:lang w:val="en-US" w:eastAsia="zh-CN" w:bidi="ar-SA"/>
      </w:rPr>
    </w:lvl>
    <w:lvl w:ilvl="5" w:tplc="82B4A6CC">
      <w:numFmt w:val="bullet"/>
      <w:lvlText w:val="•"/>
      <w:lvlJc w:val="left"/>
      <w:pPr>
        <w:ind w:left="4975" w:hanging="300"/>
      </w:pPr>
      <w:rPr>
        <w:rFonts w:hint="default"/>
        <w:lang w:val="en-US" w:eastAsia="zh-CN" w:bidi="ar-SA"/>
      </w:rPr>
    </w:lvl>
    <w:lvl w:ilvl="6" w:tplc="61126284">
      <w:numFmt w:val="bullet"/>
      <w:lvlText w:val="•"/>
      <w:lvlJc w:val="left"/>
      <w:pPr>
        <w:ind w:left="5766" w:hanging="300"/>
      </w:pPr>
      <w:rPr>
        <w:rFonts w:hint="default"/>
        <w:lang w:val="en-US" w:eastAsia="zh-CN" w:bidi="ar-SA"/>
      </w:rPr>
    </w:lvl>
    <w:lvl w:ilvl="7" w:tplc="EED61A4C">
      <w:numFmt w:val="bullet"/>
      <w:lvlText w:val="•"/>
      <w:lvlJc w:val="left"/>
      <w:pPr>
        <w:ind w:left="6557" w:hanging="300"/>
      </w:pPr>
      <w:rPr>
        <w:rFonts w:hint="default"/>
        <w:lang w:val="en-US" w:eastAsia="zh-CN" w:bidi="ar-SA"/>
      </w:rPr>
    </w:lvl>
    <w:lvl w:ilvl="8" w:tplc="22E2B442">
      <w:numFmt w:val="bullet"/>
      <w:lvlText w:val="•"/>
      <w:lvlJc w:val="left"/>
      <w:pPr>
        <w:ind w:left="7348" w:hanging="300"/>
      </w:pPr>
      <w:rPr>
        <w:rFonts w:hint="default"/>
        <w:lang w:val="en-US" w:eastAsia="zh-CN" w:bidi="ar-SA"/>
      </w:rPr>
    </w:lvl>
  </w:abstractNum>
  <w:num w:numId="1" w16cid:durableId="1650019161">
    <w:abstractNumId w:val="2"/>
  </w:num>
  <w:num w:numId="2" w16cid:durableId="550774854">
    <w:abstractNumId w:val="1"/>
  </w:num>
  <w:num w:numId="3" w16cid:durableId="500510131">
    <w:abstractNumId w:val="0"/>
  </w:num>
  <w:num w:numId="4" w16cid:durableId="899093647">
    <w:abstractNumId w:val="4"/>
  </w:num>
  <w:num w:numId="5" w16cid:durableId="1998071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lood&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zeet5dsvd0fiedwfqvwt2jp9d5stfsrwvw&quot;&gt;semiconductor&lt;record-ids&gt;&lt;item&gt;576&lt;/item&gt;&lt;item&gt;578&lt;/item&gt;&lt;item&gt;579&lt;/item&gt;&lt;item&gt;580&lt;/item&gt;&lt;item&gt;581&lt;/item&gt;&lt;item&gt;582&lt;/item&gt;&lt;item&gt;583&lt;/item&gt;&lt;item&gt;584&lt;/item&gt;&lt;item&gt;585&lt;/item&gt;&lt;item&gt;586&lt;/item&gt;&lt;item&gt;587&lt;/item&gt;&lt;item&gt;588&lt;/item&gt;&lt;item&gt;589&lt;/item&gt;&lt;item&gt;590&lt;/item&gt;&lt;item&gt;591&lt;/item&gt;&lt;item&gt;593&lt;/item&gt;&lt;item&gt;594&lt;/item&gt;&lt;item&gt;595&lt;/item&gt;&lt;item&gt;596&lt;/item&gt;&lt;/record-ids&gt;&lt;/item&gt;&lt;/Libraries&gt;"/>
  </w:docVars>
  <w:rsids>
    <w:rsidRoot w:val="00C235BF"/>
    <w:rsid w:val="00014B4E"/>
    <w:rsid w:val="000244FC"/>
    <w:rsid w:val="0005242F"/>
    <w:rsid w:val="0006050C"/>
    <w:rsid w:val="00060C7A"/>
    <w:rsid w:val="00060D4B"/>
    <w:rsid w:val="000625F4"/>
    <w:rsid w:val="000742F8"/>
    <w:rsid w:val="000A499C"/>
    <w:rsid w:val="000B166A"/>
    <w:rsid w:val="000B3C97"/>
    <w:rsid w:val="000D3E60"/>
    <w:rsid w:val="000E5BF1"/>
    <w:rsid w:val="000E630F"/>
    <w:rsid w:val="000E70CA"/>
    <w:rsid w:val="001315E1"/>
    <w:rsid w:val="00156129"/>
    <w:rsid w:val="00165B73"/>
    <w:rsid w:val="00175F65"/>
    <w:rsid w:val="001810A9"/>
    <w:rsid w:val="00192C17"/>
    <w:rsid w:val="0019649F"/>
    <w:rsid w:val="001D21D4"/>
    <w:rsid w:val="001D3514"/>
    <w:rsid w:val="001E55DC"/>
    <w:rsid w:val="00204D96"/>
    <w:rsid w:val="00207C72"/>
    <w:rsid w:val="00244B12"/>
    <w:rsid w:val="002712FE"/>
    <w:rsid w:val="0029144F"/>
    <w:rsid w:val="002959E1"/>
    <w:rsid w:val="002B1CED"/>
    <w:rsid w:val="002C4FBB"/>
    <w:rsid w:val="002E3647"/>
    <w:rsid w:val="002F1949"/>
    <w:rsid w:val="003003BC"/>
    <w:rsid w:val="00302828"/>
    <w:rsid w:val="00307F08"/>
    <w:rsid w:val="00330B93"/>
    <w:rsid w:val="00385336"/>
    <w:rsid w:val="003928A4"/>
    <w:rsid w:val="0039441B"/>
    <w:rsid w:val="003D4A03"/>
    <w:rsid w:val="004052AB"/>
    <w:rsid w:val="004466BE"/>
    <w:rsid w:val="004753DB"/>
    <w:rsid w:val="004B1E01"/>
    <w:rsid w:val="004B2C8A"/>
    <w:rsid w:val="004C5232"/>
    <w:rsid w:val="004D40AF"/>
    <w:rsid w:val="004E51AE"/>
    <w:rsid w:val="00503A50"/>
    <w:rsid w:val="00513B1A"/>
    <w:rsid w:val="0052786F"/>
    <w:rsid w:val="005549B9"/>
    <w:rsid w:val="0055503C"/>
    <w:rsid w:val="005822E8"/>
    <w:rsid w:val="00595478"/>
    <w:rsid w:val="005B425E"/>
    <w:rsid w:val="00632D60"/>
    <w:rsid w:val="00643D40"/>
    <w:rsid w:val="00655C94"/>
    <w:rsid w:val="00657306"/>
    <w:rsid w:val="00676D29"/>
    <w:rsid w:val="006B466F"/>
    <w:rsid w:val="006C463F"/>
    <w:rsid w:val="006D4E85"/>
    <w:rsid w:val="006E4BD2"/>
    <w:rsid w:val="00703F67"/>
    <w:rsid w:val="0073581C"/>
    <w:rsid w:val="00757EA2"/>
    <w:rsid w:val="00780C28"/>
    <w:rsid w:val="00786760"/>
    <w:rsid w:val="007A195F"/>
    <w:rsid w:val="007F017E"/>
    <w:rsid w:val="007F425A"/>
    <w:rsid w:val="00820A86"/>
    <w:rsid w:val="00830BB1"/>
    <w:rsid w:val="00830EDA"/>
    <w:rsid w:val="00864033"/>
    <w:rsid w:val="008836D5"/>
    <w:rsid w:val="00895632"/>
    <w:rsid w:val="008B4BF4"/>
    <w:rsid w:val="00914486"/>
    <w:rsid w:val="00921A78"/>
    <w:rsid w:val="00923D6F"/>
    <w:rsid w:val="00933C77"/>
    <w:rsid w:val="009374BC"/>
    <w:rsid w:val="00944BCE"/>
    <w:rsid w:val="009543B9"/>
    <w:rsid w:val="00996155"/>
    <w:rsid w:val="009B6BCC"/>
    <w:rsid w:val="009F33A9"/>
    <w:rsid w:val="00A10146"/>
    <w:rsid w:val="00A35ECC"/>
    <w:rsid w:val="00A635F0"/>
    <w:rsid w:val="00A7455B"/>
    <w:rsid w:val="00B4065A"/>
    <w:rsid w:val="00B50815"/>
    <w:rsid w:val="00B65B95"/>
    <w:rsid w:val="00B73B3C"/>
    <w:rsid w:val="00B74880"/>
    <w:rsid w:val="00B76DE7"/>
    <w:rsid w:val="00B923BC"/>
    <w:rsid w:val="00B973C4"/>
    <w:rsid w:val="00BA422A"/>
    <w:rsid w:val="00BC60C3"/>
    <w:rsid w:val="00BD1BBD"/>
    <w:rsid w:val="00BD640E"/>
    <w:rsid w:val="00C12ED3"/>
    <w:rsid w:val="00C22F7A"/>
    <w:rsid w:val="00C235BF"/>
    <w:rsid w:val="00C43D3C"/>
    <w:rsid w:val="00C61B99"/>
    <w:rsid w:val="00C71AD6"/>
    <w:rsid w:val="00C96C2E"/>
    <w:rsid w:val="00CA129E"/>
    <w:rsid w:val="00CF7E9C"/>
    <w:rsid w:val="00D25336"/>
    <w:rsid w:val="00D61677"/>
    <w:rsid w:val="00D6656F"/>
    <w:rsid w:val="00D92494"/>
    <w:rsid w:val="00DA5AB3"/>
    <w:rsid w:val="00DB5E8F"/>
    <w:rsid w:val="00DB6A91"/>
    <w:rsid w:val="00DB6B56"/>
    <w:rsid w:val="00DE36C6"/>
    <w:rsid w:val="00E07A1D"/>
    <w:rsid w:val="00E80D7B"/>
    <w:rsid w:val="00E85439"/>
    <w:rsid w:val="00E8703D"/>
    <w:rsid w:val="00EA197B"/>
    <w:rsid w:val="00EB1A42"/>
    <w:rsid w:val="00EC37EE"/>
    <w:rsid w:val="00ED72AB"/>
    <w:rsid w:val="00EE0AAD"/>
    <w:rsid w:val="00EF6AD1"/>
    <w:rsid w:val="00F0540D"/>
    <w:rsid w:val="00F111CF"/>
    <w:rsid w:val="00F344C8"/>
    <w:rsid w:val="00F35FAA"/>
    <w:rsid w:val="00F37B20"/>
    <w:rsid w:val="00F4244C"/>
    <w:rsid w:val="00F61D44"/>
    <w:rsid w:val="00F62DD8"/>
    <w:rsid w:val="00F66ED6"/>
    <w:rsid w:val="00F72FAA"/>
    <w:rsid w:val="00F83771"/>
    <w:rsid w:val="00FA6CE6"/>
    <w:rsid w:val="00FF05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7F9B8"/>
  <w15:chartTrackingRefBased/>
  <w15:docId w15:val="{BCE24309-1C9D-41CF-9193-734692E0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C235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35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35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35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35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3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5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35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35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35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35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3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5BF"/>
    <w:rPr>
      <w:rFonts w:eastAsiaTheme="majorEastAsia" w:cstheme="majorBidi"/>
      <w:color w:val="272727" w:themeColor="text1" w:themeTint="D8"/>
    </w:rPr>
  </w:style>
  <w:style w:type="paragraph" w:styleId="Title">
    <w:name w:val="Title"/>
    <w:basedOn w:val="Normal"/>
    <w:next w:val="Normal"/>
    <w:link w:val="TitleChar"/>
    <w:uiPriority w:val="10"/>
    <w:qFormat/>
    <w:rsid w:val="00C23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5BF"/>
    <w:pPr>
      <w:spacing w:before="160"/>
      <w:jc w:val="center"/>
    </w:pPr>
    <w:rPr>
      <w:i/>
      <w:iCs/>
      <w:color w:val="404040" w:themeColor="text1" w:themeTint="BF"/>
    </w:rPr>
  </w:style>
  <w:style w:type="character" w:customStyle="1" w:styleId="QuoteChar">
    <w:name w:val="Quote Char"/>
    <w:basedOn w:val="DefaultParagraphFont"/>
    <w:link w:val="Quote"/>
    <w:uiPriority w:val="29"/>
    <w:rsid w:val="00C235BF"/>
    <w:rPr>
      <w:i/>
      <w:iCs/>
      <w:color w:val="404040" w:themeColor="text1" w:themeTint="BF"/>
    </w:rPr>
  </w:style>
  <w:style w:type="paragraph" w:styleId="ListParagraph">
    <w:name w:val="List Paragraph"/>
    <w:basedOn w:val="Normal"/>
    <w:uiPriority w:val="34"/>
    <w:qFormat/>
    <w:rsid w:val="00C235BF"/>
    <w:pPr>
      <w:ind w:left="720"/>
      <w:contextualSpacing/>
    </w:pPr>
  </w:style>
  <w:style w:type="character" w:styleId="IntenseEmphasis">
    <w:name w:val="Intense Emphasis"/>
    <w:basedOn w:val="DefaultParagraphFont"/>
    <w:uiPriority w:val="21"/>
    <w:qFormat/>
    <w:rsid w:val="00C235BF"/>
    <w:rPr>
      <w:i/>
      <w:iCs/>
      <w:color w:val="2F5496" w:themeColor="accent1" w:themeShade="BF"/>
    </w:rPr>
  </w:style>
  <w:style w:type="paragraph" w:styleId="IntenseQuote">
    <w:name w:val="Intense Quote"/>
    <w:basedOn w:val="Normal"/>
    <w:next w:val="Normal"/>
    <w:link w:val="IntenseQuoteChar"/>
    <w:uiPriority w:val="30"/>
    <w:qFormat/>
    <w:rsid w:val="00C235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35BF"/>
    <w:rPr>
      <w:i/>
      <w:iCs/>
      <w:color w:val="2F5496" w:themeColor="accent1" w:themeShade="BF"/>
    </w:rPr>
  </w:style>
  <w:style w:type="character" w:styleId="IntenseReference">
    <w:name w:val="Intense Reference"/>
    <w:basedOn w:val="DefaultParagraphFont"/>
    <w:uiPriority w:val="32"/>
    <w:qFormat/>
    <w:rsid w:val="00C235BF"/>
    <w:rPr>
      <w:b/>
      <w:bCs/>
      <w:smallCaps/>
      <w:color w:val="2F5496" w:themeColor="accent1" w:themeShade="BF"/>
      <w:spacing w:val="5"/>
    </w:rPr>
  </w:style>
  <w:style w:type="character" w:styleId="PlaceholderText">
    <w:name w:val="Placeholder Text"/>
    <w:basedOn w:val="DefaultParagraphFont"/>
    <w:uiPriority w:val="99"/>
    <w:semiHidden/>
    <w:rsid w:val="00BA422A"/>
    <w:rPr>
      <w:color w:val="666666"/>
    </w:rPr>
  </w:style>
  <w:style w:type="table" w:styleId="TableGrid">
    <w:name w:val="Table Grid"/>
    <w:basedOn w:val="TableNormal"/>
    <w:uiPriority w:val="39"/>
    <w:rsid w:val="0092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B1A42"/>
    <w:pPr>
      <w:autoSpaceDE w:val="0"/>
      <w:autoSpaceDN w:val="0"/>
      <w:spacing w:after="0" w:line="240" w:lineRule="auto"/>
      <w:ind w:left="241"/>
      <w:jc w:val="left"/>
    </w:pPr>
    <w:rPr>
      <w:rFonts w:ascii="Noto Serif CJK JP" w:eastAsia="Noto Serif CJK JP" w:hAnsi="Noto Serif CJK JP" w:cs="Noto Serif CJK JP"/>
      <w:kern w:val="0"/>
      <w:sz w:val="24"/>
      <w:szCs w:val="24"/>
      <w14:ligatures w14:val="none"/>
    </w:rPr>
  </w:style>
  <w:style w:type="character" w:customStyle="1" w:styleId="BodyTextChar">
    <w:name w:val="Body Text Char"/>
    <w:basedOn w:val="DefaultParagraphFont"/>
    <w:link w:val="BodyText"/>
    <w:uiPriority w:val="1"/>
    <w:rsid w:val="00EB1A42"/>
    <w:rPr>
      <w:rFonts w:ascii="Noto Serif CJK JP" w:eastAsia="Noto Serif CJK JP" w:hAnsi="Noto Serif CJK JP" w:cs="Noto Serif CJK JP"/>
      <w:kern w:val="0"/>
      <w:sz w:val="24"/>
      <w:szCs w:val="24"/>
      <w14:ligatures w14:val="none"/>
    </w:rPr>
  </w:style>
  <w:style w:type="character" w:styleId="Strong">
    <w:name w:val="Strong"/>
    <w:basedOn w:val="DefaultParagraphFont"/>
    <w:uiPriority w:val="22"/>
    <w:qFormat/>
    <w:rsid w:val="000D3E60"/>
    <w:rPr>
      <w:b/>
      <w:bCs/>
    </w:rPr>
  </w:style>
  <w:style w:type="paragraph" w:styleId="Header">
    <w:name w:val="header"/>
    <w:basedOn w:val="Normal"/>
    <w:link w:val="HeaderChar"/>
    <w:uiPriority w:val="99"/>
    <w:unhideWhenUsed/>
    <w:rsid w:val="0019649F"/>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9649F"/>
    <w:rPr>
      <w:sz w:val="18"/>
      <w:szCs w:val="18"/>
    </w:rPr>
  </w:style>
  <w:style w:type="paragraph" w:styleId="Footer">
    <w:name w:val="footer"/>
    <w:basedOn w:val="Normal"/>
    <w:link w:val="FooterChar"/>
    <w:uiPriority w:val="99"/>
    <w:unhideWhenUsed/>
    <w:rsid w:val="0019649F"/>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19649F"/>
    <w:rPr>
      <w:sz w:val="18"/>
      <w:szCs w:val="18"/>
    </w:rPr>
  </w:style>
  <w:style w:type="paragraph" w:customStyle="1" w:styleId="EndNoteBibliographyTitle">
    <w:name w:val="EndNote Bibliography Title"/>
    <w:basedOn w:val="Normal"/>
    <w:link w:val="EndNoteBibliographyTitleChar"/>
    <w:rsid w:val="00EE0AAD"/>
    <w:pPr>
      <w:spacing w:after="0"/>
      <w:jc w:val="center"/>
    </w:pPr>
    <w:rPr>
      <w:rFonts w:ascii="DengXian" w:eastAsia="DengXian" w:hAnsi="DengXian"/>
      <w:noProof/>
    </w:rPr>
  </w:style>
  <w:style w:type="character" w:customStyle="1" w:styleId="EndNoteBibliographyTitleChar">
    <w:name w:val="EndNote Bibliography Title Char"/>
    <w:basedOn w:val="DefaultParagraphFont"/>
    <w:link w:val="EndNoteBibliographyTitle"/>
    <w:rsid w:val="00EE0AAD"/>
    <w:rPr>
      <w:rFonts w:ascii="DengXian" w:eastAsia="DengXian" w:hAnsi="DengXian"/>
      <w:noProof/>
    </w:rPr>
  </w:style>
  <w:style w:type="paragraph" w:customStyle="1" w:styleId="EndNoteBibliography">
    <w:name w:val="EndNote Bibliography"/>
    <w:basedOn w:val="Normal"/>
    <w:link w:val="EndNoteBibliographyChar"/>
    <w:rsid w:val="00EE0AAD"/>
    <w:pPr>
      <w:spacing w:line="240" w:lineRule="auto"/>
    </w:pPr>
    <w:rPr>
      <w:rFonts w:ascii="DengXian" w:eastAsia="DengXian" w:hAnsi="DengXian"/>
      <w:noProof/>
    </w:rPr>
  </w:style>
  <w:style w:type="character" w:customStyle="1" w:styleId="EndNoteBibliographyChar">
    <w:name w:val="EndNote Bibliography Char"/>
    <w:basedOn w:val="DefaultParagraphFont"/>
    <w:link w:val="EndNoteBibliography"/>
    <w:rsid w:val="00EE0AAD"/>
    <w:rPr>
      <w:rFonts w:ascii="DengXian" w:eastAsia="DengXian" w:hAnsi="DengXian"/>
      <w:noProof/>
    </w:rPr>
  </w:style>
  <w:style w:type="table" w:styleId="PlainTable2">
    <w:name w:val="Plain Table 2"/>
    <w:basedOn w:val="TableNormal"/>
    <w:uiPriority w:val="42"/>
    <w:rsid w:val="00643D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32607">
      <w:bodyDiv w:val="1"/>
      <w:marLeft w:val="0"/>
      <w:marRight w:val="0"/>
      <w:marTop w:val="0"/>
      <w:marBottom w:val="0"/>
      <w:divBdr>
        <w:top w:val="none" w:sz="0" w:space="0" w:color="auto"/>
        <w:left w:val="none" w:sz="0" w:space="0" w:color="auto"/>
        <w:bottom w:val="none" w:sz="0" w:space="0" w:color="auto"/>
        <w:right w:val="none" w:sz="0" w:space="0" w:color="auto"/>
      </w:divBdr>
    </w:div>
    <w:div w:id="99222046">
      <w:bodyDiv w:val="1"/>
      <w:marLeft w:val="0"/>
      <w:marRight w:val="0"/>
      <w:marTop w:val="0"/>
      <w:marBottom w:val="0"/>
      <w:divBdr>
        <w:top w:val="none" w:sz="0" w:space="0" w:color="auto"/>
        <w:left w:val="none" w:sz="0" w:space="0" w:color="auto"/>
        <w:bottom w:val="none" w:sz="0" w:space="0" w:color="auto"/>
        <w:right w:val="none" w:sz="0" w:space="0" w:color="auto"/>
      </w:divBdr>
    </w:div>
    <w:div w:id="113137960">
      <w:bodyDiv w:val="1"/>
      <w:marLeft w:val="0"/>
      <w:marRight w:val="0"/>
      <w:marTop w:val="0"/>
      <w:marBottom w:val="0"/>
      <w:divBdr>
        <w:top w:val="none" w:sz="0" w:space="0" w:color="auto"/>
        <w:left w:val="none" w:sz="0" w:space="0" w:color="auto"/>
        <w:bottom w:val="none" w:sz="0" w:space="0" w:color="auto"/>
        <w:right w:val="none" w:sz="0" w:space="0" w:color="auto"/>
      </w:divBdr>
    </w:div>
    <w:div w:id="121312397">
      <w:bodyDiv w:val="1"/>
      <w:marLeft w:val="0"/>
      <w:marRight w:val="0"/>
      <w:marTop w:val="0"/>
      <w:marBottom w:val="0"/>
      <w:divBdr>
        <w:top w:val="none" w:sz="0" w:space="0" w:color="auto"/>
        <w:left w:val="none" w:sz="0" w:space="0" w:color="auto"/>
        <w:bottom w:val="none" w:sz="0" w:space="0" w:color="auto"/>
        <w:right w:val="none" w:sz="0" w:space="0" w:color="auto"/>
      </w:divBdr>
    </w:div>
    <w:div w:id="135730194">
      <w:bodyDiv w:val="1"/>
      <w:marLeft w:val="0"/>
      <w:marRight w:val="0"/>
      <w:marTop w:val="0"/>
      <w:marBottom w:val="0"/>
      <w:divBdr>
        <w:top w:val="none" w:sz="0" w:space="0" w:color="auto"/>
        <w:left w:val="none" w:sz="0" w:space="0" w:color="auto"/>
        <w:bottom w:val="none" w:sz="0" w:space="0" w:color="auto"/>
        <w:right w:val="none" w:sz="0" w:space="0" w:color="auto"/>
      </w:divBdr>
    </w:div>
    <w:div w:id="156960464">
      <w:bodyDiv w:val="1"/>
      <w:marLeft w:val="0"/>
      <w:marRight w:val="0"/>
      <w:marTop w:val="0"/>
      <w:marBottom w:val="0"/>
      <w:divBdr>
        <w:top w:val="none" w:sz="0" w:space="0" w:color="auto"/>
        <w:left w:val="none" w:sz="0" w:space="0" w:color="auto"/>
        <w:bottom w:val="none" w:sz="0" w:space="0" w:color="auto"/>
        <w:right w:val="none" w:sz="0" w:space="0" w:color="auto"/>
      </w:divBdr>
    </w:div>
    <w:div w:id="164982558">
      <w:bodyDiv w:val="1"/>
      <w:marLeft w:val="0"/>
      <w:marRight w:val="0"/>
      <w:marTop w:val="0"/>
      <w:marBottom w:val="0"/>
      <w:divBdr>
        <w:top w:val="none" w:sz="0" w:space="0" w:color="auto"/>
        <w:left w:val="none" w:sz="0" w:space="0" w:color="auto"/>
        <w:bottom w:val="none" w:sz="0" w:space="0" w:color="auto"/>
        <w:right w:val="none" w:sz="0" w:space="0" w:color="auto"/>
      </w:divBdr>
    </w:div>
    <w:div w:id="167791047">
      <w:bodyDiv w:val="1"/>
      <w:marLeft w:val="0"/>
      <w:marRight w:val="0"/>
      <w:marTop w:val="0"/>
      <w:marBottom w:val="0"/>
      <w:divBdr>
        <w:top w:val="none" w:sz="0" w:space="0" w:color="auto"/>
        <w:left w:val="none" w:sz="0" w:space="0" w:color="auto"/>
        <w:bottom w:val="none" w:sz="0" w:space="0" w:color="auto"/>
        <w:right w:val="none" w:sz="0" w:space="0" w:color="auto"/>
      </w:divBdr>
    </w:div>
    <w:div w:id="174418185">
      <w:bodyDiv w:val="1"/>
      <w:marLeft w:val="0"/>
      <w:marRight w:val="0"/>
      <w:marTop w:val="0"/>
      <w:marBottom w:val="0"/>
      <w:divBdr>
        <w:top w:val="none" w:sz="0" w:space="0" w:color="auto"/>
        <w:left w:val="none" w:sz="0" w:space="0" w:color="auto"/>
        <w:bottom w:val="none" w:sz="0" w:space="0" w:color="auto"/>
        <w:right w:val="none" w:sz="0" w:space="0" w:color="auto"/>
      </w:divBdr>
    </w:div>
    <w:div w:id="221061649">
      <w:bodyDiv w:val="1"/>
      <w:marLeft w:val="0"/>
      <w:marRight w:val="0"/>
      <w:marTop w:val="0"/>
      <w:marBottom w:val="0"/>
      <w:divBdr>
        <w:top w:val="none" w:sz="0" w:space="0" w:color="auto"/>
        <w:left w:val="none" w:sz="0" w:space="0" w:color="auto"/>
        <w:bottom w:val="none" w:sz="0" w:space="0" w:color="auto"/>
        <w:right w:val="none" w:sz="0" w:space="0" w:color="auto"/>
      </w:divBdr>
    </w:div>
    <w:div w:id="225383815">
      <w:bodyDiv w:val="1"/>
      <w:marLeft w:val="0"/>
      <w:marRight w:val="0"/>
      <w:marTop w:val="0"/>
      <w:marBottom w:val="0"/>
      <w:divBdr>
        <w:top w:val="none" w:sz="0" w:space="0" w:color="auto"/>
        <w:left w:val="none" w:sz="0" w:space="0" w:color="auto"/>
        <w:bottom w:val="none" w:sz="0" w:space="0" w:color="auto"/>
        <w:right w:val="none" w:sz="0" w:space="0" w:color="auto"/>
      </w:divBdr>
    </w:div>
    <w:div w:id="254242660">
      <w:bodyDiv w:val="1"/>
      <w:marLeft w:val="0"/>
      <w:marRight w:val="0"/>
      <w:marTop w:val="0"/>
      <w:marBottom w:val="0"/>
      <w:divBdr>
        <w:top w:val="none" w:sz="0" w:space="0" w:color="auto"/>
        <w:left w:val="none" w:sz="0" w:space="0" w:color="auto"/>
        <w:bottom w:val="none" w:sz="0" w:space="0" w:color="auto"/>
        <w:right w:val="none" w:sz="0" w:space="0" w:color="auto"/>
      </w:divBdr>
    </w:div>
    <w:div w:id="287586064">
      <w:bodyDiv w:val="1"/>
      <w:marLeft w:val="0"/>
      <w:marRight w:val="0"/>
      <w:marTop w:val="0"/>
      <w:marBottom w:val="0"/>
      <w:divBdr>
        <w:top w:val="none" w:sz="0" w:space="0" w:color="auto"/>
        <w:left w:val="none" w:sz="0" w:space="0" w:color="auto"/>
        <w:bottom w:val="none" w:sz="0" w:space="0" w:color="auto"/>
        <w:right w:val="none" w:sz="0" w:space="0" w:color="auto"/>
      </w:divBdr>
    </w:div>
    <w:div w:id="292910701">
      <w:bodyDiv w:val="1"/>
      <w:marLeft w:val="0"/>
      <w:marRight w:val="0"/>
      <w:marTop w:val="0"/>
      <w:marBottom w:val="0"/>
      <w:divBdr>
        <w:top w:val="none" w:sz="0" w:space="0" w:color="auto"/>
        <w:left w:val="none" w:sz="0" w:space="0" w:color="auto"/>
        <w:bottom w:val="none" w:sz="0" w:space="0" w:color="auto"/>
        <w:right w:val="none" w:sz="0" w:space="0" w:color="auto"/>
      </w:divBdr>
    </w:div>
    <w:div w:id="299772682">
      <w:bodyDiv w:val="1"/>
      <w:marLeft w:val="0"/>
      <w:marRight w:val="0"/>
      <w:marTop w:val="0"/>
      <w:marBottom w:val="0"/>
      <w:divBdr>
        <w:top w:val="none" w:sz="0" w:space="0" w:color="auto"/>
        <w:left w:val="none" w:sz="0" w:space="0" w:color="auto"/>
        <w:bottom w:val="none" w:sz="0" w:space="0" w:color="auto"/>
        <w:right w:val="none" w:sz="0" w:space="0" w:color="auto"/>
      </w:divBdr>
    </w:div>
    <w:div w:id="314454950">
      <w:bodyDiv w:val="1"/>
      <w:marLeft w:val="0"/>
      <w:marRight w:val="0"/>
      <w:marTop w:val="0"/>
      <w:marBottom w:val="0"/>
      <w:divBdr>
        <w:top w:val="none" w:sz="0" w:space="0" w:color="auto"/>
        <w:left w:val="none" w:sz="0" w:space="0" w:color="auto"/>
        <w:bottom w:val="none" w:sz="0" w:space="0" w:color="auto"/>
        <w:right w:val="none" w:sz="0" w:space="0" w:color="auto"/>
      </w:divBdr>
    </w:div>
    <w:div w:id="367142474">
      <w:bodyDiv w:val="1"/>
      <w:marLeft w:val="0"/>
      <w:marRight w:val="0"/>
      <w:marTop w:val="0"/>
      <w:marBottom w:val="0"/>
      <w:divBdr>
        <w:top w:val="none" w:sz="0" w:space="0" w:color="auto"/>
        <w:left w:val="none" w:sz="0" w:space="0" w:color="auto"/>
        <w:bottom w:val="none" w:sz="0" w:space="0" w:color="auto"/>
        <w:right w:val="none" w:sz="0" w:space="0" w:color="auto"/>
      </w:divBdr>
    </w:div>
    <w:div w:id="396173812">
      <w:bodyDiv w:val="1"/>
      <w:marLeft w:val="0"/>
      <w:marRight w:val="0"/>
      <w:marTop w:val="0"/>
      <w:marBottom w:val="0"/>
      <w:divBdr>
        <w:top w:val="none" w:sz="0" w:space="0" w:color="auto"/>
        <w:left w:val="none" w:sz="0" w:space="0" w:color="auto"/>
        <w:bottom w:val="none" w:sz="0" w:space="0" w:color="auto"/>
        <w:right w:val="none" w:sz="0" w:space="0" w:color="auto"/>
      </w:divBdr>
    </w:div>
    <w:div w:id="397555347">
      <w:bodyDiv w:val="1"/>
      <w:marLeft w:val="0"/>
      <w:marRight w:val="0"/>
      <w:marTop w:val="0"/>
      <w:marBottom w:val="0"/>
      <w:divBdr>
        <w:top w:val="none" w:sz="0" w:space="0" w:color="auto"/>
        <w:left w:val="none" w:sz="0" w:space="0" w:color="auto"/>
        <w:bottom w:val="none" w:sz="0" w:space="0" w:color="auto"/>
        <w:right w:val="none" w:sz="0" w:space="0" w:color="auto"/>
      </w:divBdr>
      <w:divsChild>
        <w:div w:id="359822275">
          <w:marLeft w:val="0"/>
          <w:marRight w:val="0"/>
          <w:marTop w:val="0"/>
          <w:marBottom w:val="0"/>
          <w:divBdr>
            <w:top w:val="none" w:sz="0" w:space="0" w:color="auto"/>
            <w:left w:val="none" w:sz="0" w:space="0" w:color="auto"/>
            <w:bottom w:val="none" w:sz="0" w:space="0" w:color="auto"/>
            <w:right w:val="none" w:sz="0" w:space="0" w:color="auto"/>
          </w:divBdr>
          <w:divsChild>
            <w:div w:id="12178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82256">
      <w:bodyDiv w:val="1"/>
      <w:marLeft w:val="0"/>
      <w:marRight w:val="0"/>
      <w:marTop w:val="0"/>
      <w:marBottom w:val="0"/>
      <w:divBdr>
        <w:top w:val="none" w:sz="0" w:space="0" w:color="auto"/>
        <w:left w:val="none" w:sz="0" w:space="0" w:color="auto"/>
        <w:bottom w:val="none" w:sz="0" w:space="0" w:color="auto"/>
        <w:right w:val="none" w:sz="0" w:space="0" w:color="auto"/>
      </w:divBdr>
    </w:div>
    <w:div w:id="422149429">
      <w:bodyDiv w:val="1"/>
      <w:marLeft w:val="0"/>
      <w:marRight w:val="0"/>
      <w:marTop w:val="0"/>
      <w:marBottom w:val="0"/>
      <w:divBdr>
        <w:top w:val="none" w:sz="0" w:space="0" w:color="auto"/>
        <w:left w:val="none" w:sz="0" w:space="0" w:color="auto"/>
        <w:bottom w:val="none" w:sz="0" w:space="0" w:color="auto"/>
        <w:right w:val="none" w:sz="0" w:space="0" w:color="auto"/>
      </w:divBdr>
      <w:divsChild>
        <w:div w:id="2097552420">
          <w:marLeft w:val="0"/>
          <w:marRight w:val="0"/>
          <w:marTop w:val="0"/>
          <w:marBottom w:val="0"/>
          <w:divBdr>
            <w:top w:val="none" w:sz="0" w:space="0" w:color="auto"/>
            <w:left w:val="none" w:sz="0" w:space="0" w:color="auto"/>
            <w:bottom w:val="none" w:sz="0" w:space="0" w:color="auto"/>
            <w:right w:val="none" w:sz="0" w:space="0" w:color="auto"/>
          </w:divBdr>
          <w:divsChild>
            <w:div w:id="20552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3440">
      <w:bodyDiv w:val="1"/>
      <w:marLeft w:val="0"/>
      <w:marRight w:val="0"/>
      <w:marTop w:val="0"/>
      <w:marBottom w:val="0"/>
      <w:divBdr>
        <w:top w:val="none" w:sz="0" w:space="0" w:color="auto"/>
        <w:left w:val="none" w:sz="0" w:space="0" w:color="auto"/>
        <w:bottom w:val="none" w:sz="0" w:space="0" w:color="auto"/>
        <w:right w:val="none" w:sz="0" w:space="0" w:color="auto"/>
      </w:divBdr>
    </w:div>
    <w:div w:id="477648970">
      <w:bodyDiv w:val="1"/>
      <w:marLeft w:val="0"/>
      <w:marRight w:val="0"/>
      <w:marTop w:val="0"/>
      <w:marBottom w:val="0"/>
      <w:divBdr>
        <w:top w:val="none" w:sz="0" w:space="0" w:color="auto"/>
        <w:left w:val="none" w:sz="0" w:space="0" w:color="auto"/>
        <w:bottom w:val="none" w:sz="0" w:space="0" w:color="auto"/>
        <w:right w:val="none" w:sz="0" w:space="0" w:color="auto"/>
      </w:divBdr>
    </w:div>
    <w:div w:id="500124067">
      <w:bodyDiv w:val="1"/>
      <w:marLeft w:val="0"/>
      <w:marRight w:val="0"/>
      <w:marTop w:val="0"/>
      <w:marBottom w:val="0"/>
      <w:divBdr>
        <w:top w:val="none" w:sz="0" w:space="0" w:color="auto"/>
        <w:left w:val="none" w:sz="0" w:space="0" w:color="auto"/>
        <w:bottom w:val="none" w:sz="0" w:space="0" w:color="auto"/>
        <w:right w:val="none" w:sz="0" w:space="0" w:color="auto"/>
      </w:divBdr>
    </w:div>
    <w:div w:id="519246312">
      <w:bodyDiv w:val="1"/>
      <w:marLeft w:val="0"/>
      <w:marRight w:val="0"/>
      <w:marTop w:val="0"/>
      <w:marBottom w:val="0"/>
      <w:divBdr>
        <w:top w:val="none" w:sz="0" w:space="0" w:color="auto"/>
        <w:left w:val="none" w:sz="0" w:space="0" w:color="auto"/>
        <w:bottom w:val="none" w:sz="0" w:space="0" w:color="auto"/>
        <w:right w:val="none" w:sz="0" w:space="0" w:color="auto"/>
      </w:divBdr>
    </w:div>
    <w:div w:id="564023983">
      <w:bodyDiv w:val="1"/>
      <w:marLeft w:val="0"/>
      <w:marRight w:val="0"/>
      <w:marTop w:val="0"/>
      <w:marBottom w:val="0"/>
      <w:divBdr>
        <w:top w:val="none" w:sz="0" w:space="0" w:color="auto"/>
        <w:left w:val="none" w:sz="0" w:space="0" w:color="auto"/>
        <w:bottom w:val="none" w:sz="0" w:space="0" w:color="auto"/>
        <w:right w:val="none" w:sz="0" w:space="0" w:color="auto"/>
      </w:divBdr>
    </w:div>
    <w:div w:id="613440939">
      <w:bodyDiv w:val="1"/>
      <w:marLeft w:val="0"/>
      <w:marRight w:val="0"/>
      <w:marTop w:val="0"/>
      <w:marBottom w:val="0"/>
      <w:divBdr>
        <w:top w:val="none" w:sz="0" w:space="0" w:color="auto"/>
        <w:left w:val="none" w:sz="0" w:space="0" w:color="auto"/>
        <w:bottom w:val="none" w:sz="0" w:space="0" w:color="auto"/>
        <w:right w:val="none" w:sz="0" w:space="0" w:color="auto"/>
      </w:divBdr>
    </w:div>
    <w:div w:id="709576255">
      <w:bodyDiv w:val="1"/>
      <w:marLeft w:val="0"/>
      <w:marRight w:val="0"/>
      <w:marTop w:val="0"/>
      <w:marBottom w:val="0"/>
      <w:divBdr>
        <w:top w:val="none" w:sz="0" w:space="0" w:color="auto"/>
        <w:left w:val="none" w:sz="0" w:space="0" w:color="auto"/>
        <w:bottom w:val="none" w:sz="0" w:space="0" w:color="auto"/>
        <w:right w:val="none" w:sz="0" w:space="0" w:color="auto"/>
      </w:divBdr>
    </w:div>
    <w:div w:id="744882726">
      <w:bodyDiv w:val="1"/>
      <w:marLeft w:val="0"/>
      <w:marRight w:val="0"/>
      <w:marTop w:val="0"/>
      <w:marBottom w:val="0"/>
      <w:divBdr>
        <w:top w:val="none" w:sz="0" w:space="0" w:color="auto"/>
        <w:left w:val="none" w:sz="0" w:space="0" w:color="auto"/>
        <w:bottom w:val="none" w:sz="0" w:space="0" w:color="auto"/>
        <w:right w:val="none" w:sz="0" w:space="0" w:color="auto"/>
      </w:divBdr>
    </w:div>
    <w:div w:id="747388850">
      <w:bodyDiv w:val="1"/>
      <w:marLeft w:val="0"/>
      <w:marRight w:val="0"/>
      <w:marTop w:val="0"/>
      <w:marBottom w:val="0"/>
      <w:divBdr>
        <w:top w:val="none" w:sz="0" w:space="0" w:color="auto"/>
        <w:left w:val="none" w:sz="0" w:space="0" w:color="auto"/>
        <w:bottom w:val="none" w:sz="0" w:space="0" w:color="auto"/>
        <w:right w:val="none" w:sz="0" w:space="0" w:color="auto"/>
      </w:divBdr>
    </w:div>
    <w:div w:id="848446011">
      <w:bodyDiv w:val="1"/>
      <w:marLeft w:val="0"/>
      <w:marRight w:val="0"/>
      <w:marTop w:val="0"/>
      <w:marBottom w:val="0"/>
      <w:divBdr>
        <w:top w:val="none" w:sz="0" w:space="0" w:color="auto"/>
        <w:left w:val="none" w:sz="0" w:space="0" w:color="auto"/>
        <w:bottom w:val="none" w:sz="0" w:space="0" w:color="auto"/>
        <w:right w:val="none" w:sz="0" w:space="0" w:color="auto"/>
      </w:divBdr>
    </w:div>
    <w:div w:id="851187166">
      <w:bodyDiv w:val="1"/>
      <w:marLeft w:val="0"/>
      <w:marRight w:val="0"/>
      <w:marTop w:val="0"/>
      <w:marBottom w:val="0"/>
      <w:divBdr>
        <w:top w:val="none" w:sz="0" w:space="0" w:color="auto"/>
        <w:left w:val="none" w:sz="0" w:space="0" w:color="auto"/>
        <w:bottom w:val="none" w:sz="0" w:space="0" w:color="auto"/>
        <w:right w:val="none" w:sz="0" w:space="0" w:color="auto"/>
      </w:divBdr>
    </w:div>
    <w:div w:id="880745207">
      <w:bodyDiv w:val="1"/>
      <w:marLeft w:val="0"/>
      <w:marRight w:val="0"/>
      <w:marTop w:val="0"/>
      <w:marBottom w:val="0"/>
      <w:divBdr>
        <w:top w:val="none" w:sz="0" w:space="0" w:color="auto"/>
        <w:left w:val="none" w:sz="0" w:space="0" w:color="auto"/>
        <w:bottom w:val="none" w:sz="0" w:space="0" w:color="auto"/>
        <w:right w:val="none" w:sz="0" w:space="0" w:color="auto"/>
      </w:divBdr>
    </w:div>
    <w:div w:id="893810774">
      <w:bodyDiv w:val="1"/>
      <w:marLeft w:val="0"/>
      <w:marRight w:val="0"/>
      <w:marTop w:val="0"/>
      <w:marBottom w:val="0"/>
      <w:divBdr>
        <w:top w:val="none" w:sz="0" w:space="0" w:color="auto"/>
        <w:left w:val="none" w:sz="0" w:space="0" w:color="auto"/>
        <w:bottom w:val="none" w:sz="0" w:space="0" w:color="auto"/>
        <w:right w:val="none" w:sz="0" w:space="0" w:color="auto"/>
      </w:divBdr>
    </w:div>
    <w:div w:id="909772918">
      <w:bodyDiv w:val="1"/>
      <w:marLeft w:val="0"/>
      <w:marRight w:val="0"/>
      <w:marTop w:val="0"/>
      <w:marBottom w:val="0"/>
      <w:divBdr>
        <w:top w:val="none" w:sz="0" w:space="0" w:color="auto"/>
        <w:left w:val="none" w:sz="0" w:space="0" w:color="auto"/>
        <w:bottom w:val="none" w:sz="0" w:space="0" w:color="auto"/>
        <w:right w:val="none" w:sz="0" w:space="0" w:color="auto"/>
      </w:divBdr>
    </w:div>
    <w:div w:id="948051510">
      <w:bodyDiv w:val="1"/>
      <w:marLeft w:val="0"/>
      <w:marRight w:val="0"/>
      <w:marTop w:val="0"/>
      <w:marBottom w:val="0"/>
      <w:divBdr>
        <w:top w:val="none" w:sz="0" w:space="0" w:color="auto"/>
        <w:left w:val="none" w:sz="0" w:space="0" w:color="auto"/>
        <w:bottom w:val="none" w:sz="0" w:space="0" w:color="auto"/>
        <w:right w:val="none" w:sz="0" w:space="0" w:color="auto"/>
      </w:divBdr>
    </w:div>
    <w:div w:id="1010529675">
      <w:bodyDiv w:val="1"/>
      <w:marLeft w:val="0"/>
      <w:marRight w:val="0"/>
      <w:marTop w:val="0"/>
      <w:marBottom w:val="0"/>
      <w:divBdr>
        <w:top w:val="none" w:sz="0" w:space="0" w:color="auto"/>
        <w:left w:val="none" w:sz="0" w:space="0" w:color="auto"/>
        <w:bottom w:val="none" w:sz="0" w:space="0" w:color="auto"/>
        <w:right w:val="none" w:sz="0" w:space="0" w:color="auto"/>
      </w:divBdr>
    </w:div>
    <w:div w:id="1035041131">
      <w:bodyDiv w:val="1"/>
      <w:marLeft w:val="0"/>
      <w:marRight w:val="0"/>
      <w:marTop w:val="0"/>
      <w:marBottom w:val="0"/>
      <w:divBdr>
        <w:top w:val="none" w:sz="0" w:space="0" w:color="auto"/>
        <w:left w:val="none" w:sz="0" w:space="0" w:color="auto"/>
        <w:bottom w:val="none" w:sz="0" w:space="0" w:color="auto"/>
        <w:right w:val="none" w:sz="0" w:space="0" w:color="auto"/>
      </w:divBdr>
    </w:div>
    <w:div w:id="1039861751">
      <w:bodyDiv w:val="1"/>
      <w:marLeft w:val="0"/>
      <w:marRight w:val="0"/>
      <w:marTop w:val="0"/>
      <w:marBottom w:val="0"/>
      <w:divBdr>
        <w:top w:val="none" w:sz="0" w:space="0" w:color="auto"/>
        <w:left w:val="none" w:sz="0" w:space="0" w:color="auto"/>
        <w:bottom w:val="none" w:sz="0" w:space="0" w:color="auto"/>
        <w:right w:val="none" w:sz="0" w:space="0" w:color="auto"/>
      </w:divBdr>
    </w:div>
    <w:div w:id="1146314927">
      <w:bodyDiv w:val="1"/>
      <w:marLeft w:val="0"/>
      <w:marRight w:val="0"/>
      <w:marTop w:val="0"/>
      <w:marBottom w:val="0"/>
      <w:divBdr>
        <w:top w:val="none" w:sz="0" w:space="0" w:color="auto"/>
        <w:left w:val="none" w:sz="0" w:space="0" w:color="auto"/>
        <w:bottom w:val="none" w:sz="0" w:space="0" w:color="auto"/>
        <w:right w:val="none" w:sz="0" w:space="0" w:color="auto"/>
      </w:divBdr>
    </w:div>
    <w:div w:id="1165828607">
      <w:bodyDiv w:val="1"/>
      <w:marLeft w:val="0"/>
      <w:marRight w:val="0"/>
      <w:marTop w:val="0"/>
      <w:marBottom w:val="0"/>
      <w:divBdr>
        <w:top w:val="none" w:sz="0" w:space="0" w:color="auto"/>
        <w:left w:val="none" w:sz="0" w:space="0" w:color="auto"/>
        <w:bottom w:val="none" w:sz="0" w:space="0" w:color="auto"/>
        <w:right w:val="none" w:sz="0" w:space="0" w:color="auto"/>
      </w:divBdr>
      <w:divsChild>
        <w:div w:id="78983757">
          <w:marLeft w:val="0"/>
          <w:marRight w:val="0"/>
          <w:marTop w:val="0"/>
          <w:marBottom w:val="0"/>
          <w:divBdr>
            <w:top w:val="none" w:sz="0" w:space="0" w:color="auto"/>
            <w:left w:val="none" w:sz="0" w:space="0" w:color="auto"/>
            <w:bottom w:val="none" w:sz="0" w:space="0" w:color="auto"/>
            <w:right w:val="none" w:sz="0" w:space="0" w:color="auto"/>
          </w:divBdr>
          <w:divsChild>
            <w:div w:id="10577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5167">
      <w:bodyDiv w:val="1"/>
      <w:marLeft w:val="0"/>
      <w:marRight w:val="0"/>
      <w:marTop w:val="0"/>
      <w:marBottom w:val="0"/>
      <w:divBdr>
        <w:top w:val="none" w:sz="0" w:space="0" w:color="auto"/>
        <w:left w:val="none" w:sz="0" w:space="0" w:color="auto"/>
        <w:bottom w:val="none" w:sz="0" w:space="0" w:color="auto"/>
        <w:right w:val="none" w:sz="0" w:space="0" w:color="auto"/>
      </w:divBdr>
    </w:div>
    <w:div w:id="1215700593">
      <w:bodyDiv w:val="1"/>
      <w:marLeft w:val="0"/>
      <w:marRight w:val="0"/>
      <w:marTop w:val="0"/>
      <w:marBottom w:val="0"/>
      <w:divBdr>
        <w:top w:val="none" w:sz="0" w:space="0" w:color="auto"/>
        <w:left w:val="none" w:sz="0" w:space="0" w:color="auto"/>
        <w:bottom w:val="none" w:sz="0" w:space="0" w:color="auto"/>
        <w:right w:val="none" w:sz="0" w:space="0" w:color="auto"/>
      </w:divBdr>
    </w:div>
    <w:div w:id="1242182767">
      <w:bodyDiv w:val="1"/>
      <w:marLeft w:val="0"/>
      <w:marRight w:val="0"/>
      <w:marTop w:val="0"/>
      <w:marBottom w:val="0"/>
      <w:divBdr>
        <w:top w:val="none" w:sz="0" w:space="0" w:color="auto"/>
        <w:left w:val="none" w:sz="0" w:space="0" w:color="auto"/>
        <w:bottom w:val="none" w:sz="0" w:space="0" w:color="auto"/>
        <w:right w:val="none" w:sz="0" w:space="0" w:color="auto"/>
      </w:divBdr>
    </w:div>
    <w:div w:id="1257129485">
      <w:bodyDiv w:val="1"/>
      <w:marLeft w:val="0"/>
      <w:marRight w:val="0"/>
      <w:marTop w:val="0"/>
      <w:marBottom w:val="0"/>
      <w:divBdr>
        <w:top w:val="none" w:sz="0" w:space="0" w:color="auto"/>
        <w:left w:val="none" w:sz="0" w:space="0" w:color="auto"/>
        <w:bottom w:val="none" w:sz="0" w:space="0" w:color="auto"/>
        <w:right w:val="none" w:sz="0" w:space="0" w:color="auto"/>
      </w:divBdr>
    </w:div>
    <w:div w:id="1259480168">
      <w:bodyDiv w:val="1"/>
      <w:marLeft w:val="0"/>
      <w:marRight w:val="0"/>
      <w:marTop w:val="0"/>
      <w:marBottom w:val="0"/>
      <w:divBdr>
        <w:top w:val="none" w:sz="0" w:space="0" w:color="auto"/>
        <w:left w:val="none" w:sz="0" w:space="0" w:color="auto"/>
        <w:bottom w:val="none" w:sz="0" w:space="0" w:color="auto"/>
        <w:right w:val="none" w:sz="0" w:space="0" w:color="auto"/>
      </w:divBdr>
    </w:div>
    <w:div w:id="1269855948">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281719326">
      <w:bodyDiv w:val="1"/>
      <w:marLeft w:val="0"/>
      <w:marRight w:val="0"/>
      <w:marTop w:val="0"/>
      <w:marBottom w:val="0"/>
      <w:divBdr>
        <w:top w:val="none" w:sz="0" w:space="0" w:color="auto"/>
        <w:left w:val="none" w:sz="0" w:space="0" w:color="auto"/>
        <w:bottom w:val="none" w:sz="0" w:space="0" w:color="auto"/>
        <w:right w:val="none" w:sz="0" w:space="0" w:color="auto"/>
      </w:divBdr>
    </w:div>
    <w:div w:id="1314337716">
      <w:bodyDiv w:val="1"/>
      <w:marLeft w:val="0"/>
      <w:marRight w:val="0"/>
      <w:marTop w:val="0"/>
      <w:marBottom w:val="0"/>
      <w:divBdr>
        <w:top w:val="none" w:sz="0" w:space="0" w:color="auto"/>
        <w:left w:val="none" w:sz="0" w:space="0" w:color="auto"/>
        <w:bottom w:val="none" w:sz="0" w:space="0" w:color="auto"/>
        <w:right w:val="none" w:sz="0" w:space="0" w:color="auto"/>
      </w:divBdr>
    </w:div>
    <w:div w:id="1325010235">
      <w:bodyDiv w:val="1"/>
      <w:marLeft w:val="0"/>
      <w:marRight w:val="0"/>
      <w:marTop w:val="0"/>
      <w:marBottom w:val="0"/>
      <w:divBdr>
        <w:top w:val="none" w:sz="0" w:space="0" w:color="auto"/>
        <w:left w:val="none" w:sz="0" w:space="0" w:color="auto"/>
        <w:bottom w:val="none" w:sz="0" w:space="0" w:color="auto"/>
        <w:right w:val="none" w:sz="0" w:space="0" w:color="auto"/>
      </w:divBdr>
    </w:div>
    <w:div w:id="1360006348">
      <w:bodyDiv w:val="1"/>
      <w:marLeft w:val="0"/>
      <w:marRight w:val="0"/>
      <w:marTop w:val="0"/>
      <w:marBottom w:val="0"/>
      <w:divBdr>
        <w:top w:val="none" w:sz="0" w:space="0" w:color="auto"/>
        <w:left w:val="none" w:sz="0" w:space="0" w:color="auto"/>
        <w:bottom w:val="none" w:sz="0" w:space="0" w:color="auto"/>
        <w:right w:val="none" w:sz="0" w:space="0" w:color="auto"/>
      </w:divBdr>
    </w:div>
    <w:div w:id="1365717471">
      <w:bodyDiv w:val="1"/>
      <w:marLeft w:val="0"/>
      <w:marRight w:val="0"/>
      <w:marTop w:val="0"/>
      <w:marBottom w:val="0"/>
      <w:divBdr>
        <w:top w:val="none" w:sz="0" w:space="0" w:color="auto"/>
        <w:left w:val="none" w:sz="0" w:space="0" w:color="auto"/>
        <w:bottom w:val="none" w:sz="0" w:space="0" w:color="auto"/>
        <w:right w:val="none" w:sz="0" w:space="0" w:color="auto"/>
      </w:divBdr>
    </w:div>
    <w:div w:id="1368264044">
      <w:bodyDiv w:val="1"/>
      <w:marLeft w:val="0"/>
      <w:marRight w:val="0"/>
      <w:marTop w:val="0"/>
      <w:marBottom w:val="0"/>
      <w:divBdr>
        <w:top w:val="none" w:sz="0" w:space="0" w:color="auto"/>
        <w:left w:val="none" w:sz="0" w:space="0" w:color="auto"/>
        <w:bottom w:val="none" w:sz="0" w:space="0" w:color="auto"/>
        <w:right w:val="none" w:sz="0" w:space="0" w:color="auto"/>
      </w:divBdr>
      <w:divsChild>
        <w:div w:id="106197539">
          <w:marLeft w:val="0"/>
          <w:marRight w:val="0"/>
          <w:marTop w:val="0"/>
          <w:marBottom w:val="0"/>
          <w:divBdr>
            <w:top w:val="none" w:sz="0" w:space="0" w:color="auto"/>
            <w:left w:val="none" w:sz="0" w:space="0" w:color="auto"/>
            <w:bottom w:val="none" w:sz="0" w:space="0" w:color="auto"/>
            <w:right w:val="none" w:sz="0" w:space="0" w:color="auto"/>
          </w:divBdr>
          <w:divsChild>
            <w:div w:id="5048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8680">
      <w:bodyDiv w:val="1"/>
      <w:marLeft w:val="0"/>
      <w:marRight w:val="0"/>
      <w:marTop w:val="0"/>
      <w:marBottom w:val="0"/>
      <w:divBdr>
        <w:top w:val="none" w:sz="0" w:space="0" w:color="auto"/>
        <w:left w:val="none" w:sz="0" w:space="0" w:color="auto"/>
        <w:bottom w:val="none" w:sz="0" w:space="0" w:color="auto"/>
        <w:right w:val="none" w:sz="0" w:space="0" w:color="auto"/>
      </w:divBdr>
    </w:div>
    <w:div w:id="1404178926">
      <w:bodyDiv w:val="1"/>
      <w:marLeft w:val="0"/>
      <w:marRight w:val="0"/>
      <w:marTop w:val="0"/>
      <w:marBottom w:val="0"/>
      <w:divBdr>
        <w:top w:val="none" w:sz="0" w:space="0" w:color="auto"/>
        <w:left w:val="none" w:sz="0" w:space="0" w:color="auto"/>
        <w:bottom w:val="none" w:sz="0" w:space="0" w:color="auto"/>
        <w:right w:val="none" w:sz="0" w:space="0" w:color="auto"/>
      </w:divBdr>
    </w:div>
    <w:div w:id="1410418544">
      <w:bodyDiv w:val="1"/>
      <w:marLeft w:val="0"/>
      <w:marRight w:val="0"/>
      <w:marTop w:val="0"/>
      <w:marBottom w:val="0"/>
      <w:divBdr>
        <w:top w:val="none" w:sz="0" w:space="0" w:color="auto"/>
        <w:left w:val="none" w:sz="0" w:space="0" w:color="auto"/>
        <w:bottom w:val="none" w:sz="0" w:space="0" w:color="auto"/>
        <w:right w:val="none" w:sz="0" w:space="0" w:color="auto"/>
      </w:divBdr>
    </w:div>
    <w:div w:id="1411080509">
      <w:bodyDiv w:val="1"/>
      <w:marLeft w:val="0"/>
      <w:marRight w:val="0"/>
      <w:marTop w:val="0"/>
      <w:marBottom w:val="0"/>
      <w:divBdr>
        <w:top w:val="none" w:sz="0" w:space="0" w:color="auto"/>
        <w:left w:val="none" w:sz="0" w:space="0" w:color="auto"/>
        <w:bottom w:val="none" w:sz="0" w:space="0" w:color="auto"/>
        <w:right w:val="none" w:sz="0" w:space="0" w:color="auto"/>
      </w:divBdr>
    </w:div>
    <w:div w:id="1446148740">
      <w:bodyDiv w:val="1"/>
      <w:marLeft w:val="0"/>
      <w:marRight w:val="0"/>
      <w:marTop w:val="0"/>
      <w:marBottom w:val="0"/>
      <w:divBdr>
        <w:top w:val="none" w:sz="0" w:space="0" w:color="auto"/>
        <w:left w:val="none" w:sz="0" w:space="0" w:color="auto"/>
        <w:bottom w:val="none" w:sz="0" w:space="0" w:color="auto"/>
        <w:right w:val="none" w:sz="0" w:space="0" w:color="auto"/>
      </w:divBdr>
      <w:divsChild>
        <w:div w:id="945423629">
          <w:marLeft w:val="0"/>
          <w:marRight w:val="0"/>
          <w:marTop w:val="0"/>
          <w:marBottom w:val="0"/>
          <w:divBdr>
            <w:top w:val="none" w:sz="0" w:space="0" w:color="auto"/>
            <w:left w:val="none" w:sz="0" w:space="0" w:color="auto"/>
            <w:bottom w:val="none" w:sz="0" w:space="0" w:color="auto"/>
            <w:right w:val="none" w:sz="0" w:space="0" w:color="auto"/>
          </w:divBdr>
          <w:divsChild>
            <w:div w:id="16605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7205">
      <w:bodyDiv w:val="1"/>
      <w:marLeft w:val="0"/>
      <w:marRight w:val="0"/>
      <w:marTop w:val="0"/>
      <w:marBottom w:val="0"/>
      <w:divBdr>
        <w:top w:val="none" w:sz="0" w:space="0" w:color="auto"/>
        <w:left w:val="none" w:sz="0" w:space="0" w:color="auto"/>
        <w:bottom w:val="none" w:sz="0" w:space="0" w:color="auto"/>
        <w:right w:val="none" w:sz="0" w:space="0" w:color="auto"/>
      </w:divBdr>
    </w:div>
    <w:div w:id="1493065194">
      <w:bodyDiv w:val="1"/>
      <w:marLeft w:val="0"/>
      <w:marRight w:val="0"/>
      <w:marTop w:val="0"/>
      <w:marBottom w:val="0"/>
      <w:divBdr>
        <w:top w:val="none" w:sz="0" w:space="0" w:color="auto"/>
        <w:left w:val="none" w:sz="0" w:space="0" w:color="auto"/>
        <w:bottom w:val="none" w:sz="0" w:space="0" w:color="auto"/>
        <w:right w:val="none" w:sz="0" w:space="0" w:color="auto"/>
      </w:divBdr>
    </w:div>
    <w:div w:id="1552839245">
      <w:bodyDiv w:val="1"/>
      <w:marLeft w:val="0"/>
      <w:marRight w:val="0"/>
      <w:marTop w:val="0"/>
      <w:marBottom w:val="0"/>
      <w:divBdr>
        <w:top w:val="none" w:sz="0" w:space="0" w:color="auto"/>
        <w:left w:val="none" w:sz="0" w:space="0" w:color="auto"/>
        <w:bottom w:val="none" w:sz="0" w:space="0" w:color="auto"/>
        <w:right w:val="none" w:sz="0" w:space="0" w:color="auto"/>
      </w:divBdr>
    </w:div>
    <w:div w:id="1574511379">
      <w:bodyDiv w:val="1"/>
      <w:marLeft w:val="0"/>
      <w:marRight w:val="0"/>
      <w:marTop w:val="0"/>
      <w:marBottom w:val="0"/>
      <w:divBdr>
        <w:top w:val="none" w:sz="0" w:space="0" w:color="auto"/>
        <w:left w:val="none" w:sz="0" w:space="0" w:color="auto"/>
        <w:bottom w:val="none" w:sz="0" w:space="0" w:color="auto"/>
        <w:right w:val="none" w:sz="0" w:space="0" w:color="auto"/>
      </w:divBdr>
      <w:divsChild>
        <w:div w:id="194193290">
          <w:marLeft w:val="0"/>
          <w:marRight w:val="0"/>
          <w:marTop w:val="0"/>
          <w:marBottom w:val="0"/>
          <w:divBdr>
            <w:top w:val="none" w:sz="0" w:space="0" w:color="auto"/>
            <w:left w:val="none" w:sz="0" w:space="0" w:color="auto"/>
            <w:bottom w:val="none" w:sz="0" w:space="0" w:color="auto"/>
            <w:right w:val="none" w:sz="0" w:space="0" w:color="auto"/>
          </w:divBdr>
          <w:divsChild>
            <w:div w:id="2989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80231">
      <w:bodyDiv w:val="1"/>
      <w:marLeft w:val="0"/>
      <w:marRight w:val="0"/>
      <w:marTop w:val="0"/>
      <w:marBottom w:val="0"/>
      <w:divBdr>
        <w:top w:val="none" w:sz="0" w:space="0" w:color="auto"/>
        <w:left w:val="none" w:sz="0" w:space="0" w:color="auto"/>
        <w:bottom w:val="none" w:sz="0" w:space="0" w:color="auto"/>
        <w:right w:val="none" w:sz="0" w:space="0" w:color="auto"/>
      </w:divBdr>
    </w:div>
    <w:div w:id="1668483446">
      <w:bodyDiv w:val="1"/>
      <w:marLeft w:val="0"/>
      <w:marRight w:val="0"/>
      <w:marTop w:val="0"/>
      <w:marBottom w:val="0"/>
      <w:divBdr>
        <w:top w:val="none" w:sz="0" w:space="0" w:color="auto"/>
        <w:left w:val="none" w:sz="0" w:space="0" w:color="auto"/>
        <w:bottom w:val="none" w:sz="0" w:space="0" w:color="auto"/>
        <w:right w:val="none" w:sz="0" w:space="0" w:color="auto"/>
      </w:divBdr>
    </w:div>
    <w:div w:id="1730765435">
      <w:bodyDiv w:val="1"/>
      <w:marLeft w:val="0"/>
      <w:marRight w:val="0"/>
      <w:marTop w:val="0"/>
      <w:marBottom w:val="0"/>
      <w:divBdr>
        <w:top w:val="none" w:sz="0" w:space="0" w:color="auto"/>
        <w:left w:val="none" w:sz="0" w:space="0" w:color="auto"/>
        <w:bottom w:val="none" w:sz="0" w:space="0" w:color="auto"/>
        <w:right w:val="none" w:sz="0" w:space="0" w:color="auto"/>
      </w:divBdr>
    </w:div>
    <w:div w:id="1752196125">
      <w:bodyDiv w:val="1"/>
      <w:marLeft w:val="0"/>
      <w:marRight w:val="0"/>
      <w:marTop w:val="0"/>
      <w:marBottom w:val="0"/>
      <w:divBdr>
        <w:top w:val="none" w:sz="0" w:space="0" w:color="auto"/>
        <w:left w:val="none" w:sz="0" w:space="0" w:color="auto"/>
        <w:bottom w:val="none" w:sz="0" w:space="0" w:color="auto"/>
        <w:right w:val="none" w:sz="0" w:space="0" w:color="auto"/>
      </w:divBdr>
    </w:div>
    <w:div w:id="1878468016">
      <w:bodyDiv w:val="1"/>
      <w:marLeft w:val="0"/>
      <w:marRight w:val="0"/>
      <w:marTop w:val="0"/>
      <w:marBottom w:val="0"/>
      <w:divBdr>
        <w:top w:val="none" w:sz="0" w:space="0" w:color="auto"/>
        <w:left w:val="none" w:sz="0" w:space="0" w:color="auto"/>
        <w:bottom w:val="none" w:sz="0" w:space="0" w:color="auto"/>
        <w:right w:val="none" w:sz="0" w:space="0" w:color="auto"/>
      </w:divBdr>
    </w:div>
    <w:div w:id="1896626507">
      <w:bodyDiv w:val="1"/>
      <w:marLeft w:val="0"/>
      <w:marRight w:val="0"/>
      <w:marTop w:val="0"/>
      <w:marBottom w:val="0"/>
      <w:divBdr>
        <w:top w:val="none" w:sz="0" w:space="0" w:color="auto"/>
        <w:left w:val="none" w:sz="0" w:space="0" w:color="auto"/>
        <w:bottom w:val="none" w:sz="0" w:space="0" w:color="auto"/>
        <w:right w:val="none" w:sz="0" w:space="0" w:color="auto"/>
      </w:divBdr>
    </w:div>
    <w:div w:id="1915165072">
      <w:bodyDiv w:val="1"/>
      <w:marLeft w:val="0"/>
      <w:marRight w:val="0"/>
      <w:marTop w:val="0"/>
      <w:marBottom w:val="0"/>
      <w:divBdr>
        <w:top w:val="none" w:sz="0" w:space="0" w:color="auto"/>
        <w:left w:val="none" w:sz="0" w:space="0" w:color="auto"/>
        <w:bottom w:val="none" w:sz="0" w:space="0" w:color="auto"/>
        <w:right w:val="none" w:sz="0" w:space="0" w:color="auto"/>
      </w:divBdr>
    </w:div>
    <w:div w:id="1958096348">
      <w:bodyDiv w:val="1"/>
      <w:marLeft w:val="0"/>
      <w:marRight w:val="0"/>
      <w:marTop w:val="0"/>
      <w:marBottom w:val="0"/>
      <w:divBdr>
        <w:top w:val="none" w:sz="0" w:space="0" w:color="auto"/>
        <w:left w:val="none" w:sz="0" w:space="0" w:color="auto"/>
        <w:bottom w:val="none" w:sz="0" w:space="0" w:color="auto"/>
        <w:right w:val="none" w:sz="0" w:space="0" w:color="auto"/>
      </w:divBdr>
    </w:div>
    <w:div w:id="1978215988">
      <w:bodyDiv w:val="1"/>
      <w:marLeft w:val="0"/>
      <w:marRight w:val="0"/>
      <w:marTop w:val="0"/>
      <w:marBottom w:val="0"/>
      <w:divBdr>
        <w:top w:val="none" w:sz="0" w:space="0" w:color="auto"/>
        <w:left w:val="none" w:sz="0" w:space="0" w:color="auto"/>
        <w:bottom w:val="none" w:sz="0" w:space="0" w:color="auto"/>
        <w:right w:val="none" w:sz="0" w:space="0" w:color="auto"/>
      </w:divBdr>
    </w:div>
    <w:div w:id="1979992282">
      <w:bodyDiv w:val="1"/>
      <w:marLeft w:val="0"/>
      <w:marRight w:val="0"/>
      <w:marTop w:val="0"/>
      <w:marBottom w:val="0"/>
      <w:divBdr>
        <w:top w:val="none" w:sz="0" w:space="0" w:color="auto"/>
        <w:left w:val="none" w:sz="0" w:space="0" w:color="auto"/>
        <w:bottom w:val="none" w:sz="0" w:space="0" w:color="auto"/>
        <w:right w:val="none" w:sz="0" w:space="0" w:color="auto"/>
      </w:divBdr>
    </w:div>
    <w:div w:id="1995643388">
      <w:bodyDiv w:val="1"/>
      <w:marLeft w:val="0"/>
      <w:marRight w:val="0"/>
      <w:marTop w:val="0"/>
      <w:marBottom w:val="0"/>
      <w:divBdr>
        <w:top w:val="none" w:sz="0" w:space="0" w:color="auto"/>
        <w:left w:val="none" w:sz="0" w:space="0" w:color="auto"/>
        <w:bottom w:val="none" w:sz="0" w:space="0" w:color="auto"/>
        <w:right w:val="none" w:sz="0" w:space="0" w:color="auto"/>
      </w:divBdr>
    </w:div>
    <w:div w:id="1996300296">
      <w:bodyDiv w:val="1"/>
      <w:marLeft w:val="0"/>
      <w:marRight w:val="0"/>
      <w:marTop w:val="0"/>
      <w:marBottom w:val="0"/>
      <w:divBdr>
        <w:top w:val="none" w:sz="0" w:space="0" w:color="auto"/>
        <w:left w:val="none" w:sz="0" w:space="0" w:color="auto"/>
        <w:bottom w:val="none" w:sz="0" w:space="0" w:color="auto"/>
        <w:right w:val="none" w:sz="0" w:space="0" w:color="auto"/>
      </w:divBdr>
    </w:div>
    <w:div w:id="2049450707">
      <w:bodyDiv w:val="1"/>
      <w:marLeft w:val="0"/>
      <w:marRight w:val="0"/>
      <w:marTop w:val="0"/>
      <w:marBottom w:val="0"/>
      <w:divBdr>
        <w:top w:val="none" w:sz="0" w:space="0" w:color="auto"/>
        <w:left w:val="none" w:sz="0" w:space="0" w:color="auto"/>
        <w:bottom w:val="none" w:sz="0" w:space="0" w:color="auto"/>
        <w:right w:val="none" w:sz="0" w:space="0" w:color="auto"/>
      </w:divBdr>
    </w:div>
    <w:div w:id="2052456867">
      <w:bodyDiv w:val="1"/>
      <w:marLeft w:val="0"/>
      <w:marRight w:val="0"/>
      <w:marTop w:val="0"/>
      <w:marBottom w:val="0"/>
      <w:divBdr>
        <w:top w:val="none" w:sz="0" w:space="0" w:color="auto"/>
        <w:left w:val="none" w:sz="0" w:space="0" w:color="auto"/>
        <w:bottom w:val="none" w:sz="0" w:space="0" w:color="auto"/>
        <w:right w:val="none" w:sz="0" w:space="0" w:color="auto"/>
      </w:divBdr>
    </w:div>
    <w:div w:id="2055612543">
      <w:bodyDiv w:val="1"/>
      <w:marLeft w:val="0"/>
      <w:marRight w:val="0"/>
      <w:marTop w:val="0"/>
      <w:marBottom w:val="0"/>
      <w:divBdr>
        <w:top w:val="none" w:sz="0" w:space="0" w:color="auto"/>
        <w:left w:val="none" w:sz="0" w:space="0" w:color="auto"/>
        <w:bottom w:val="none" w:sz="0" w:space="0" w:color="auto"/>
        <w:right w:val="none" w:sz="0" w:space="0" w:color="auto"/>
      </w:divBdr>
    </w:div>
    <w:div w:id="211944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FF6DA-5464-414A-AC49-9C1C9B1F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7850</TotalTime>
  <Pages>15</Pages>
  <Words>7923</Words>
  <Characters>53642</Characters>
  <Application>Microsoft Office Word</Application>
  <DocSecurity>0</DocSecurity>
  <Lines>1072</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Shah</dc:creator>
  <cp:keywords/>
  <dc:description/>
  <cp:lastModifiedBy>Faisal Shah</cp:lastModifiedBy>
  <cp:revision>61</cp:revision>
  <dcterms:created xsi:type="dcterms:W3CDTF">2026-02-19T06:44:00Z</dcterms:created>
  <dcterms:modified xsi:type="dcterms:W3CDTF">2026-07-19T05:11:00Z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911e340c-66f4-402e-9e0c-54a125d5c5d9</vt:lpwstr>
  </property>
</Properties>
</file>