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EA9DE" w14:textId="77777777" w:rsidR="00EA3B66" w:rsidRPr="003416C1" w:rsidRDefault="00EA3B66" w:rsidP="00EA3B66">
      <w:pPr>
        <w:spacing w:after="0" w:line="480" w:lineRule="auto"/>
        <w:jc w:val="both"/>
        <w:rPr>
          <w:rFonts w:ascii="Times New Roman" w:hAnsi="Times New Roman" w:cs="Times New Roman"/>
          <w:b/>
        </w:rPr>
      </w:pPr>
      <w:r w:rsidRPr="003416C1">
        <w:rPr>
          <w:rFonts w:ascii="Times New Roman" w:hAnsi="Times New Roman" w:cs="Times New Roman"/>
          <w:b/>
        </w:rPr>
        <w:t>Supplementary Information</w:t>
      </w:r>
    </w:p>
    <w:p w14:paraId="73277ED7" w14:textId="77777777" w:rsidR="00EA3B66" w:rsidRPr="003416C1" w:rsidRDefault="00EA3B66" w:rsidP="00EA3B66">
      <w:pPr>
        <w:spacing w:after="0" w:line="480" w:lineRule="auto"/>
        <w:jc w:val="both"/>
        <w:rPr>
          <w:rFonts w:ascii="Times New Roman" w:eastAsia="Times New Roman" w:hAnsi="Times New Roman" w:cs="Times New Roman"/>
          <w:b/>
          <w:bCs/>
          <w:szCs w:val="20"/>
          <w:lang w:eastAsia="en-GB"/>
        </w:rPr>
      </w:pPr>
      <w:r w:rsidRPr="003416C1">
        <w:rPr>
          <w:rFonts w:ascii="Times New Roman" w:eastAsia="Times New Roman" w:hAnsi="Times New Roman" w:cs="Times New Roman"/>
          <w:b/>
          <w:bCs/>
          <w:szCs w:val="20"/>
          <w:lang w:eastAsia="en-GB"/>
        </w:rPr>
        <w:t>Supplementary Figures</w:t>
      </w:r>
    </w:p>
    <w:p w14:paraId="4D39EC1A" w14:textId="77777777" w:rsidR="00EA3B66" w:rsidRPr="003416C1" w:rsidRDefault="00EA3B66" w:rsidP="00EA3B66">
      <w:pPr>
        <w:spacing w:after="0" w:line="480" w:lineRule="auto"/>
        <w:jc w:val="both"/>
        <w:rPr>
          <w:rFonts w:ascii="Times New Roman" w:eastAsia="Times New Roman" w:hAnsi="Times New Roman" w:cs="Times New Roman"/>
          <w:lang w:eastAsia="en-GB"/>
        </w:rPr>
      </w:pPr>
      <w:r w:rsidRPr="003416C1">
        <w:rPr>
          <w:rFonts w:ascii="Times New Roman" w:eastAsia="Times New Roman" w:hAnsi="Times New Roman" w:cs="Times New Roman"/>
          <w:b/>
          <w:bCs/>
          <w:szCs w:val="20"/>
          <w:lang w:eastAsia="en-GB"/>
        </w:rPr>
        <w:t xml:space="preserve">Figure S1. </w:t>
      </w:r>
      <w:r w:rsidRPr="003416C1">
        <w:rPr>
          <w:rFonts w:ascii="Times New Roman" w:eastAsia="Times New Roman" w:hAnsi="Times New Roman" w:cs="Times New Roman"/>
          <w:bCs/>
          <w:szCs w:val="20"/>
          <w:lang w:eastAsia="en-GB"/>
        </w:rPr>
        <w:t xml:space="preserve">Relative transcript levels of the </w:t>
      </w:r>
      <w:r w:rsidRPr="003416C1">
        <w:rPr>
          <w:rFonts w:ascii="Times New Roman" w:eastAsia="Times New Roman" w:hAnsi="Times New Roman" w:cs="Times New Roman"/>
          <w:bCs/>
          <w:i/>
          <w:iCs/>
          <w:szCs w:val="20"/>
          <w:lang w:eastAsia="en-GB"/>
        </w:rPr>
        <w:t>TpUGT89B1</w:t>
      </w:r>
      <w:r w:rsidRPr="003416C1">
        <w:rPr>
          <w:rFonts w:ascii="Times New Roman" w:eastAsia="Times New Roman" w:hAnsi="Times New Roman" w:cs="Times New Roman"/>
          <w:bCs/>
          <w:szCs w:val="20"/>
          <w:lang w:eastAsia="en-GB"/>
        </w:rPr>
        <w:t xml:space="preserve">, </w:t>
      </w:r>
      <w:r w:rsidRPr="003416C1">
        <w:rPr>
          <w:rFonts w:ascii="Times New Roman" w:eastAsia="Times New Roman" w:hAnsi="Times New Roman" w:cs="Times New Roman"/>
          <w:bCs/>
          <w:i/>
          <w:iCs/>
          <w:szCs w:val="20"/>
          <w:lang w:eastAsia="en-GB"/>
        </w:rPr>
        <w:t>TpLRR-RLK</w:t>
      </w:r>
      <w:r w:rsidRPr="003416C1">
        <w:rPr>
          <w:rFonts w:ascii="Times New Roman" w:eastAsia="Times New Roman" w:hAnsi="Times New Roman" w:cs="Times New Roman"/>
          <w:bCs/>
          <w:szCs w:val="20"/>
          <w:lang w:eastAsia="en-GB"/>
        </w:rPr>
        <w:t xml:space="preserve">, </w:t>
      </w:r>
      <w:r w:rsidRPr="003416C1">
        <w:rPr>
          <w:rFonts w:ascii="Times New Roman" w:eastAsia="Times New Roman" w:hAnsi="Times New Roman" w:cs="Times New Roman"/>
          <w:bCs/>
          <w:i/>
          <w:iCs/>
          <w:szCs w:val="20"/>
          <w:lang w:eastAsia="en-GB"/>
        </w:rPr>
        <w:t>TpLecRLK9</w:t>
      </w:r>
      <w:r w:rsidRPr="003416C1">
        <w:rPr>
          <w:rFonts w:ascii="Times New Roman" w:eastAsia="Times New Roman" w:hAnsi="Times New Roman" w:cs="Times New Roman"/>
          <w:bCs/>
          <w:szCs w:val="20"/>
          <w:lang w:eastAsia="en-GB"/>
        </w:rPr>
        <w:t xml:space="preserve"> and </w:t>
      </w:r>
      <w:r w:rsidRPr="003416C1">
        <w:rPr>
          <w:rFonts w:ascii="Times New Roman" w:eastAsia="Times New Roman" w:hAnsi="Times New Roman" w:cs="Times New Roman"/>
          <w:bCs/>
          <w:i/>
          <w:iCs/>
          <w:szCs w:val="20"/>
          <w:lang w:eastAsia="en-GB"/>
        </w:rPr>
        <w:t>Tp11408</w:t>
      </w:r>
      <w:r w:rsidRPr="003416C1">
        <w:rPr>
          <w:rFonts w:ascii="Times New Roman" w:eastAsia="Times New Roman" w:hAnsi="Times New Roman" w:cs="Times New Roman"/>
          <w:bCs/>
          <w:szCs w:val="20"/>
          <w:lang w:eastAsia="en-GB"/>
        </w:rPr>
        <w:t xml:space="preserve"> genes in the roots of the resistant red clover accession Formica in response to </w:t>
      </w:r>
      <w:r w:rsidRPr="003416C1">
        <w:rPr>
          <w:rFonts w:ascii="Times New Roman" w:eastAsia="Times New Roman" w:hAnsi="Times New Roman" w:cs="Times New Roman"/>
          <w:bCs/>
          <w:i/>
          <w:iCs/>
          <w:szCs w:val="20"/>
          <w:lang w:eastAsia="en-GB"/>
        </w:rPr>
        <w:t>F. avenaceum</w:t>
      </w:r>
      <w:r w:rsidRPr="003416C1">
        <w:rPr>
          <w:rFonts w:ascii="Times New Roman" w:eastAsia="Times New Roman" w:hAnsi="Times New Roman" w:cs="Times New Roman"/>
          <w:lang w:eastAsia="en-GB"/>
        </w:rPr>
        <w:t xml:space="preserve"> infection. The data are relative to those of mock-treated Formica plants at 7 dpi (value =1). The bar chart represents the means ± SDs (n=3 biological replicates). Real-time quantitative PCR was performed using the 2</w:t>
      </w:r>
      <w:r w:rsidRPr="003416C1">
        <w:rPr>
          <w:rFonts w:ascii="Times New Roman" w:eastAsia="Times New Roman" w:hAnsi="Times New Roman" w:cs="Times New Roman"/>
          <w:vertAlign w:val="superscript"/>
          <w:lang w:eastAsia="en-GB"/>
        </w:rPr>
        <w:t>−ΔΔCT</w:t>
      </w:r>
      <w:r w:rsidRPr="003416C1">
        <w:rPr>
          <w:rFonts w:ascii="Times New Roman" w:eastAsia="Times New Roman" w:hAnsi="Times New Roman" w:cs="Times New Roman"/>
          <w:lang w:eastAsia="en-GB"/>
        </w:rPr>
        <w:t xml:space="preserve"> method. All the transcript data were normalized to those of </w:t>
      </w:r>
      <w:r w:rsidRPr="003416C1">
        <w:rPr>
          <w:rFonts w:ascii="Times New Roman" w:eastAsia="Times New Roman" w:hAnsi="Times New Roman" w:cs="Times New Roman"/>
          <w:i/>
          <w:iCs/>
          <w:lang w:eastAsia="en-GB"/>
        </w:rPr>
        <w:t>EIF-4α</w:t>
      </w:r>
      <w:r w:rsidRPr="003416C1">
        <w:rPr>
          <w:rFonts w:ascii="Times New Roman" w:eastAsia="Times New Roman" w:hAnsi="Times New Roman" w:cs="Times New Roman"/>
          <w:lang w:eastAsia="en-GB"/>
        </w:rPr>
        <w:t xml:space="preserve">. Asterisks indicate significant differences according to Student’s </w:t>
      </w:r>
      <w:r w:rsidRPr="003416C1">
        <w:rPr>
          <w:rFonts w:ascii="Times New Roman" w:eastAsia="Times New Roman" w:hAnsi="Times New Roman" w:cs="Times New Roman"/>
          <w:i/>
          <w:iCs/>
          <w:lang w:eastAsia="en-GB"/>
        </w:rPr>
        <w:t>t</w:t>
      </w:r>
      <w:r w:rsidRPr="003416C1">
        <w:rPr>
          <w:rFonts w:ascii="Times New Roman" w:eastAsia="Times New Roman" w:hAnsi="Times New Roman" w:cs="Times New Roman"/>
          <w:lang w:eastAsia="en-GB"/>
        </w:rPr>
        <w:t xml:space="preserve"> test (*</w:t>
      </w:r>
      <w:r w:rsidRPr="003416C1">
        <w:rPr>
          <w:rFonts w:ascii="Times New Roman" w:eastAsia="Times New Roman" w:hAnsi="Times New Roman" w:cs="Times New Roman"/>
          <w:i/>
          <w:iCs/>
          <w:lang w:eastAsia="en-GB"/>
        </w:rPr>
        <w:t>P</w:t>
      </w:r>
      <w:r w:rsidRPr="003416C1">
        <w:rPr>
          <w:rFonts w:ascii="Times New Roman" w:eastAsia="Times New Roman" w:hAnsi="Times New Roman" w:cs="Times New Roman"/>
          <w:lang w:eastAsia="en-GB"/>
        </w:rPr>
        <w:t xml:space="preserve"> ≤ 0.05, **</w:t>
      </w:r>
      <w:r w:rsidRPr="003416C1">
        <w:rPr>
          <w:rFonts w:ascii="Times New Roman" w:eastAsia="Times New Roman" w:hAnsi="Times New Roman" w:cs="Times New Roman"/>
          <w:i/>
          <w:iCs/>
          <w:lang w:eastAsia="en-GB"/>
        </w:rPr>
        <w:t xml:space="preserve"> P</w:t>
      </w:r>
      <w:r w:rsidRPr="003416C1">
        <w:rPr>
          <w:rFonts w:ascii="Times New Roman" w:eastAsia="Times New Roman" w:hAnsi="Times New Roman" w:cs="Times New Roman"/>
          <w:lang w:eastAsia="en-GB"/>
        </w:rPr>
        <w:t xml:space="preserve"> ≤ 0.01).</w:t>
      </w:r>
    </w:p>
    <w:p w14:paraId="42236DCC" w14:textId="77777777" w:rsidR="00EA3B66" w:rsidRPr="003416C1" w:rsidRDefault="00EA3B66" w:rsidP="00EA3B66">
      <w:pPr>
        <w:spacing w:after="0" w:line="480" w:lineRule="auto"/>
        <w:jc w:val="both"/>
        <w:rPr>
          <w:rFonts w:ascii="Times New Roman" w:eastAsia="Times New Roman" w:hAnsi="Times New Roman" w:cs="Times New Roman"/>
          <w:lang w:eastAsia="en-GB"/>
        </w:rPr>
      </w:pPr>
      <w:r w:rsidRPr="003416C1">
        <w:rPr>
          <w:rFonts w:ascii="Times New Roman" w:eastAsia="Times New Roman" w:hAnsi="Times New Roman" w:cs="Times New Roman"/>
          <w:b/>
          <w:bCs/>
          <w:szCs w:val="20"/>
          <w:lang w:eastAsia="en-GB"/>
        </w:rPr>
        <w:t xml:space="preserve">Figure S2. </w:t>
      </w:r>
      <w:r w:rsidRPr="003416C1">
        <w:rPr>
          <w:rFonts w:ascii="Times New Roman" w:eastAsia="Times New Roman" w:hAnsi="Times New Roman" w:cs="Times New Roman"/>
          <w:lang w:eastAsia="en-GB"/>
        </w:rPr>
        <w:t xml:space="preserve">Relative expression levels of </w:t>
      </w:r>
      <w:r w:rsidRPr="003416C1">
        <w:rPr>
          <w:rFonts w:ascii="Times New Roman" w:eastAsia="Times New Roman" w:hAnsi="Times New Roman" w:cs="Times New Roman"/>
          <w:i/>
          <w:iCs/>
          <w:lang w:eastAsia="en-GB"/>
        </w:rPr>
        <w:t>TpUGT89B1</w:t>
      </w:r>
      <w:r w:rsidRPr="003416C1">
        <w:rPr>
          <w:rFonts w:ascii="Times New Roman" w:eastAsia="Times New Roman" w:hAnsi="Times New Roman" w:cs="Times New Roman"/>
          <w:lang w:eastAsia="en-GB"/>
        </w:rPr>
        <w:t xml:space="preserve"> and </w:t>
      </w:r>
      <w:r w:rsidRPr="003416C1">
        <w:rPr>
          <w:rFonts w:ascii="Times New Roman" w:eastAsia="Times New Roman" w:hAnsi="Times New Roman" w:cs="Times New Roman"/>
          <w:i/>
          <w:iCs/>
          <w:lang w:eastAsia="en-GB"/>
        </w:rPr>
        <w:t>TpLRR-RLK</w:t>
      </w:r>
      <w:r w:rsidRPr="003416C1">
        <w:rPr>
          <w:rFonts w:ascii="Times New Roman" w:eastAsia="Times New Roman" w:hAnsi="Times New Roman" w:cs="Times New Roman"/>
          <w:lang w:eastAsia="en-GB"/>
        </w:rPr>
        <w:t xml:space="preserve"> in independent OE lines (</w:t>
      </w:r>
      <w:r w:rsidRPr="003416C1">
        <w:rPr>
          <w:rFonts w:ascii="Times New Roman" w:eastAsia="Times New Roman" w:hAnsi="Times New Roman" w:cs="Times New Roman"/>
          <w:i/>
          <w:iCs/>
          <w:lang w:eastAsia="en-GB"/>
        </w:rPr>
        <w:t>p35S:TpUGT89B1</w:t>
      </w:r>
      <w:r w:rsidRPr="003416C1">
        <w:rPr>
          <w:rFonts w:ascii="Times New Roman" w:eastAsia="Times New Roman" w:hAnsi="Times New Roman" w:cs="Times New Roman"/>
          <w:lang w:eastAsia="en-GB"/>
        </w:rPr>
        <w:t xml:space="preserve">-1, 2, 3 and </w:t>
      </w:r>
      <w:r w:rsidRPr="003416C1">
        <w:rPr>
          <w:rFonts w:ascii="Times New Roman" w:eastAsia="Times New Roman" w:hAnsi="Times New Roman" w:cs="Times New Roman"/>
          <w:i/>
          <w:iCs/>
          <w:lang w:eastAsia="en-GB"/>
        </w:rPr>
        <w:t>p35S:TpLRR-RLK</w:t>
      </w:r>
      <w:r w:rsidRPr="003416C1">
        <w:rPr>
          <w:rFonts w:ascii="Times New Roman" w:eastAsia="Times New Roman" w:hAnsi="Times New Roman" w:cs="Times New Roman"/>
          <w:lang w:eastAsia="en-GB"/>
        </w:rPr>
        <w:t>-1, 2, 3) determined by RT‒qPCR using the 2</w:t>
      </w:r>
      <w:r w:rsidRPr="003416C1">
        <w:rPr>
          <w:rFonts w:ascii="Times New Roman" w:eastAsia="Times New Roman" w:hAnsi="Times New Roman" w:cs="Times New Roman"/>
          <w:vertAlign w:val="superscript"/>
          <w:lang w:eastAsia="en-GB"/>
        </w:rPr>
        <w:t>−ΔΔCT</w:t>
      </w:r>
      <w:r w:rsidRPr="003416C1">
        <w:rPr>
          <w:rFonts w:ascii="Times New Roman" w:eastAsia="Times New Roman" w:hAnsi="Times New Roman" w:cs="Times New Roman"/>
          <w:lang w:eastAsia="en-GB"/>
        </w:rPr>
        <w:t xml:space="preserve"> method, with normalization to </w:t>
      </w:r>
      <w:r w:rsidRPr="003416C1">
        <w:rPr>
          <w:rFonts w:ascii="Times New Roman" w:eastAsia="Times New Roman" w:hAnsi="Times New Roman" w:cs="Times New Roman"/>
          <w:i/>
          <w:iCs/>
          <w:lang w:eastAsia="en-GB"/>
        </w:rPr>
        <w:t>EIF-4α</w:t>
      </w:r>
      <w:r w:rsidRPr="003416C1">
        <w:rPr>
          <w:rFonts w:ascii="Times New Roman" w:eastAsia="Times New Roman" w:hAnsi="Times New Roman" w:cs="Times New Roman"/>
          <w:lang w:eastAsia="en-GB"/>
        </w:rPr>
        <w:t xml:space="preserve">. The data are relative to those of resistant red clover Formica roots at 7 dpi with </w:t>
      </w:r>
      <w:r w:rsidRPr="003416C1">
        <w:rPr>
          <w:rFonts w:ascii="Times New Roman" w:eastAsia="Times New Roman" w:hAnsi="Times New Roman" w:cs="Times New Roman"/>
          <w:i/>
          <w:iCs/>
          <w:lang w:eastAsia="en-GB"/>
        </w:rPr>
        <w:t>F. avenaceum</w:t>
      </w:r>
      <w:r w:rsidRPr="003416C1">
        <w:rPr>
          <w:rFonts w:ascii="Times New Roman" w:eastAsia="Times New Roman" w:hAnsi="Times New Roman" w:cs="Times New Roman"/>
          <w:lang w:eastAsia="en-GB"/>
        </w:rPr>
        <w:t xml:space="preserve"> (value =1). The bar chart shows the means ± SDs (n=3 biological replicates). No statistically significant differences were detected (Student’s </w:t>
      </w:r>
      <w:r w:rsidRPr="003416C1">
        <w:rPr>
          <w:rFonts w:ascii="Times New Roman" w:eastAsia="Times New Roman" w:hAnsi="Times New Roman" w:cs="Times New Roman"/>
          <w:i/>
          <w:iCs/>
          <w:lang w:eastAsia="en-GB"/>
        </w:rPr>
        <w:t xml:space="preserve">t </w:t>
      </w:r>
      <w:r w:rsidRPr="003416C1">
        <w:rPr>
          <w:rFonts w:ascii="Times New Roman" w:eastAsia="Times New Roman" w:hAnsi="Times New Roman" w:cs="Times New Roman"/>
          <w:lang w:eastAsia="en-GB"/>
        </w:rPr>
        <w:t>test, P &gt; 0.05).</w:t>
      </w:r>
    </w:p>
    <w:p w14:paraId="64380878" w14:textId="77777777" w:rsidR="00EA3B66" w:rsidRPr="003416C1" w:rsidRDefault="00EA3B66" w:rsidP="00EA3B66">
      <w:pPr>
        <w:spacing w:after="0" w:line="480" w:lineRule="auto"/>
        <w:jc w:val="both"/>
        <w:rPr>
          <w:rFonts w:ascii="Times New Roman" w:eastAsia="Times New Roman" w:hAnsi="Times New Roman" w:cs="Times New Roman"/>
          <w:lang w:eastAsia="en-GB"/>
        </w:rPr>
      </w:pPr>
      <w:r w:rsidRPr="003416C1">
        <w:rPr>
          <w:rFonts w:ascii="Times New Roman" w:eastAsia="Times New Roman" w:hAnsi="Times New Roman" w:cs="Times New Roman"/>
          <w:b/>
          <w:bCs/>
          <w:szCs w:val="20"/>
          <w:lang w:eastAsia="en-GB"/>
        </w:rPr>
        <w:t xml:space="preserve">Figure S3. </w:t>
      </w:r>
      <w:r w:rsidRPr="003416C1">
        <w:rPr>
          <w:rFonts w:ascii="Times New Roman" w:eastAsia="Times New Roman" w:hAnsi="Times New Roman" w:cs="Times New Roman"/>
          <w:lang w:eastAsia="en-GB"/>
        </w:rPr>
        <w:t>Predicted hydrophobic acceptor binding pocket of TpUGT89B1. Surface representation of the TpUGT89B1 ligand-binding cavity generated in UCSF ChimeraX version 1.3 and colored according to hydrophobicity. The docked trichothecene scaffold 7E0 (green color) is shown to occupy the predicted acceptor pocket. Amino acid residues (Ser137, Ser174, Ala376 and Asp377) lining the binding cavity are highlighted, and the distances between these residues and the docked ligand are indicated (Å). The protein structure was predicted using Protenix-v0.5.0.</w:t>
      </w:r>
    </w:p>
    <w:p w14:paraId="54A9C9DF" w14:textId="77777777" w:rsidR="00EA3B66" w:rsidRDefault="00EA3B66" w:rsidP="00EA3B66">
      <w:pPr>
        <w:spacing w:after="0" w:line="480" w:lineRule="auto"/>
        <w:jc w:val="both"/>
        <w:rPr>
          <w:rFonts w:ascii="Times New Roman" w:eastAsia="Times New Roman" w:hAnsi="Times New Roman" w:cs="Times New Roman"/>
          <w:lang w:eastAsia="en-GB"/>
        </w:rPr>
      </w:pPr>
      <w:r w:rsidRPr="003416C1">
        <w:rPr>
          <w:rFonts w:ascii="Times New Roman" w:eastAsia="Times New Roman" w:hAnsi="Times New Roman" w:cs="Times New Roman"/>
          <w:b/>
          <w:bCs/>
          <w:szCs w:val="20"/>
          <w:lang w:eastAsia="en-GB"/>
        </w:rPr>
        <w:t>Figure S4.</w:t>
      </w:r>
      <w:r w:rsidRPr="003416C1">
        <w:rPr>
          <w:rFonts w:ascii="Times New Roman" w:eastAsia="Times New Roman" w:hAnsi="Times New Roman" w:cs="Times New Roman"/>
          <w:bCs/>
          <w:szCs w:val="20"/>
          <w:lang w:eastAsia="en-GB"/>
        </w:rPr>
        <w:t xml:space="preserve"> Relative transcript levels of the </w:t>
      </w:r>
      <w:r w:rsidRPr="003416C1">
        <w:rPr>
          <w:rFonts w:ascii="Times New Roman" w:eastAsia="Times New Roman" w:hAnsi="Times New Roman" w:cs="Times New Roman"/>
          <w:bCs/>
          <w:i/>
          <w:iCs/>
          <w:szCs w:val="20"/>
          <w:lang w:eastAsia="en-GB"/>
        </w:rPr>
        <w:t>TpUGT89B1</w:t>
      </w:r>
      <w:r w:rsidRPr="003416C1">
        <w:rPr>
          <w:rFonts w:ascii="Times New Roman" w:eastAsia="Times New Roman" w:hAnsi="Times New Roman" w:cs="Times New Roman"/>
          <w:bCs/>
          <w:szCs w:val="20"/>
          <w:lang w:eastAsia="en-GB"/>
        </w:rPr>
        <w:t xml:space="preserve">, </w:t>
      </w:r>
      <w:r w:rsidRPr="003416C1">
        <w:rPr>
          <w:rFonts w:ascii="Times New Roman" w:eastAsia="Times New Roman" w:hAnsi="Times New Roman" w:cs="Times New Roman"/>
          <w:bCs/>
          <w:i/>
          <w:iCs/>
          <w:szCs w:val="20"/>
          <w:lang w:eastAsia="en-GB"/>
        </w:rPr>
        <w:t>TpCYP75B1</w:t>
      </w:r>
      <w:r w:rsidRPr="003416C1">
        <w:rPr>
          <w:rFonts w:ascii="Times New Roman" w:eastAsia="Times New Roman" w:hAnsi="Times New Roman" w:cs="Times New Roman"/>
          <w:bCs/>
          <w:szCs w:val="20"/>
          <w:lang w:eastAsia="en-GB"/>
        </w:rPr>
        <w:t xml:space="preserve">, </w:t>
      </w:r>
      <w:r w:rsidRPr="003416C1">
        <w:rPr>
          <w:rFonts w:ascii="Times New Roman" w:eastAsia="Times New Roman" w:hAnsi="Times New Roman" w:cs="Times New Roman"/>
          <w:bCs/>
          <w:i/>
          <w:iCs/>
          <w:szCs w:val="20"/>
          <w:lang w:eastAsia="en-GB"/>
        </w:rPr>
        <w:t>TpCHS</w:t>
      </w:r>
      <w:r w:rsidRPr="003416C1">
        <w:rPr>
          <w:rFonts w:ascii="Times New Roman" w:eastAsia="Times New Roman" w:hAnsi="Times New Roman" w:cs="Times New Roman"/>
          <w:bCs/>
          <w:szCs w:val="20"/>
          <w:lang w:eastAsia="en-GB"/>
        </w:rPr>
        <w:t xml:space="preserve"> and </w:t>
      </w:r>
      <w:r w:rsidRPr="003416C1">
        <w:rPr>
          <w:rFonts w:ascii="Times New Roman" w:eastAsia="Times New Roman" w:hAnsi="Times New Roman" w:cs="Times New Roman"/>
          <w:bCs/>
          <w:i/>
          <w:iCs/>
          <w:szCs w:val="20"/>
          <w:lang w:eastAsia="en-GB"/>
        </w:rPr>
        <w:t>TpFLS1</w:t>
      </w:r>
      <w:r w:rsidRPr="003416C1">
        <w:rPr>
          <w:rFonts w:ascii="Times New Roman" w:eastAsia="Times New Roman" w:hAnsi="Times New Roman" w:cs="Times New Roman"/>
          <w:bCs/>
          <w:szCs w:val="20"/>
          <w:lang w:eastAsia="en-GB"/>
        </w:rPr>
        <w:t xml:space="preserve"> genes in the roots of the resistant red clover accession Formica in response to </w:t>
      </w:r>
      <w:r w:rsidRPr="003416C1">
        <w:rPr>
          <w:rFonts w:ascii="Times New Roman" w:eastAsia="Times New Roman" w:hAnsi="Times New Roman" w:cs="Times New Roman"/>
          <w:bCs/>
          <w:i/>
          <w:iCs/>
          <w:szCs w:val="20"/>
          <w:lang w:eastAsia="en-GB"/>
        </w:rPr>
        <w:t>F. avenaceum</w:t>
      </w:r>
      <w:r w:rsidRPr="003416C1">
        <w:rPr>
          <w:rFonts w:ascii="Times New Roman" w:eastAsia="Times New Roman" w:hAnsi="Times New Roman" w:cs="Times New Roman"/>
          <w:lang w:eastAsia="en-GB"/>
        </w:rPr>
        <w:t xml:space="preserve"> infection. The data are relative to those of mock-treated Formica plants at 7 dpi (value =1). The </w:t>
      </w:r>
      <w:r w:rsidRPr="003416C1">
        <w:rPr>
          <w:rFonts w:ascii="Times New Roman" w:eastAsia="Times New Roman" w:hAnsi="Times New Roman" w:cs="Times New Roman"/>
          <w:lang w:eastAsia="en-GB"/>
        </w:rPr>
        <w:lastRenderedPageBreak/>
        <w:t>bar chart shows the means ± SDs (n=3 biological replicates). Real-time quantitative PCR was performed using the 2</w:t>
      </w:r>
      <w:r w:rsidRPr="003416C1">
        <w:rPr>
          <w:rFonts w:ascii="Times New Roman" w:eastAsia="Times New Roman" w:hAnsi="Times New Roman" w:cs="Times New Roman"/>
          <w:vertAlign w:val="superscript"/>
          <w:lang w:eastAsia="en-GB"/>
        </w:rPr>
        <w:t>−ΔΔCT</w:t>
      </w:r>
      <w:r w:rsidRPr="003416C1">
        <w:rPr>
          <w:rFonts w:ascii="Times New Roman" w:eastAsia="Times New Roman" w:hAnsi="Times New Roman" w:cs="Times New Roman"/>
          <w:lang w:eastAsia="en-GB"/>
        </w:rPr>
        <w:t xml:space="preserve"> method. All the transcript data were normalized to those of </w:t>
      </w:r>
      <w:r w:rsidRPr="003416C1">
        <w:rPr>
          <w:rFonts w:ascii="Times New Roman" w:eastAsia="Times New Roman" w:hAnsi="Times New Roman" w:cs="Times New Roman"/>
          <w:i/>
          <w:iCs/>
          <w:lang w:eastAsia="en-GB"/>
        </w:rPr>
        <w:t>EIF-4α</w:t>
      </w:r>
      <w:r w:rsidRPr="003416C1">
        <w:rPr>
          <w:rFonts w:ascii="Times New Roman" w:eastAsia="Times New Roman" w:hAnsi="Times New Roman" w:cs="Times New Roman"/>
          <w:lang w:eastAsia="en-GB"/>
        </w:rPr>
        <w:t xml:space="preserve">. Asterisks indicate significant differences according to Student’s </w:t>
      </w:r>
      <w:r w:rsidRPr="003416C1">
        <w:rPr>
          <w:rFonts w:ascii="Times New Roman" w:eastAsia="Times New Roman" w:hAnsi="Times New Roman" w:cs="Times New Roman"/>
          <w:i/>
          <w:iCs/>
          <w:lang w:eastAsia="en-GB"/>
        </w:rPr>
        <w:t>t</w:t>
      </w:r>
      <w:r w:rsidRPr="003416C1">
        <w:rPr>
          <w:rFonts w:ascii="Times New Roman" w:eastAsia="Times New Roman" w:hAnsi="Times New Roman" w:cs="Times New Roman"/>
          <w:lang w:eastAsia="en-GB"/>
        </w:rPr>
        <w:t xml:space="preserve"> test (*</w:t>
      </w:r>
      <w:r w:rsidRPr="003416C1">
        <w:rPr>
          <w:rFonts w:ascii="Times New Roman" w:eastAsia="Times New Roman" w:hAnsi="Times New Roman" w:cs="Times New Roman"/>
          <w:i/>
          <w:iCs/>
          <w:lang w:eastAsia="en-GB"/>
        </w:rPr>
        <w:t>P</w:t>
      </w:r>
      <w:r w:rsidRPr="003416C1">
        <w:rPr>
          <w:rFonts w:ascii="Times New Roman" w:eastAsia="Times New Roman" w:hAnsi="Times New Roman" w:cs="Times New Roman"/>
          <w:lang w:eastAsia="en-GB"/>
        </w:rPr>
        <w:t xml:space="preserve"> ≤ 0.05, **</w:t>
      </w:r>
      <w:r w:rsidRPr="003416C1">
        <w:rPr>
          <w:rFonts w:ascii="Times New Roman" w:eastAsia="Times New Roman" w:hAnsi="Times New Roman" w:cs="Times New Roman"/>
          <w:i/>
          <w:iCs/>
          <w:lang w:eastAsia="en-GB"/>
        </w:rPr>
        <w:t xml:space="preserve"> P</w:t>
      </w:r>
      <w:r w:rsidRPr="003416C1">
        <w:rPr>
          <w:rFonts w:ascii="Times New Roman" w:eastAsia="Times New Roman" w:hAnsi="Times New Roman" w:cs="Times New Roman"/>
          <w:lang w:eastAsia="en-GB"/>
        </w:rPr>
        <w:t xml:space="preserve"> ≤ 0.01).</w:t>
      </w:r>
    </w:p>
    <w:p w14:paraId="10B24788" w14:textId="77777777" w:rsidR="00EA3B66" w:rsidRPr="003416C1" w:rsidRDefault="00EA3B66" w:rsidP="00EA3B66">
      <w:pPr>
        <w:spacing w:after="0" w:line="480" w:lineRule="auto"/>
        <w:jc w:val="both"/>
        <w:rPr>
          <w:rFonts w:ascii="Times New Roman" w:eastAsia="Times New Roman" w:hAnsi="Times New Roman" w:cs="Times New Roman"/>
          <w:lang w:eastAsia="en-GB"/>
        </w:rPr>
      </w:pPr>
    </w:p>
    <w:p w14:paraId="226EE5E1" w14:textId="77777777" w:rsidR="00EA3B66" w:rsidRPr="003416C1" w:rsidRDefault="00EA3B66" w:rsidP="00EA3B66">
      <w:pPr>
        <w:spacing w:after="0" w:line="480" w:lineRule="auto"/>
        <w:jc w:val="both"/>
        <w:rPr>
          <w:rFonts w:ascii="Times New Roman" w:hAnsi="Times New Roman" w:cs="Times New Roman"/>
          <w:b/>
        </w:rPr>
      </w:pPr>
      <w:r w:rsidRPr="003416C1">
        <w:rPr>
          <w:rFonts w:ascii="Times New Roman" w:hAnsi="Times New Roman" w:cs="Times New Roman"/>
          <w:b/>
        </w:rPr>
        <w:t>Supplementary Tables</w:t>
      </w:r>
    </w:p>
    <w:p w14:paraId="1375A86E" w14:textId="77777777" w:rsidR="00EA3B66" w:rsidRPr="003416C1" w:rsidRDefault="00EA3B66" w:rsidP="00EA3B66">
      <w:pPr>
        <w:spacing w:after="0" w:line="480" w:lineRule="auto"/>
        <w:jc w:val="both"/>
        <w:rPr>
          <w:rFonts w:ascii="Times New Roman" w:hAnsi="Times New Roman" w:cs="Times New Roman"/>
          <w:bCs/>
        </w:rPr>
      </w:pPr>
      <w:r w:rsidRPr="003416C1">
        <w:rPr>
          <w:rFonts w:ascii="Times New Roman" w:hAnsi="Times New Roman" w:cs="Times New Roman"/>
          <w:b/>
        </w:rPr>
        <w:t xml:space="preserve">Table S1 </w:t>
      </w:r>
      <w:r w:rsidRPr="003416C1">
        <w:rPr>
          <w:rFonts w:ascii="Times New Roman" w:hAnsi="Times New Roman" w:cs="Times New Roman"/>
          <w:bCs/>
        </w:rPr>
        <w:t xml:space="preserve">The 50 highly upregulated genes unique to </w:t>
      </w:r>
      <w:r w:rsidRPr="003416C1">
        <w:rPr>
          <w:rFonts w:ascii="Times New Roman" w:hAnsi="Times New Roman" w:cs="Times New Roman"/>
          <w:bCs/>
          <w:i/>
          <w:iCs/>
        </w:rPr>
        <w:t>F. avenaceum</w:t>
      </w:r>
      <w:r w:rsidRPr="003416C1">
        <w:rPr>
          <w:rFonts w:ascii="Times New Roman" w:hAnsi="Times New Roman" w:cs="Times New Roman"/>
          <w:bCs/>
        </w:rPr>
        <w:t>-infected resistant Formica red clover (</w:t>
      </w:r>
      <w:r w:rsidRPr="003416C1">
        <w:rPr>
          <w:rFonts w:ascii="Times New Roman" w:hAnsi="Times New Roman" w:cs="Times New Roman"/>
          <w:bCs/>
          <w:i/>
          <w:iCs/>
        </w:rPr>
        <w:t>Trifolium pratense</w:t>
      </w:r>
      <w:r w:rsidRPr="003416C1">
        <w:rPr>
          <w:rFonts w:ascii="Times New Roman" w:hAnsi="Times New Roman" w:cs="Times New Roman"/>
          <w:bCs/>
        </w:rPr>
        <w:t xml:space="preserve">) compared with infected susceptible SW 1678002 plants (RP vs. SP; RP = pathogen infected resistant plants; SP = pathogen infected susceptible plants; log2foldchange &gt; 1; </w:t>
      </w:r>
      <w:r w:rsidRPr="003416C1">
        <w:rPr>
          <w:rFonts w:ascii="Times New Roman" w:hAnsi="Times New Roman" w:cs="Times New Roman"/>
          <w:bCs/>
          <w:i/>
          <w:iCs/>
        </w:rPr>
        <w:t>P</w:t>
      </w:r>
      <w:r w:rsidRPr="003416C1">
        <w:rPr>
          <w:rFonts w:ascii="Times New Roman" w:hAnsi="Times New Roman" w:cs="Times New Roman"/>
          <w:bCs/>
        </w:rPr>
        <w:t xml:space="preserve"> &lt; 0.01; adjusted </w:t>
      </w:r>
      <w:r w:rsidRPr="003416C1">
        <w:rPr>
          <w:rFonts w:ascii="Times New Roman" w:hAnsi="Times New Roman" w:cs="Times New Roman"/>
          <w:bCs/>
          <w:i/>
          <w:iCs/>
        </w:rPr>
        <w:t>P</w:t>
      </w:r>
      <w:r w:rsidRPr="003416C1">
        <w:rPr>
          <w:rFonts w:ascii="Times New Roman" w:hAnsi="Times New Roman" w:cs="Times New Roman"/>
          <w:bCs/>
        </w:rPr>
        <w:t xml:space="preserve"> &lt; 0.05).</w:t>
      </w:r>
    </w:p>
    <w:p w14:paraId="23CB4693" w14:textId="77777777" w:rsidR="00EA3B66" w:rsidRPr="003416C1" w:rsidRDefault="00EA3B66" w:rsidP="00EA3B66">
      <w:pPr>
        <w:spacing w:after="0" w:line="480" w:lineRule="auto"/>
        <w:jc w:val="both"/>
        <w:rPr>
          <w:rFonts w:ascii="Times New Roman" w:hAnsi="Times New Roman" w:cs="Times New Roman"/>
          <w:bCs/>
        </w:rPr>
      </w:pPr>
      <w:r w:rsidRPr="003416C1">
        <w:rPr>
          <w:rFonts w:ascii="Times New Roman" w:hAnsi="Times New Roman" w:cs="Times New Roman"/>
          <w:b/>
        </w:rPr>
        <w:t>Table S2</w:t>
      </w:r>
      <w:r w:rsidRPr="003416C1">
        <w:rPr>
          <w:rFonts w:ascii="Times New Roman" w:hAnsi="Times New Roman" w:cs="Times New Roman"/>
          <w:bCs/>
        </w:rPr>
        <w:t xml:space="preserve"> Primers and vectors used in this study.</w:t>
      </w:r>
    </w:p>
    <w:p w14:paraId="485F3B3C" w14:textId="77777777" w:rsidR="00EA3B66" w:rsidRPr="003416C1" w:rsidRDefault="00EA3B66" w:rsidP="00EA3B66">
      <w:pPr>
        <w:spacing w:after="0" w:line="480" w:lineRule="auto"/>
        <w:jc w:val="both"/>
        <w:rPr>
          <w:rFonts w:ascii="Times New Roman" w:hAnsi="Times New Roman" w:cs="Times New Roman"/>
          <w:bCs/>
        </w:rPr>
      </w:pPr>
      <w:r w:rsidRPr="003416C1">
        <w:rPr>
          <w:rFonts w:ascii="Times New Roman" w:hAnsi="Times New Roman" w:cs="Times New Roman"/>
          <w:b/>
        </w:rPr>
        <w:t>Table S3</w:t>
      </w:r>
      <w:r w:rsidRPr="003416C1">
        <w:rPr>
          <w:rFonts w:ascii="Times New Roman" w:hAnsi="Times New Roman" w:cs="Times New Roman"/>
          <w:bCs/>
        </w:rPr>
        <w:t xml:space="preserve"> Tissue culture media used for Trifolium pratense transformation.</w:t>
      </w:r>
    </w:p>
    <w:p w14:paraId="087051BB" w14:textId="77777777" w:rsidR="00EA3B66" w:rsidRPr="003416C1" w:rsidRDefault="00EA3B66" w:rsidP="00EA3B66">
      <w:pPr>
        <w:spacing w:after="0" w:line="480" w:lineRule="auto"/>
        <w:jc w:val="both"/>
        <w:rPr>
          <w:rFonts w:ascii="Times New Roman" w:hAnsi="Times New Roman" w:cs="Times New Roman"/>
          <w:bCs/>
        </w:rPr>
      </w:pPr>
      <w:r w:rsidRPr="003416C1">
        <w:rPr>
          <w:rFonts w:ascii="Times New Roman" w:hAnsi="Times New Roman" w:cs="Times New Roman"/>
          <w:b/>
        </w:rPr>
        <w:t>Table S4</w:t>
      </w:r>
      <w:r w:rsidRPr="003416C1">
        <w:rPr>
          <w:rFonts w:ascii="Times New Roman" w:hAnsi="Times New Roman" w:cs="Times New Roman"/>
          <w:bCs/>
        </w:rPr>
        <w:t xml:space="preserve"> Transformation efficiency in red clover.</w:t>
      </w:r>
    </w:p>
    <w:p w14:paraId="57FC19BF" w14:textId="77777777" w:rsidR="00EA3B66" w:rsidRPr="003416C1" w:rsidRDefault="00EA3B66" w:rsidP="00EA3B66">
      <w:pPr>
        <w:spacing w:after="0" w:line="480" w:lineRule="auto"/>
        <w:jc w:val="both"/>
        <w:rPr>
          <w:rFonts w:ascii="Times New Roman" w:hAnsi="Times New Roman" w:cs="Times New Roman"/>
          <w:bCs/>
        </w:rPr>
      </w:pPr>
      <w:r w:rsidRPr="003416C1">
        <w:rPr>
          <w:rFonts w:ascii="Times New Roman" w:hAnsi="Times New Roman" w:cs="Times New Roman"/>
          <w:b/>
        </w:rPr>
        <w:t>Table S5</w:t>
      </w:r>
      <w:r w:rsidRPr="003416C1">
        <w:rPr>
          <w:rFonts w:ascii="Times New Roman" w:hAnsi="Times New Roman" w:cs="Times New Roman"/>
          <w:bCs/>
        </w:rPr>
        <w:t xml:space="preserve"> STRING-based predicted protein interaction partners of the </w:t>
      </w:r>
      <w:r w:rsidRPr="003416C1">
        <w:rPr>
          <w:rFonts w:ascii="Times New Roman" w:hAnsi="Times New Roman" w:cs="Times New Roman"/>
          <w:bCs/>
          <w:i/>
          <w:iCs/>
        </w:rPr>
        <w:t>Medicago truncatula</w:t>
      </w:r>
      <w:r w:rsidRPr="003416C1">
        <w:rPr>
          <w:rFonts w:ascii="Times New Roman" w:hAnsi="Times New Roman" w:cs="Times New Roman"/>
          <w:bCs/>
        </w:rPr>
        <w:t xml:space="preserve"> ortholog A0A072UML8 (bitscore 206.5; 31.4% identity to TpUGT89B1) associated with the phenylpropanoid and flavonoid biosynthesis pathway.</w:t>
      </w:r>
    </w:p>
    <w:p w14:paraId="7D7491AB" w14:textId="77777777" w:rsidR="00EA3B66" w:rsidRPr="003416C1" w:rsidRDefault="00EA3B66" w:rsidP="00EA3B66">
      <w:pPr>
        <w:spacing w:after="0" w:line="480" w:lineRule="auto"/>
        <w:jc w:val="both"/>
        <w:rPr>
          <w:rFonts w:ascii="Times New Roman" w:hAnsi="Times New Roman" w:cs="Times New Roman"/>
          <w:bCs/>
        </w:rPr>
      </w:pPr>
      <w:r w:rsidRPr="003416C1">
        <w:rPr>
          <w:rFonts w:ascii="Times New Roman" w:hAnsi="Times New Roman" w:cs="Times New Roman"/>
          <w:b/>
        </w:rPr>
        <w:t>Table S6</w:t>
      </w:r>
      <w:r w:rsidRPr="003416C1">
        <w:rPr>
          <w:rFonts w:ascii="Times New Roman" w:hAnsi="Times New Roman" w:cs="Times New Roman"/>
          <w:bCs/>
        </w:rPr>
        <w:t xml:space="preserve"> STRING-based predicted protein interaction partners of the </w:t>
      </w:r>
      <w:r w:rsidRPr="003416C1">
        <w:rPr>
          <w:rFonts w:ascii="Times New Roman" w:hAnsi="Times New Roman" w:cs="Times New Roman"/>
          <w:bCs/>
          <w:i/>
          <w:iCs/>
        </w:rPr>
        <w:t>Arabidopsis thaliana</w:t>
      </w:r>
      <w:r w:rsidRPr="003416C1">
        <w:rPr>
          <w:rFonts w:ascii="Times New Roman" w:hAnsi="Times New Roman" w:cs="Times New Roman"/>
          <w:bCs/>
        </w:rPr>
        <w:t xml:space="preserve"> UGT89 orthologs (bitscore 252.3; 36.4% identity to TpUGT89B1) associated with the flavonoid biosynthesis pathway.</w:t>
      </w:r>
    </w:p>
    <w:p w14:paraId="7C0552CA" w14:textId="77777777" w:rsidR="00EA3B66" w:rsidRDefault="00EA3B66" w:rsidP="00EA3B66">
      <w:pPr>
        <w:spacing w:after="0" w:line="480" w:lineRule="auto"/>
        <w:jc w:val="both"/>
        <w:rPr>
          <w:rFonts w:ascii="Times New Roman" w:hAnsi="Times New Roman" w:cs="Times New Roman"/>
          <w:bCs/>
        </w:rPr>
      </w:pPr>
      <w:r w:rsidRPr="003416C1">
        <w:rPr>
          <w:rFonts w:ascii="Times New Roman" w:hAnsi="Times New Roman" w:cs="Times New Roman"/>
          <w:b/>
        </w:rPr>
        <w:t>Table S7</w:t>
      </w:r>
      <w:r w:rsidRPr="003416C1">
        <w:rPr>
          <w:rFonts w:ascii="Times New Roman" w:hAnsi="Times New Roman" w:cs="Times New Roman"/>
          <w:bCs/>
        </w:rPr>
        <w:t xml:space="preserve"> The 50 highly upregulated genes unique to </w:t>
      </w:r>
      <w:r w:rsidRPr="003416C1">
        <w:rPr>
          <w:rFonts w:ascii="Times New Roman" w:hAnsi="Times New Roman" w:cs="Times New Roman"/>
          <w:bCs/>
          <w:i/>
          <w:iCs/>
        </w:rPr>
        <w:t>F. avenaceum</w:t>
      </w:r>
      <w:r w:rsidRPr="003416C1">
        <w:rPr>
          <w:rFonts w:ascii="Times New Roman" w:hAnsi="Times New Roman" w:cs="Times New Roman"/>
          <w:bCs/>
        </w:rPr>
        <w:t>-infected resistant Formica red clover (</w:t>
      </w:r>
      <w:r w:rsidRPr="003416C1">
        <w:rPr>
          <w:rFonts w:ascii="Times New Roman" w:hAnsi="Times New Roman" w:cs="Times New Roman"/>
          <w:bCs/>
          <w:i/>
          <w:iCs/>
        </w:rPr>
        <w:t>Trifolium pratense</w:t>
      </w:r>
      <w:r w:rsidRPr="003416C1">
        <w:rPr>
          <w:rFonts w:ascii="Times New Roman" w:hAnsi="Times New Roman" w:cs="Times New Roman"/>
          <w:bCs/>
        </w:rPr>
        <w:t xml:space="preserve">) compared with non-infected control Formica plants (RP vs. RC; RP = pathogen infected resistant plants; RC = non-infected resistant control plants; log2foldchange &gt; 1; </w:t>
      </w:r>
      <w:r w:rsidRPr="003416C1">
        <w:rPr>
          <w:rFonts w:ascii="Times New Roman" w:hAnsi="Times New Roman" w:cs="Times New Roman"/>
          <w:bCs/>
          <w:i/>
          <w:iCs/>
        </w:rPr>
        <w:t>P</w:t>
      </w:r>
      <w:r w:rsidRPr="003416C1">
        <w:rPr>
          <w:rFonts w:ascii="Times New Roman" w:hAnsi="Times New Roman" w:cs="Times New Roman"/>
          <w:bCs/>
        </w:rPr>
        <w:t xml:space="preserve"> &lt; 0.01; adjusted </w:t>
      </w:r>
      <w:r w:rsidRPr="003416C1">
        <w:rPr>
          <w:rFonts w:ascii="Times New Roman" w:hAnsi="Times New Roman" w:cs="Times New Roman"/>
          <w:bCs/>
          <w:i/>
          <w:iCs/>
        </w:rPr>
        <w:t xml:space="preserve">P </w:t>
      </w:r>
      <w:r w:rsidRPr="003416C1">
        <w:rPr>
          <w:rFonts w:ascii="Times New Roman" w:hAnsi="Times New Roman" w:cs="Times New Roman"/>
          <w:bCs/>
        </w:rPr>
        <w:t>&lt; 0.05).</w:t>
      </w:r>
    </w:p>
    <w:p w14:paraId="73461161" w14:textId="77777777" w:rsidR="00EA3B66" w:rsidRDefault="00EA3B66" w:rsidP="00EA3B66">
      <w:pPr>
        <w:spacing w:after="0" w:line="480" w:lineRule="auto"/>
        <w:jc w:val="both"/>
        <w:rPr>
          <w:rFonts w:ascii="Times New Roman" w:hAnsi="Times New Roman" w:cs="Times New Roman"/>
          <w:bCs/>
        </w:rPr>
      </w:pPr>
    </w:p>
    <w:p w14:paraId="6215BC22" w14:textId="77777777" w:rsidR="00EA3B66" w:rsidRDefault="00EA3B66" w:rsidP="00EA3B66">
      <w:pPr>
        <w:spacing w:after="0" w:line="480" w:lineRule="auto"/>
        <w:jc w:val="both"/>
        <w:rPr>
          <w:rFonts w:ascii="Times New Roman" w:hAnsi="Times New Roman" w:cs="Times New Roman"/>
          <w:bCs/>
        </w:rPr>
      </w:pPr>
      <w:r w:rsidRPr="00BF5C65">
        <w:rPr>
          <w:rFonts w:ascii="Times New Roman" w:hAnsi="Times New Roman" w:cs="Times New Roman"/>
          <w:b/>
        </w:rPr>
        <w:lastRenderedPageBreak/>
        <w:t>Supplementary Data File 1</w:t>
      </w:r>
      <w:r w:rsidRPr="00BF5C65">
        <w:rPr>
          <w:rFonts w:ascii="Times New Roman" w:hAnsi="Times New Roman" w:cs="Times New Roman"/>
          <w:bCs/>
        </w:rPr>
        <w:t>.</w:t>
      </w:r>
      <w:r w:rsidRPr="00BF5C65">
        <w:t xml:space="preserve"> </w:t>
      </w:r>
      <w:r w:rsidRPr="00BF5C65">
        <w:rPr>
          <w:rFonts w:ascii="Times New Roman" w:hAnsi="Times New Roman" w:cs="Times New Roman"/>
          <w:bCs/>
        </w:rPr>
        <w:t>Protenix-PDB-based multiple sequence alignment</w:t>
      </w:r>
      <w:r>
        <w:rPr>
          <w:rFonts w:ascii="Times New Roman" w:hAnsi="Times New Roman" w:cs="Times New Roman"/>
          <w:bCs/>
        </w:rPr>
        <w:t xml:space="preserve"> output</w:t>
      </w:r>
      <w:r w:rsidRPr="00BF5C65">
        <w:rPr>
          <w:rFonts w:ascii="Times New Roman" w:hAnsi="Times New Roman" w:cs="Times New Roman"/>
          <w:bCs/>
        </w:rPr>
        <w:t xml:space="preserve"> </w:t>
      </w:r>
      <w:r>
        <w:rPr>
          <w:rFonts w:ascii="Times New Roman" w:hAnsi="Times New Roman" w:cs="Times New Roman"/>
          <w:bCs/>
        </w:rPr>
        <w:t>for</w:t>
      </w:r>
      <w:r w:rsidRPr="00BF5C65">
        <w:rPr>
          <w:rFonts w:ascii="Times New Roman" w:hAnsi="Times New Roman" w:cs="Times New Roman"/>
          <w:bCs/>
        </w:rPr>
        <w:t xml:space="preserve"> TpUGT89B1</w:t>
      </w:r>
      <w:r>
        <w:rPr>
          <w:rFonts w:ascii="Times New Roman" w:hAnsi="Times New Roman" w:cs="Times New Roman"/>
          <w:bCs/>
        </w:rPr>
        <w:t>.</w:t>
      </w:r>
    </w:p>
    <w:p w14:paraId="76DF54F7" w14:textId="77777777" w:rsidR="00EA3B66" w:rsidRPr="003416C1" w:rsidRDefault="00EA3B66" w:rsidP="00EA3B66">
      <w:pPr>
        <w:spacing w:after="0" w:line="480" w:lineRule="auto"/>
        <w:jc w:val="both"/>
        <w:rPr>
          <w:rFonts w:ascii="Times New Roman" w:hAnsi="Times New Roman" w:cs="Times New Roman"/>
          <w:bCs/>
        </w:rPr>
      </w:pPr>
    </w:p>
    <w:p w14:paraId="77BE1C66" w14:textId="77777777" w:rsidR="00DE6AE2" w:rsidRDefault="00DE6AE2"/>
    <w:sectPr w:rsidR="00DE6AE2" w:rsidSect="00EA3B66">
      <w:footerReference w:type="even" r:id="rId4"/>
      <w:footerReference w:type="default" r:id="rId5"/>
      <w:pgSz w:w="11906" w:h="16838"/>
      <w:pgMar w:top="1440" w:right="1440" w:bottom="1440" w:left="1440" w:header="709" w:footer="709" w:gutter="0"/>
      <w:lnNumType w:countBy="1" w:restart="continuous"/>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4606288"/>
      <w:docPartObj>
        <w:docPartGallery w:val="Page Numbers (Bottom of Page)"/>
        <w:docPartUnique/>
      </w:docPartObj>
    </w:sdtPr>
    <w:sdtContent>
      <w:p w14:paraId="70CB8828" w14:textId="77777777" w:rsidR="00EA3B66" w:rsidRPr="00A8117E" w:rsidRDefault="00EA3B66" w:rsidP="00CB15BB">
        <w:pPr>
          <w:pStyle w:val="Footer"/>
          <w:framePr w:wrap="none" w:vAnchor="text" w:hAnchor="margin" w:xAlign="right" w:y="1"/>
          <w:rPr>
            <w:rStyle w:val="PageNumber"/>
          </w:rPr>
        </w:pPr>
        <w:r w:rsidRPr="00A8117E">
          <w:rPr>
            <w:rStyle w:val="PageNumber"/>
          </w:rPr>
          <w:fldChar w:fldCharType="begin"/>
        </w:r>
        <w:r w:rsidRPr="00A8117E">
          <w:rPr>
            <w:rStyle w:val="PageNumber"/>
          </w:rPr>
          <w:instrText xml:space="preserve"> PAGE</w:instrText>
        </w:r>
        <w:r w:rsidRPr="00A8117E">
          <w:rPr>
            <w:rStyle w:val="PageNumber"/>
          </w:rPr>
          <w:fldChar w:fldCharType="end"/>
        </w:r>
      </w:p>
    </w:sdtContent>
  </w:sdt>
  <w:p w14:paraId="4B334D42" w14:textId="77777777" w:rsidR="00EA3B66" w:rsidRPr="00A8117E" w:rsidRDefault="00EA3B66" w:rsidP="006A029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33383287"/>
      <w:docPartObj>
        <w:docPartGallery w:val="Page Numbers (Bottom of Page)"/>
        <w:docPartUnique/>
      </w:docPartObj>
    </w:sdtPr>
    <w:sdtContent>
      <w:p w14:paraId="30CB3F88" w14:textId="77777777" w:rsidR="00EA3B66" w:rsidRPr="00A8117E" w:rsidRDefault="00EA3B66" w:rsidP="00CB15BB">
        <w:pPr>
          <w:pStyle w:val="Footer"/>
          <w:framePr w:wrap="none" w:vAnchor="text" w:hAnchor="margin" w:xAlign="right" w:y="1"/>
          <w:rPr>
            <w:rStyle w:val="PageNumber"/>
          </w:rPr>
        </w:pPr>
        <w:r w:rsidRPr="00A8117E">
          <w:rPr>
            <w:rStyle w:val="PageNumber"/>
          </w:rPr>
          <w:fldChar w:fldCharType="begin"/>
        </w:r>
        <w:r w:rsidRPr="00A8117E">
          <w:rPr>
            <w:rStyle w:val="PageNumber"/>
          </w:rPr>
          <w:instrText xml:space="preserve"> PAGE </w:instrText>
        </w:r>
        <w:r w:rsidRPr="00A8117E">
          <w:rPr>
            <w:rStyle w:val="PageNumber"/>
          </w:rPr>
          <w:fldChar w:fldCharType="separate"/>
        </w:r>
        <w:r w:rsidRPr="00A8117E">
          <w:rPr>
            <w:rStyle w:val="PageNumber"/>
            <w:noProof/>
          </w:rPr>
          <w:t>22</w:t>
        </w:r>
        <w:r w:rsidRPr="00A8117E">
          <w:rPr>
            <w:rStyle w:val="PageNumber"/>
          </w:rPr>
          <w:fldChar w:fldCharType="end"/>
        </w:r>
      </w:p>
    </w:sdtContent>
  </w:sdt>
  <w:p w14:paraId="0051023A" w14:textId="77777777" w:rsidR="00EA3B66" w:rsidRPr="00A8117E" w:rsidRDefault="00EA3B66" w:rsidP="006A0299">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B66"/>
    <w:rsid w:val="00195413"/>
    <w:rsid w:val="003A03A7"/>
    <w:rsid w:val="003D0186"/>
    <w:rsid w:val="007278E4"/>
    <w:rsid w:val="00A3738C"/>
    <w:rsid w:val="00B91ABC"/>
    <w:rsid w:val="00BC6C35"/>
    <w:rsid w:val="00C964A7"/>
    <w:rsid w:val="00CB270D"/>
    <w:rsid w:val="00CF7583"/>
    <w:rsid w:val="00DE6AE2"/>
    <w:rsid w:val="00EA3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67B67"/>
  <w15:chartTrackingRefBased/>
  <w15:docId w15:val="{735C5858-5621-4375-A4AA-21D51D315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B66"/>
  </w:style>
  <w:style w:type="paragraph" w:styleId="Heading1">
    <w:name w:val="heading 1"/>
    <w:basedOn w:val="Normal"/>
    <w:next w:val="Normal"/>
    <w:link w:val="Heading1Char"/>
    <w:uiPriority w:val="9"/>
    <w:qFormat/>
    <w:rsid w:val="00EA3B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3B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3B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3B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3B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3B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B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B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B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B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3B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3B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B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3B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B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B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B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B66"/>
    <w:rPr>
      <w:rFonts w:eastAsiaTheme="majorEastAsia" w:cstheme="majorBidi"/>
      <w:color w:val="272727" w:themeColor="text1" w:themeTint="D8"/>
    </w:rPr>
  </w:style>
  <w:style w:type="paragraph" w:styleId="Title">
    <w:name w:val="Title"/>
    <w:basedOn w:val="Normal"/>
    <w:next w:val="Normal"/>
    <w:link w:val="TitleChar"/>
    <w:uiPriority w:val="10"/>
    <w:qFormat/>
    <w:rsid w:val="00EA3B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B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B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B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B66"/>
    <w:pPr>
      <w:spacing w:before="160"/>
      <w:jc w:val="center"/>
    </w:pPr>
    <w:rPr>
      <w:i/>
      <w:iCs/>
      <w:color w:val="404040" w:themeColor="text1" w:themeTint="BF"/>
    </w:rPr>
  </w:style>
  <w:style w:type="character" w:customStyle="1" w:styleId="QuoteChar">
    <w:name w:val="Quote Char"/>
    <w:basedOn w:val="DefaultParagraphFont"/>
    <w:link w:val="Quote"/>
    <w:uiPriority w:val="29"/>
    <w:rsid w:val="00EA3B66"/>
    <w:rPr>
      <w:i/>
      <w:iCs/>
      <w:color w:val="404040" w:themeColor="text1" w:themeTint="BF"/>
    </w:rPr>
  </w:style>
  <w:style w:type="paragraph" w:styleId="ListParagraph">
    <w:name w:val="List Paragraph"/>
    <w:basedOn w:val="Normal"/>
    <w:uiPriority w:val="34"/>
    <w:qFormat/>
    <w:rsid w:val="00EA3B66"/>
    <w:pPr>
      <w:ind w:left="720"/>
      <w:contextualSpacing/>
    </w:pPr>
  </w:style>
  <w:style w:type="character" w:styleId="IntenseEmphasis">
    <w:name w:val="Intense Emphasis"/>
    <w:basedOn w:val="DefaultParagraphFont"/>
    <w:uiPriority w:val="21"/>
    <w:qFormat/>
    <w:rsid w:val="00EA3B66"/>
    <w:rPr>
      <w:i/>
      <w:iCs/>
      <w:color w:val="0F4761" w:themeColor="accent1" w:themeShade="BF"/>
    </w:rPr>
  </w:style>
  <w:style w:type="paragraph" w:styleId="IntenseQuote">
    <w:name w:val="Intense Quote"/>
    <w:basedOn w:val="Normal"/>
    <w:next w:val="Normal"/>
    <w:link w:val="IntenseQuoteChar"/>
    <w:uiPriority w:val="30"/>
    <w:qFormat/>
    <w:rsid w:val="00EA3B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3B66"/>
    <w:rPr>
      <w:i/>
      <w:iCs/>
      <w:color w:val="0F4761" w:themeColor="accent1" w:themeShade="BF"/>
    </w:rPr>
  </w:style>
  <w:style w:type="character" w:styleId="IntenseReference">
    <w:name w:val="Intense Reference"/>
    <w:basedOn w:val="DefaultParagraphFont"/>
    <w:uiPriority w:val="32"/>
    <w:qFormat/>
    <w:rsid w:val="00EA3B66"/>
    <w:rPr>
      <w:b/>
      <w:bCs/>
      <w:smallCaps/>
      <w:color w:val="0F4761" w:themeColor="accent1" w:themeShade="BF"/>
      <w:spacing w:val="5"/>
    </w:rPr>
  </w:style>
  <w:style w:type="paragraph" w:styleId="Footer">
    <w:name w:val="footer"/>
    <w:basedOn w:val="Normal"/>
    <w:link w:val="FooterChar"/>
    <w:uiPriority w:val="99"/>
    <w:unhideWhenUsed/>
    <w:rsid w:val="00EA3B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B66"/>
  </w:style>
  <w:style w:type="character" w:styleId="PageNumber">
    <w:name w:val="page number"/>
    <w:basedOn w:val="DefaultParagraphFont"/>
    <w:uiPriority w:val="99"/>
    <w:semiHidden/>
    <w:unhideWhenUsed/>
    <w:rsid w:val="00EA3B66"/>
  </w:style>
  <w:style w:type="character" w:styleId="LineNumber">
    <w:name w:val="line number"/>
    <w:basedOn w:val="DefaultParagraphFont"/>
    <w:uiPriority w:val="99"/>
    <w:semiHidden/>
    <w:unhideWhenUsed/>
    <w:rsid w:val="00EA3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533</Words>
  <Characters>3043</Characters>
  <Application>Microsoft Office Word</Application>
  <DocSecurity>0</DocSecurity>
  <Lines>25</Lines>
  <Paragraphs>7</Paragraphs>
  <ScaleCrop>false</ScaleCrop>
  <Company>Springer Nature</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2026-09-16T08:37:00Z</dcterms:created>
  <dcterms:modified xsi:type="dcterms:W3CDTF">2026-09-16T08:37:00Z</dcterms:modified>
</cp:coreProperties>
</file>